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C88" w:rsidRPr="001F7B8E" w:rsidRDefault="00657D87" w:rsidP="0052638A">
      <w:pPr>
        <w:spacing w:line="720" w:lineRule="exact"/>
        <w:jc w:val="center"/>
        <w:rPr>
          <w:rFonts w:ascii="Times New Roman" w:eastAsia="宋体" w:hAnsi="Times New Roman" w:cs="Times New Roman"/>
          <w:b/>
          <w:color w:val="FF0000"/>
          <w:sz w:val="52"/>
          <w:szCs w:val="52"/>
        </w:rPr>
      </w:pPr>
      <w:r w:rsidRPr="001F7B8E">
        <w:rPr>
          <w:rFonts w:ascii="Times New Roman" w:eastAsia="宋体" w:hAnsi="Times New Roman" w:cs="Times New Roman"/>
          <w:b/>
          <w:bCs/>
          <w:color w:val="FF0000"/>
          <w:sz w:val="52"/>
          <w:szCs w:val="52"/>
        </w:rPr>
        <w:t>Minutes of Beijing Municipal Commission of Planning and Natural Resources</w:t>
      </w:r>
    </w:p>
    <w:p w:rsidR="007D7E9C" w:rsidRPr="001F7B8E" w:rsidRDefault="007D7E9C" w:rsidP="008C6AF9">
      <w:pPr>
        <w:jc w:val="center"/>
        <w:rPr>
          <w:rFonts w:ascii="Times New Roman" w:eastAsia="宋体" w:hAnsi="Times New Roman" w:cs="Times New Roman"/>
        </w:rPr>
      </w:pPr>
    </w:p>
    <w:p w:rsidR="0052638A" w:rsidRPr="001F7B8E" w:rsidRDefault="0052638A" w:rsidP="008C6AF9">
      <w:pPr>
        <w:jc w:val="center"/>
        <w:rPr>
          <w:rFonts w:ascii="Times New Roman" w:eastAsia="宋体" w:hAnsi="Times New Roman" w:cs="Times New Roman"/>
        </w:rPr>
      </w:pPr>
      <w:r w:rsidRPr="001F7B8E">
        <w:rPr>
          <w:rFonts w:ascii="Times New Roman" w:eastAsia="宋体" w:hAnsi="Times New Roman" w:cs="Times New Roman"/>
        </w:rPr>
        <w:t>(Edition No. 68)</w:t>
      </w:r>
    </w:p>
    <w:p w:rsidR="007D7E9C" w:rsidRPr="001F7B8E" w:rsidRDefault="007D7E9C" w:rsidP="008C6AF9">
      <w:pPr>
        <w:jc w:val="center"/>
        <w:rPr>
          <w:rFonts w:ascii="Times New Roman" w:eastAsia="宋体" w:hAnsi="Times New Roman" w:cs="Times New Roman"/>
        </w:rPr>
      </w:pPr>
    </w:p>
    <w:p w:rsidR="00657D87" w:rsidRPr="001F7B8E" w:rsidRDefault="00657D87" w:rsidP="0052638A">
      <w:pPr>
        <w:tabs>
          <w:tab w:val="right" w:pos="9072"/>
        </w:tabs>
        <w:rPr>
          <w:rFonts w:ascii="Times New Roman" w:eastAsia="宋体" w:hAnsi="Times New Roman" w:cs="Times New Roman"/>
        </w:rPr>
      </w:pPr>
      <w:r w:rsidRPr="001F7B8E">
        <w:rPr>
          <w:rFonts w:ascii="Times New Roman" w:eastAsia="宋体" w:hAnsi="Times New Roman" w:cs="Times New Roman"/>
        </w:rPr>
        <w:t>Beijing Municipal Commission of Planning and Natural Resources</w:t>
      </w:r>
      <w:r w:rsidRPr="001F7B8E">
        <w:rPr>
          <w:rFonts w:ascii="Times New Roman" w:eastAsia="宋体" w:hAnsi="Times New Roman" w:cs="Times New Roman"/>
        </w:rPr>
        <w:tab/>
        <w:t xml:space="preserve"> February 28, 2019</w:t>
      </w:r>
    </w:p>
    <w:p w:rsidR="0052638A" w:rsidRPr="001F7B8E" w:rsidRDefault="001F7B8E" w:rsidP="00657D87">
      <w:pPr>
        <w:rPr>
          <w:rFonts w:ascii="Times New Roman" w:eastAsia="宋体" w:hAnsi="Times New Roman" w:cs="Times New Roman"/>
        </w:rPr>
      </w:pPr>
      <w:r w:rsidRPr="001F7B8E">
        <w:rPr>
          <w:rFonts w:ascii="Times New Roman" w:eastAsia="宋体" w:hAnsi="Times New Roman" w:cs="Times New Roman"/>
        </w:rPr>
        <w:pict>
          <v:rect id="_x0000_i1025" style="width:453.6pt;height:1.5pt" o:hralign="center" o:hrstd="t" o:hrnoshade="t" o:hr="t" fillcolor="red" stroked="f"/>
        </w:pict>
      </w:r>
    </w:p>
    <w:p w:rsidR="00433F8E" w:rsidRPr="001F7B8E" w:rsidRDefault="00433F8E" w:rsidP="00433F8E">
      <w:pPr>
        <w:jc w:val="center"/>
        <w:rPr>
          <w:rFonts w:ascii="Times New Roman" w:eastAsia="宋体" w:hAnsi="Times New Roman" w:cs="Times New Roman"/>
        </w:rPr>
      </w:pPr>
    </w:p>
    <w:p w:rsidR="00433F8E" w:rsidRPr="001F7B8E" w:rsidRDefault="00433F8E" w:rsidP="00433F8E">
      <w:pPr>
        <w:jc w:val="center"/>
        <w:rPr>
          <w:rFonts w:ascii="Times New Roman" w:eastAsia="宋体" w:hAnsi="Times New Roman" w:cs="Times New Roman"/>
        </w:rPr>
      </w:pPr>
    </w:p>
    <w:p w:rsidR="00657D87" w:rsidRPr="001F7B8E" w:rsidRDefault="00657D87" w:rsidP="00433F8E">
      <w:pPr>
        <w:jc w:val="center"/>
        <w:rPr>
          <w:rFonts w:ascii="Times New Roman" w:eastAsia="宋体" w:hAnsi="Times New Roman" w:cs="Times New Roman"/>
          <w:b/>
          <w:sz w:val="30"/>
          <w:szCs w:val="30"/>
        </w:rPr>
      </w:pPr>
      <w:r w:rsidRPr="001F7B8E">
        <w:rPr>
          <w:rFonts w:ascii="Times New Roman" w:eastAsia="宋体" w:hAnsi="Times New Roman" w:cs="Times New Roman"/>
          <w:b/>
          <w:bCs/>
          <w:sz w:val="30"/>
          <w:szCs w:val="30"/>
        </w:rPr>
        <w:t>Minutes of Meeting on Further Improving the Efficiency of Construction Drawing Review</w:t>
      </w:r>
    </w:p>
    <w:p w:rsidR="00657D87" w:rsidRPr="001F7B8E" w:rsidRDefault="00657D87" w:rsidP="0036731D">
      <w:pPr>
        <w:spacing w:line="288" w:lineRule="auto"/>
        <w:ind w:firstLineChars="202" w:firstLine="424"/>
        <w:rPr>
          <w:rFonts w:ascii="Times New Roman" w:eastAsia="宋体" w:hAnsi="Times New Roman" w:cs="Times New Roman"/>
        </w:rPr>
      </w:pPr>
      <w:r w:rsidRPr="001F7B8E">
        <w:rPr>
          <w:rFonts w:ascii="Times New Roman" w:eastAsia="宋体" w:hAnsi="Times New Roman" w:cs="Times New Roman"/>
        </w:rPr>
        <w:t xml:space="preserve">To implement the relevant requirements of the </w:t>
      </w:r>
      <w:r w:rsidRPr="001F7B8E">
        <w:rPr>
          <w:rFonts w:ascii="Times New Roman" w:eastAsia="宋体" w:hAnsi="Times New Roman" w:cs="Times New Roman"/>
          <w:i/>
          <w:iCs/>
        </w:rPr>
        <w:t>Regulation of the General Office of the State Council on Launching the Pilot Program of the Reform of the Approval System for Construction Projects</w:t>
      </w:r>
      <w:r w:rsidRPr="001F7B8E">
        <w:rPr>
          <w:rFonts w:ascii="Times New Roman" w:eastAsia="宋体" w:hAnsi="Times New Roman" w:cs="Times New Roman"/>
        </w:rPr>
        <w:t xml:space="preserve"> (Guo Ban Fa [2018] No. 33), further stimulate construction market vitality in our city, and improve the efficiency of construction drawing review, Beijing Municipal Commission of Planning and Natural Resources organized construction drawing review agencies for house, construction and municipal infrastructure projects in Beijing to hold a special meeting on February 25, 2019, which aimed to manage construction drawing review based on classifications. Matters discussed during the meeting are as follows:</w:t>
      </w:r>
    </w:p>
    <w:p w:rsidR="00657D87" w:rsidRPr="001F7B8E" w:rsidRDefault="00657D87" w:rsidP="0036731D">
      <w:pPr>
        <w:spacing w:line="288" w:lineRule="auto"/>
        <w:ind w:firstLineChars="201" w:firstLine="424"/>
        <w:rPr>
          <w:rFonts w:ascii="Times New Roman" w:eastAsia="宋体" w:hAnsi="Times New Roman" w:cs="Times New Roman"/>
          <w:b/>
        </w:rPr>
      </w:pPr>
      <w:r w:rsidRPr="001F7B8E">
        <w:rPr>
          <w:rFonts w:ascii="Times New Roman" w:eastAsia="宋体" w:hAnsi="Times New Roman" w:cs="Times New Roman"/>
          <w:b/>
          <w:bCs/>
        </w:rPr>
        <w:t>1. Architect responsibility system</w:t>
      </w:r>
    </w:p>
    <w:p w:rsidR="00657D87" w:rsidRPr="001F7B8E" w:rsidRDefault="00657D87" w:rsidP="0036731D">
      <w:pPr>
        <w:spacing w:line="288" w:lineRule="auto"/>
        <w:ind w:firstLineChars="202" w:firstLine="424"/>
        <w:rPr>
          <w:rFonts w:ascii="Times New Roman" w:eastAsia="宋体" w:hAnsi="Times New Roman" w:cs="Times New Roman"/>
        </w:rPr>
      </w:pPr>
      <w:r w:rsidRPr="001F7B8E">
        <w:rPr>
          <w:rFonts w:ascii="Times New Roman" w:eastAsia="宋体" w:hAnsi="Times New Roman" w:cs="Times New Roman"/>
        </w:rPr>
        <w:t>Cancel the prior review for construction drawing of 300 m</w:t>
      </w:r>
      <w:r w:rsidRPr="001F7B8E">
        <w:rPr>
          <w:rFonts w:ascii="Times New Roman" w:eastAsia="宋体" w:hAnsi="Times New Roman" w:cs="Times New Roman"/>
          <w:vertAlign w:val="superscript"/>
        </w:rPr>
        <w:t>2</w:t>
      </w:r>
      <w:r w:rsidRPr="001F7B8E">
        <w:rPr>
          <w:rFonts w:ascii="Times New Roman" w:eastAsia="宋体" w:hAnsi="Times New Roman" w:cs="Times New Roman"/>
        </w:rPr>
        <w:t xml:space="preserve"> - 2,000 m</w:t>
      </w:r>
      <w:r w:rsidRPr="001F7B8E">
        <w:rPr>
          <w:rFonts w:ascii="Times New Roman" w:eastAsia="宋体" w:hAnsi="Times New Roman" w:cs="Times New Roman"/>
          <w:vertAlign w:val="superscript"/>
        </w:rPr>
        <w:t>2</w:t>
      </w:r>
      <w:r w:rsidRPr="001F7B8E">
        <w:rPr>
          <w:rFonts w:ascii="Times New Roman" w:eastAsia="宋体" w:hAnsi="Times New Roman" w:cs="Times New Roman"/>
        </w:rPr>
        <w:t xml:space="preserve"> internal renovation projects (excluding those involving civil air defense projects). Design project leader should be a registered architect, and for renovations related to main structure, the person in charge of structure should be a registered structural engineer.</w:t>
      </w:r>
      <w:bookmarkStart w:id="0" w:name="_GoBack"/>
      <w:bookmarkEnd w:id="0"/>
    </w:p>
    <w:p w:rsidR="00657D87" w:rsidRPr="001F7B8E" w:rsidRDefault="00657D87" w:rsidP="000F3B0A">
      <w:pPr>
        <w:spacing w:line="288" w:lineRule="auto"/>
        <w:ind w:firstLineChars="201" w:firstLine="424"/>
        <w:rPr>
          <w:rFonts w:ascii="Times New Roman" w:eastAsia="宋体" w:hAnsi="Times New Roman" w:cs="Times New Roman"/>
          <w:b/>
        </w:rPr>
      </w:pPr>
      <w:r w:rsidRPr="001F7B8E">
        <w:rPr>
          <w:rFonts w:ascii="Times New Roman" w:eastAsia="宋体" w:hAnsi="Times New Roman" w:cs="Times New Roman"/>
          <w:b/>
          <w:bCs/>
        </w:rPr>
        <w:t>2. Post spot inspection</w:t>
      </w:r>
    </w:p>
    <w:p w:rsidR="00657D87" w:rsidRPr="001F7B8E" w:rsidRDefault="00657D87" w:rsidP="000F3B0A">
      <w:pPr>
        <w:spacing w:line="288" w:lineRule="auto"/>
        <w:ind w:firstLineChars="201" w:firstLine="422"/>
        <w:rPr>
          <w:rFonts w:ascii="Times New Roman" w:eastAsia="宋体" w:hAnsi="Times New Roman" w:cs="Times New Roman"/>
        </w:rPr>
      </w:pPr>
      <w:r w:rsidRPr="001F7B8E">
        <w:rPr>
          <w:rFonts w:ascii="Times New Roman" w:eastAsia="宋体" w:hAnsi="Times New Roman" w:cs="Times New Roman"/>
        </w:rPr>
        <w:t>The survey reports and construction drawings of the new and expanded buildings with the above ground building area of a single building smaller than 5,000 m</w:t>
      </w:r>
      <w:r w:rsidRPr="001F7B8E">
        <w:rPr>
          <w:rFonts w:ascii="Times New Roman" w:eastAsia="宋体" w:hAnsi="Times New Roman" w:cs="Times New Roman"/>
          <w:vertAlign w:val="superscript"/>
        </w:rPr>
        <w:t>2</w:t>
      </w:r>
      <w:r w:rsidRPr="001F7B8E">
        <w:rPr>
          <w:rFonts w:ascii="Times New Roman" w:eastAsia="宋体" w:hAnsi="Times New Roman" w:cs="Times New Roman"/>
        </w:rPr>
        <w:t xml:space="preserve"> and the underground building area smaller than 2,000 m</w:t>
      </w:r>
      <w:r w:rsidRPr="001F7B8E">
        <w:rPr>
          <w:rFonts w:ascii="Times New Roman" w:eastAsia="宋体" w:hAnsi="Times New Roman" w:cs="Times New Roman"/>
          <w:vertAlign w:val="superscript"/>
        </w:rPr>
        <w:t>2</w:t>
      </w:r>
      <w:r w:rsidRPr="001F7B8E">
        <w:rPr>
          <w:rFonts w:ascii="Times New Roman" w:eastAsia="宋体" w:hAnsi="Times New Roman" w:cs="Times New Roman"/>
        </w:rPr>
        <w:t xml:space="preserve"> need not to be reviewed. However, the post design quality spot inspection is required.</w:t>
      </w:r>
    </w:p>
    <w:p w:rsidR="00657D87" w:rsidRPr="001F7B8E" w:rsidRDefault="00657D87" w:rsidP="000F3B0A">
      <w:pPr>
        <w:spacing w:line="288" w:lineRule="auto"/>
        <w:ind w:firstLineChars="201" w:firstLine="424"/>
        <w:rPr>
          <w:rFonts w:ascii="Times New Roman" w:eastAsia="宋体" w:hAnsi="Times New Roman" w:cs="Times New Roman"/>
          <w:b/>
        </w:rPr>
      </w:pPr>
      <w:r w:rsidRPr="001F7B8E">
        <w:rPr>
          <w:rFonts w:ascii="Times New Roman" w:eastAsia="宋体" w:hAnsi="Times New Roman" w:cs="Times New Roman"/>
          <w:b/>
          <w:bCs/>
        </w:rPr>
        <w:t>3. Prior review</w:t>
      </w:r>
    </w:p>
    <w:p w:rsidR="00657D87" w:rsidRPr="001F7B8E" w:rsidRDefault="00657D87" w:rsidP="000F3B0A">
      <w:pPr>
        <w:spacing w:line="288" w:lineRule="auto"/>
        <w:ind w:firstLineChars="201" w:firstLine="422"/>
        <w:rPr>
          <w:rFonts w:ascii="Times New Roman" w:eastAsia="宋体" w:hAnsi="Times New Roman" w:cs="Times New Roman"/>
        </w:rPr>
      </w:pPr>
      <w:r w:rsidRPr="001F7B8E">
        <w:rPr>
          <w:rFonts w:ascii="Times New Roman" w:eastAsia="宋体" w:hAnsi="Times New Roman" w:cs="Times New Roman"/>
        </w:rPr>
        <w:t>The construction drawings of the new and expanded buildings with the above-ground building area of a single building over 5,000 m</w:t>
      </w:r>
      <w:r w:rsidRPr="001F7B8E">
        <w:rPr>
          <w:rFonts w:ascii="Times New Roman" w:eastAsia="宋体" w:hAnsi="Times New Roman" w:cs="Times New Roman"/>
          <w:vertAlign w:val="superscript"/>
        </w:rPr>
        <w:t>2</w:t>
      </w:r>
      <w:r w:rsidRPr="001F7B8E">
        <w:rPr>
          <w:rFonts w:ascii="Times New Roman" w:eastAsia="宋体" w:hAnsi="Times New Roman" w:cs="Times New Roman"/>
        </w:rPr>
        <w:t xml:space="preserve"> or the underground building area over 2,000 m</w:t>
      </w:r>
      <w:r w:rsidRPr="001F7B8E">
        <w:rPr>
          <w:rFonts w:ascii="Times New Roman" w:eastAsia="宋体" w:hAnsi="Times New Roman" w:cs="Times New Roman"/>
          <w:vertAlign w:val="superscript"/>
        </w:rPr>
        <w:t>2</w:t>
      </w:r>
      <w:r w:rsidRPr="001F7B8E">
        <w:rPr>
          <w:rFonts w:ascii="Times New Roman" w:eastAsia="宋体" w:hAnsi="Times New Roman" w:cs="Times New Roman"/>
        </w:rPr>
        <w:t xml:space="preserve">, and all the municipal infrastructure projects shall be reviewed before commencement. However, the review procedures are further optimized. If there are issues not seriously affecting the foundation, main structure and fire protection of the building as well as the related civil defense standards, the survey and design unit needs to </w:t>
      </w:r>
      <w:r w:rsidRPr="001F7B8E">
        <w:rPr>
          <w:rFonts w:ascii="Times New Roman" w:eastAsia="宋体" w:hAnsi="Times New Roman" w:cs="Times New Roman"/>
        </w:rPr>
        <w:lastRenderedPageBreak/>
        <w:t>modify and improve the construction designs based on the review comments, and the review agency would not conduct a second review.</w:t>
      </w:r>
    </w:p>
    <w:p w:rsidR="000F3B0A" w:rsidRPr="001F7B8E" w:rsidRDefault="000F3B0A" w:rsidP="000F3B0A">
      <w:pPr>
        <w:spacing w:line="288" w:lineRule="auto"/>
        <w:ind w:firstLineChars="201" w:firstLine="422"/>
        <w:rPr>
          <w:rFonts w:ascii="Times New Roman" w:eastAsia="宋体" w:hAnsi="Times New Roman" w:cs="Times New Roman"/>
        </w:rPr>
      </w:pPr>
    </w:p>
    <w:tbl>
      <w:tblPr>
        <w:tblStyle w:val="a3"/>
        <w:tblW w:w="0" w:type="auto"/>
        <w:jc w:val="center"/>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9"/>
        <w:gridCol w:w="4538"/>
        <w:gridCol w:w="3241"/>
      </w:tblGrid>
      <w:tr w:rsidR="008B7264" w:rsidRPr="001F7B8E" w:rsidTr="00AA14FB">
        <w:trPr>
          <w:jc w:val="center"/>
        </w:trPr>
        <w:tc>
          <w:tcPr>
            <w:tcW w:w="1259" w:type="dxa"/>
            <w:tcBorders>
              <w:bottom w:val="single" w:sz="4" w:space="0" w:color="auto"/>
            </w:tcBorders>
          </w:tcPr>
          <w:p w:rsidR="008B7264" w:rsidRPr="001F7B8E" w:rsidRDefault="008B7264" w:rsidP="000F3B0A">
            <w:pPr>
              <w:spacing w:line="288" w:lineRule="auto"/>
              <w:rPr>
                <w:rFonts w:ascii="Times New Roman" w:eastAsia="宋体" w:hAnsi="Times New Roman" w:cs="Times New Roman"/>
              </w:rPr>
            </w:pPr>
            <w:r w:rsidRPr="001F7B8E">
              <w:rPr>
                <w:rFonts w:ascii="Times New Roman" w:eastAsia="宋体" w:hAnsi="Times New Roman" w:cs="Times New Roman"/>
              </w:rPr>
              <w:t>Present:</w:t>
            </w:r>
          </w:p>
        </w:tc>
        <w:tc>
          <w:tcPr>
            <w:tcW w:w="7779" w:type="dxa"/>
            <w:gridSpan w:val="2"/>
            <w:tcBorders>
              <w:bottom w:val="single" w:sz="4" w:space="0" w:color="auto"/>
            </w:tcBorders>
          </w:tcPr>
          <w:p w:rsidR="00F26CC5" w:rsidRPr="001F7B8E" w:rsidRDefault="008B7264" w:rsidP="008B7264">
            <w:pPr>
              <w:spacing w:line="288" w:lineRule="auto"/>
              <w:rPr>
                <w:rFonts w:ascii="Times New Roman" w:eastAsia="宋体" w:hAnsi="Times New Roman" w:cs="Times New Roman"/>
              </w:rPr>
            </w:pPr>
            <w:r w:rsidRPr="001F7B8E">
              <w:rPr>
                <w:rFonts w:ascii="Times New Roman" w:eastAsia="宋体" w:hAnsi="Times New Roman" w:cs="Times New Roman"/>
              </w:rPr>
              <w:t>Beijing Municipal Commission of Planning and Natural Resources: Wang Wei, Ye Jia, Li Yunpeng.</w:t>
            </w:r>
          </w:p>
          <w:p w:rsidR="008B7264" w:rsidRPr="001F7B8E" w:rsidRDefault="008B7264" w:rsidP="008B7264">
            <w:pPr>
              <w:spacing w:line="288" w:lineRule="auto"/>
              <w:rPr>
                <w:rFonts w:ascii="Times New Roman" w:eastAsia="宋体" w:hAnsi="Times New Roman" w:cs="Times New Roman"/>
              </w:rPr>
            </w:pPr>
            <w:r w:rsidRPr="001F7B8E">
              <w:rPr>
                <w:rFonts w:ascii="Times New Roman" w:eastAsia="宋体" w:hAnsi="Times New Roman" w:cs="Times New Roman"/>
              </w:rPr>
              <w:t>Beijing Bokai Jun’an Construction Engineering Consulting Co., Ltd.: Liu Zunping.</w:t>
            </w:r>
          </w:p>
          <w:p w:rsidR="008B7264" w:rsidRPr="001F7B8E" w:rsidRDefault="008B7264" w:rsidP="008B7264">
            <w:pPr>
              <w:spacing w:line="288" w:lineRule="auto"/>
              <w:rPr>
                <w:rFonts w:ascii="Times New Roman" w:eastAsia="宋体" w:hAnsi="Times New Roman" w:cs="Times New Roman"/>
              </w:rPr>
            </w:pPr>
            <w:r w:rsidRPr="001F7B8E">
              <w:rPr>
                <w:rFonts w:ascii="Times New Roman" w:eastAsia="宋体" w:hAnsi="Times New Roman" w:cs="Times New Roman"/>
              </w:rPr>
              <w:t>Zhongkan Sanjia Engineering Consulting (Beijing) Co., Ltd.: Zhang Jianqing.</w:t>
            </w:r>
          </w:p>
          <w:p w:rsidR="008B7264" w:rsidRPr="001F7B8E" w:rsidRDefault="008B7264" w:rsidP="008B7264">
            <w:pPr>
              <w:spacing w:line="288" w:lineRule="auto"/>
              <w:rPr>
                <w:rFonts w:ascii="Times New Roman" w:eastAsia="宋体" w:hAnsi="Times New Roman" w:cs="Times New Roman"/>
              </w:rPr>
            </w:pPr>
            <w:r w:rsidRPr="001F7B8E">
              <w:rPr>
                <w:rFonts w:ascii="Times New Roman" w:eastAsia="宋体" w:hAnsi="Times New Roman" w:cs="Times New Roman"/>
              </w:rPr>
              <w:t>CCTC Antai (Beijing) Engineering Consulting Co., Ltd.: Liu Zongbao.</w:t>
            </w:r>
          </w:p>
          <w:p w:rsidR="00F26CC5" w:rsidRPr="001F7B8E" w:rsidRDefault="008B7264" w:rsidP="008B7264">
            <w:pPr>
              <w:spacing w:line="288" w:lineRule="auto"/>
              <w:rPr>
                <w:rFonts w:ascii="Times New Roman" w:eastAsia="宋体" w:hAnsi="Times New Roman" w:cs="Times New Roman"/>
              </w:rPr>
            </w:pPr>
            <w:r w:rsidRPr="001F7B8E">
              <w:rPr>
                <w:rFonts w:ascii="Times New Roman" w:eastAsia="宋体" w:hAnsi="Times New Roman" w:cs="Times New Roman"/>
              </w:rPr>
              <w:t>Zhongjing Tonghe International Engineering Consulting (Beijing) Co., Ltd.: Zhang Jun.</w:t>
            </w:r>
          </w:p>
          <w:p w:rsidR="00F26CC5" w:rsidRPr="001F7B8E" w:rsidRDefault="008B7264" w:rsidP="008B7264">
            <w:pPr>
              <w:spacing w:line="288" w:lineRule="auto"/>
              <w:rPr>
                <w:rFonts w:ascii="Times New Roman" w:eastAsia="宋体" w:hAnsi="Times New Roman" w:cs="Times New Roman"/>
              </w:rPr>
            </w:pPr>
            <w:r w:rsidRPr="001F7B8E">
              <w:rPr>
                <w:rFonts w:ascii="Times New Roman" w:eastAsia="宋体" w:hAnsi="Times New Roman" w:cs="Times New Roman"/>
              </w:rPr>
              <w:t>Jianyan Hanggui Beigong (Beijing) Engineering Consulting Co., Ltd.: Zhou Chunhao.</w:t>
            </w:r>
          </w:p>
          <w:p w:rsidR="008B7264" w:rsidRPr="001F7B8E" w:rsidRDefault="008B7264" w:rsidP="008B7264">
            <w:pPr>
              <w:spacing w:line="288" w:lineRule="auto"/>
              <w:rPr>
                <w:rFonts w:ascii="Times New Roman" w:eastAsia="宋体" w:hAnsi="Times New Roman" w:cs="Times New Roman"/>
              </w:rPr>
            </w:pPr>
            <w:r w:rsidRPr="001F7B8E">
              <w:rPr>
                <w:rFonts w:ascii="Times New Roman" w:eastAsia="宋体" w:hAnsi="Times New Roman" w:cs="Times New Roman"/>
              </w:rPr>
              <w:t>Beijing Jianyuan Jingcheng Jianbiao Engineering Consulting Co., Ltd.: Jiang Xueyi.</w:t>
            </w:r>
          </w:p>
          <w:p w:rsidR="008B7264" w:rsidRPr="001F7B8E" w:rsidRDefault="008B7264" w:rsidP="008B7264">
            <w:pPr>
              <w:spacing w:line="288" w:lineRule="auto"/>
              <w:rPr>
                <w:rFonts w:ascii="Times New Roman" w:eastAsia="宋体" w:hAnsi="Times New Roman" w:cs="Times New Roman"/>
              </w:rPr>
            </w:pPr>
            <w:r w:rsidRPr="001F7B8E">
              <w:rPr>
                <w:rFonts w:ascii="Times New Roman" w:eastAsia="宋体" w:hAnsi="Times New Roman" w:cs="Times New Roman"/>
              </w:rPr>
              <w:t>Beijing Guobiao Zhutu Architectural Design and Consulting Co., Ltd.: Huang Gang.</w:t>
            </w:r>
          </w:p>
          <w:p w:rsidR="008B7264" w:rsidRPr="001F7B8E" w:rsidRDefault="008B7264" w:rsidP="008B7264">
            <w:pPr>
              <w:spacing w:line="288" w:lineRule="auto"/>
              <w:rPr>
                <w:rFonts w:ascii="Times New Roman" w:eastAsia="宋体" w:hAnsi="Times New Roman" w:cs="Times New Roman"/>
              </w:rPr>
            </w:pPr>
            <w:r w:rsidRPr="001F7B8E">
              <w:rPr>
                <w:rFonts w:ascii="Times New Roman" w:eastAsia="宋体" w:hAnsi="Times New Roman" w:cs="Times New Roman"/>
              </w:rPr>
              <w:t>Beijing Zhongxun International Engineering Consulting Co., Ltd.: Zhou Liying.</w:t>
            </w:r>
          </w:p>
          <w:p w:rsidR="00F26CC5" w:rsidRPr="001F7B8E" w:rsidRDefault="008B7264" w:rsidP="008B7264">
            <w:pPr>
              <w:spacing w:line="288" w:lineRule="auto"/>
              <w:rPr>
                <w:rFonts w:ascii="Times New Roman" w:eastAsia="宋体" w:hAnsi="Times New Roman" w:cs="Times New Roman"/>
              </w:rPr>
            </w:pPr>
            <w:r w:rsidRPr="001F7B8E">
              <w:rPr>
                <w:rFonts w:ascii="Times New Roman" w:eastAsia="宋体" w:hAnsi="Times New Roman" w:cs="Times New Roman"/>
              </w:rPr>
              <w:t>Beijing Urban Construction Xinjie Consulting Co., Ltd.: Lu Ming.</w:t>
            </w:r>
          </w:p>
          <w:p w:rsidR="008B7264" w:rsidRPr="001F7B8E" w:rsidRDefault="008B7264" w:rsidP="008B7264">
            <w:pPr>
              <w:spacing w:line="288" w:lineRule="auto"/>
              <w:rPr>
                <w:rFonts w:ascii="Times New Roman" w:eastAsia="宋体" w:hAnsi="Times New Roman" w:cs="Times New Roman"/>
              </w:rPr>
            </w:pPr>
            <w:r w:rsidRPr="001F7B8E">
              <w:rPr>
                <w:rFonts w:ascii="Times New Roman" w:eastAsia="宋体" w:hAnsi="Times New Roman" w:cs="Times New Roman"/>
              </w:rPr>
              <w:t>Beijing Tiezhuanyuan Engineering Consulting Co., Ltd.: Chen Xuefeng.</w:t>
            </w:r>
          </w:p>
        </w:tc>
      </w:tr>
      <w:tr w:rsidR="008B7264" w:rsidRPr="001F7B8E" w:rsidTr="00AA14FB">
        <w:trPr>
          <w:jc w:val="center"/>
        </w:trPr>
        <w:tc>
          <w:tcPr>
            <w:tcW w:w="9038" w:type="dxa"/>
            <w:gridSpan w:val="3"/>
            <w:tcBorders>
              <w:top w:val="single" w:sz="4" w:space="0" w:color="auto"/>
              <w:bottom w:val="single" w:sz="4" w:space="0" w:color="auto"/>
            </w:tcBorders>
            <w:vAlign w:val="center"/>
          </w:tcPr>
          <w:p w:rsidR="008B7264" w:rsidRPr="001F7B8E" w:rsidRDefault="008B7264" w:rsidP="003C69B0">
            <w:pPr>
              <w:spacing w:line="288" w:lineRule="auto"/>
              <w:rPr>
                <w:rFonts w:ascii="Times New Roman" w:eastAsia="宋体" w:hAnsi="Times New Roman" w:cs="Times New Roman"/>
              </w:rPr>
            </w:pPr>
            <w:r w:rsidRPr="001F7B8E">
              <w:rPr>
                <w:rFonts w:ascii="Times New Roman" w:eastAsia="宋体" w:hAnsi="Times New Roman" w:cs="Times New Roman"/>
              </w:rPr>
              <w:t>It shall be distributed to the following agencies: All participating units.</w:t>
            </w:r>
          </w:p>
        </w:tc>
      </w:tr>
      <w:tr w:rsidR="008B7264" w:rsidRPr="001F7B8E" w:rsidTr="001F7B8E">
        <w:trPr>
          <w:jc w:val="center"/>
        </w:trPr>
        <w:tc>
          <w:tcPr>
            <w:tcW w:w="5797" w:type="dxa"/>
            <w:gridSpan w:val="2"/>
            <w:tcBorders>
              <w:top w:val="single" w:sz="4" w:space="0" w:color="auto"/>
              <w:bottom w:val="single" w:sz="4" w:space="0" w:color="auto"/>
            </w:tcBorders>
            <w:vAlign w:val="center"/>
          </w:tcPr>
          <w:p w:rsidR="008B7264" w:rsidRPr="001F7B8E" w:rsidRDefault="008B7264" w:rsidP="008B7264">
            <w:pPr>
              <w:spacing w:line="288" w:lineRule="auto"/>
              <w:rPr>
                <w:rFonts w:ascii="Times New Roman" w:eastAsia="宋体" w:hAnsi="Times New Roman" w:cs="Times New Roman"/>
              </w:rPr>
            </w:pPr>
            <w:r w:rsidRPr="001F7B8E">
              <w:rPr>
                <w:rFonts w:ascii="Times New Roman" w:eastAsia="宋体" w:hAnsi="Times New Roman" w:cs="Times New Roman"/>
              </w:rPr>
              <w:t>Office of Beijing Municipal Commission of Planning and Natural Resources</w:t>
            </w:r>
          </w:p>
        </w:tc>
        <w:tc>
          <w:tcPr>
            <w:tcW w:w="3241" w:type="dxa"/>
            <w:tcBorders>
              <w:top w:val="single" w:sz="4" w:space="0" w:color="auto"/>
              <w:bottom w:val="single" w:sz="4" w:space="0" w:color="auto"/>
            </w:tcBorders>
            <w:vAlign w:val="center"/>
          </w:tcPr>
          <w:p w:rsidR="008B7264" w:rsidRPr="001F7B8E" w:rsidRDefault="008B7264" w:rsidP="008B7264">
            <w:pPr>
              <w:spacing w:line="288" w:lineRule="auto"/>
              <w:jc w:val="right"/>
              <w:rPr>
                <w:rFonts w:ascii="Times New Roman" w:eastAsia="宋体" w:hAnsi="Times New Roman" w:cs="Times New Roman"/>
              </w:rPr>
            </w:pPr>
            <w:r w:rsidRPr="001F7B8E">
              <w:rPr>
                <w:rFonts w:ascii="Times New Roman" w:eastAsia="宋体" w:hAnsi="Times New Roman" w:cs="Times New Roman"/>
              </w:rPr>
              <w:t>Issued on February 28, 2019</w:t>
            </w:r>
          </w:p>
        </w:tc>
      </w:tr>
    </w:tbl>
    <w:p w:rsidR="00657D87" w:rsidRPr="001F7B8E" w:rsidRDefault="00657D87" w:rsidP="0036731D">
      <w:pPr>
        <w:spacing w:line="288" w:lineRule="auto"/>
        <w:rPr>
          <w:rFonts w:ascii="Times New Roman" w:eastAsia="宋体" w:hAnsi="Times New Roman" w:cs="Times New Roman"/>
        </w:rPr>
      </w:pPr>
    </w:p>
    <w:sectPr w:rsidR="00657D87" w:rsidRPr="001F7B8E" w:rsidSect="008C0E54">
      <w:footerReference w:type="even" r:id="rId7"/>
      <w:footerReference w:type="default" r:id="rId8"/>
      <w:pgSz w:w="11906" w:h="16838"/>
      <w:pgMar w:top="1440" w:right="1416"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C8E" w:rsidRDefault="00C12C8E" w:rsidP="008C0E54">
      <w:r>
        <w:separator/>
      </w:r>
    </w:p>
  </w:endnote>
  <w:endnote w:type="continuationSeparator" w:id="0">
    <w:p w:rsidR="00C12C8E" w:rsidRDefault="00C12C8E" w:rsidP="008C0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12748965"/>
      <w:docPartObj>
        <w:docPartGallery w:val="Page Numbers (Bottom of Page)"/>
        <w:docPartUnique/>
      </w:docPartObj>
    </w:sdtPr>
    <w:sdtEndPr/>
    <w:sdtContent>
      <w:p w:rsidR="008C0E54" w:rsidRPr="008C0E54" w:rsidRDefault="008C0E54">
        <w:pPr>
          <w:pStyle w:val="a5"/>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1F7B8E">
          <w:rPr>
            <w:rFonts w:ascii="Times New Roman" w:hAnsi="Times New Roman" w:cs="Times New Roman"/>
            <w:noProof/>
          </w:rPr>
          <w:t>2</w:t>
        </w:r>
        <w:r>
          <w:rPr>
            <w:rFonts w:ascii="Times New Roman" w:hAnsi="Times New Roman" w:cs="Times New Roman"/>
          </w:rPr>
          <w:fldChar w:fldCharType="end"/>
        </w:r>
        <w:r>
          <w:rPr>
            <w:rFonts w:ascii="Times New Roman" w:hAnsi="Times New Roman" w:cs="Times New Roman"/>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157292842"/>
      <w:docPartObj>
        <w:docPartGallery w:val="Page Numbers (Bottom of Page)"/>
        <w:docPartUnique/>
      </w:docPartObj>
    </w:sdtPr>
    <w:sdtEndPr/>
    <w:sdtContent>
      <w:p w:rsidR="008C0E54" w:rsidRPr="008C0E54" w:rsidRDefault="008C0E54" w:rsidP="008C0E54">
        <w:pPr>
          <w:pStyle w:val="a5"/>
          <w:jc w:val="right"/>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1F7B8E">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C8E" w:rsidRDefault="00C12C8E" w:rsidP="008C0E54">
      <w:r>
        <w:separator/>
      </w:r>
    </w:p>
  </w:footnote>
  <w:footnote w:type="continuationSeparator" w:id="0">
    <w:p w:rsidR="00C12C8E" w:rsidRDefault="00C12C8E" w:rsidP="008C0E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541"/>
    <w:rsid w:val="000F3B0A"/>
    <w:rsid w:val="001C2541"/>
    <w:rsid w:val="001F7B8E"/>
    <w:rsid w:val="0036731D"/>
    <w:rsid w:val="003C69B0"/>
    <w:rsid w:val="003E2F1B"/>
    <w:rsid w:val="00433F8E"/>
    <w:rsid w:val="0052638A"/>
    <w:rsid w:val="006264FB"/>
    <w:rsid w:val="00657D87"/>
    <w:rsid w:val="00784D6B"/>
    <w:rsid w:val="007D7E9C"/>
    <w:rsid w:val="00813DC4"/>
    <w:rsid w:val="008B7264"/>
    <w:rsid w:val="008C0E54"/>
    <w:rsid w:val="008C6AF9"/>
    <w:rsid w:val="00AA14FB"/>
    <w:rsid w:val="00AB7130"/>
    <w:rsid w:val="00BD3C88"/>
    <w:rsid w:val="00C1010C"/>
    <w:rsid w:val="00C12C8E"/>
    <w:rsid w:val="00CA70D6"/>
    <w:rsid w:val="00F26C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7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8C0E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C0E54"/>
    <w:rPr>
      <w:sz w:val="18"/>
      <w:szCs w:val="18"/>
    </w:rPr>
  </w:style>
  <w:style w:type="paragraph" w:styleId="a5">
    <w:name w:val="footer"/>
    <w:basedOn w:val="a"/>
    <w:link w:val="Char0"/>
    <w:uiPriority w:val="99"/>
    <w:unhideWhenUsed/>
    <w:rsid w:val="008C0E54"/>
    <w:pPr>
      <w:tabs>
        <w:tab w:val="center" w:pos="4153"/>
        <w:tab w:val="right" w:pos="8306"/>
      </w:tabs>
      <w:snapToGrid w:val="0"/>
      <w:jc w:val="left"/>
    </w:pPr>
    <w:rPr>
      <w:sz w:val="18"/>
      <w:szCs w:val="18"/>
    </w:rPr>
  </w:style>
  <w:style w:type="character" w:customStyle="1" w:styleId="Char0">
    <w:name w:val="页脚 Char"/>
    <w:basedOn w:val="a0"/>
    <w:link w:val="a5"/>
    <w:uiPriority w:val="99"/>
    <w:rsid w:val="008C0E5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7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8C0E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C0E54"/>
    <w:rPr>
      <w:sz w:val="18"/>
      <w:szCs w:val="18"/>
    </w:rPr>
  </w:style>
  <w:style w:type="paragraph" w:styleId="a5">
    <w:name w:val="footer"/>
    <w:basedOn w:val="a"/>
    <w:link w:val="Char0"/>
    <w:uiPriority w:val="99"/>
    <w:unhideWhenUsed/>
    <w:rsid w:val="008C0E54"/>
    <w:pPr>
      <w:tabs>
        <w:tab w:val="center" w:pos="4153"/>
        <w:tab w:val="right" w:pos="8306"/>
      </w:tabs>
      <w:snapToGrid w:val="0"/>
      <w:jc w:val="left"/>
    </w:pPr>
    <w:rPr>
      <w:sz w:val="18"/>
      <w:szCs w:val="18"/>
    </w:rPr>
  </w:style>
  <w:style w:type="character" w:customStyle="1" w:styleId="Char0">
    <w:name w:val="页脚 Char"/>
    <w:basedOn w:val="a0"/>
    <w:link w:val="a5"/>
    <w:uiPriority w:val="99"/>
    <w:rsid w:val="008C0E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503</Words>
  <Characters>2873</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USER</cp:lastModifiedBy>
  <cp:revision>21</cp:revision>
  <dcterms:created xsi:type="dcterms:W3CDTF">2019-05-23T09:41:00Z</dcterms:created>
  <dcterms:modified xsi:type="dcterms:W3CDTF">2019-05-24T03:15:00Z</dcterms:modified>
</cp:coreProperties>
</file>