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2D06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北京市规划和自然资源委员会</w:t>
      </w:r>
    </w:p>
    <w:p w14:paraId="4808BB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5DE1BA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</w:pPr>
    </w:p>
    <w:p w14:paraId="3B6ABA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本机关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依据《中华人民共和国政府信息公开条例》(以下简称《条例》)第五十条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规定，编制本报告。</w:t>
      </w:r>
    </w:p>
    <w:p w14:paraId="61A7607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15"/>
          <w:sz w:val="32"/>
          <w:szCs w:val="32"/>
          <w:lang w:val="en-US" w:eastAsia="zh-CN"/>
        </w:rPr>
        <w:t>一、总体情况</w:t>
      </w:r>
    </w:p>
    <w:p w14:paraId="4B6290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，本机关严格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落实《条例》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规定，认真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自然资源部和北京市相关工作要求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法规范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注重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网站平台建设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主动公开，各项工作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扎实有效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。</w:t>
      </w:r>
    </w:p>
    <w:p w14:paraId="08A574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（一）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  <w:lang w:val="en-US" w:eastAsia="zh-CN"/>
        </w:rPr>
        <w:t>加强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认真落实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《条例》规定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我委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年度重点工作，在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首页设置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“不动产登记领域网上办事服务平台”“政务公开-政策法规”“政务公开-实事项目和折子工程”等栏目，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及时主动公开我委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信息。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建立平台服务导航，在政务服务栏目下，分别建立“不动产登记”“网上电子报盘”“天地图-北京”“建设工程设计企业资质认定（部分乙级）”“建设工程勘察企业资质认定（乙级）”等子栏目，方便企业群众查询。</w:t>
      </w:r>
    </w:p>
    <w:p w14:paraId="28C644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（二）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  <w:lang w:eastAsia="zh-CN"/>
        </w:rPr>
        <w:t>落实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  <w:lang w:val="en-US" w:eastAsia="zh-CN"/>
        </w:rPr>
        <w:t>决策公开。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主动公开《北京市规划和自然资源委员会2025年行政决策事项清单》。通过政务互动栏目，发布关于《涉密基础测绘成果提供使用管理办法（征求意见稿）》、关于《信用评价标准（行业指标）（2025年）》及《信用分级分类监管应用措施清单（2025年）》、关于对《北京市地热资源矿产品销售收入核定价格（征求意见稿）》公开征求意见公告等。</w:t>
      </w:r>
    </w:p>
    <w:p w14:paraId="7BB8607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（三）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  <w:lang w:val="en-US" w:eastAsia="zh-CN"/>
        </w:rPr>
        <w:t>注重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执行公开。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在政府网站“政务公开”专栏，全面公开权力清单，其中包括行政许可、行政确认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行政权力及公共服务等事项。在“行政执法公示”专项专题栏目，公示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本部门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职权事项清单。在“城乡规划”“自然资源管理”“不动产登记”“勘察设计”“测绘地理信息”栏目，分别公示办理结果信息。</w:t>
      </w:r>
    </w:p>
    <w:p w14:paraId="12D779D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在政府网站“政务公开-行政收费-行政事业性收费”栏目，将行政事业性收费内容（包括收费项目名称、收费标准、收费对象、收费依据等）以表格并附相关文件形式集中进行公开，并将行政事业性收费减免政策在专栏一并公开。每季度定期通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我委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网站，向社会公开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本机关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承办的市政府工作报告重点任务和重要民生实事项目工作进展情况，主动接受社会监督。</w:t>
      </w:r>
      <w:bookmarkStart w:id="0" w:name="_GoBack"/>
      <w:bookmarkEnd w:id="0"/>
    </w:p>
    <w:p w14:paraId="34D0BF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（四）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  <w:lang w:val="en-US" w:eastAsia="zh-CN"/>
        </w:rPr>
        <w:t>规范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依申请公开。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根据形势发展变化，及时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更新《政府信息公开指南》，确保信息公开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受理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渠道畅通。坚持定期检查对外公布的电话运行情况，确保电话及时接听。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注重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</w:rPr>
        <w:t>质量，加强督导审核，确保及时受理、按期答复率均为100%。</w:t>
      </w:r>
    </w:p>
    <w:p w14:paraId="0FABA6A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（五）加强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  <w:lang w:eastAsia="zh-CN"/>
        </w:rPr>
        <w:t>队伍</w:t>
      </w:r>
      <w:r>
        <w:rPr>
          <w:rFonts w:hint="eastAsia" w:ascii="国标楷体" w:hAnsi="国标楷体" w:eastAsia="国标楷体" w:cs="国标楷体"/>
          <w:b w:val="0"/>
          <w:bCs w:val="0"/>
          <w:i w:val="0"/>
          <w:caps w:val="0"/>
          <w:color w:val="333333"/>
          <w:spacing w:val="15"/>
          <w:sz w:val="32"/>
          <w:szCs w:val="32"/>
        </w:rPr>
        <w:t>教育培训。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lang w:eastAsia="zh-CN"/>
        </w:rPr>
        <w:t>着力提升运用法制思维和法治方式解决问题能力，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采取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集中培训、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以会代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训、典型案例研讨等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</w:rPr>
        <w:t>方式，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落实学习培训制度，加强基础业务规范化建设，不断提高办理水平。</w:t>
      </w:r>
    </w:p>
    <w:p w14:paraId="003B11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65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15"/>
          <w:sz w:val="32"/>
          <w:szCs w:val="32"/>
          <w:shd w:val="clear" w:fill="FFFFFF"/>
        </w:rPr>
        <w:t>二、主动公开政府信息情况</w:t>
      </w:r>
    </w:p>
    <w:tbl>
      <w:tblPr>
        <w:tblStyle w:val="10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238"/>
        <w:gridCol w:w="2351"/>
        <w:gridCol w:w="2031"/>
      </w:tblGrid>
      <w:tr w14:paraId="3911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566F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第二十条第（一）项</w:t>
            </w:r>
          </w:p>
        </w:tc>
      </w:tr>
      <w:tr w14:paraId="7E94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1FC5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4D8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本年制发件数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B6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2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B5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现行有效件数</w:t>
            </w:r>
          </w:p>
        </w:tc>
      </w:tr>
      <w:tr w14:paraId="73AA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1E25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规章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4A2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3ACE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4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B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</w:tr>
      <w:tr w14:paraId="476B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4836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第二十条第（五）项</w:t>
            </w:r>
          </w:p>
        </w:tc>
      </w:tr>
      <w:tr w14:paraId="0360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3DB9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8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C62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本年处理决定数量</w:t>
            </w:r>
          </w:p>
        </w:tc>
      </w:tr>
      <w:tr w14:paraId="6E3A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6C06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4008</w:t>
            </w:r>
          </w:p>
        </w:tc>
      </w:tr>
      <w:tr w14:paraId="4CE7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1B1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第二十条第（六）项</w:t>
            </w:r>
          </w:p>
        </w:tc>
      </w:tr>
      <w:tr w14:paraId="628D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EBA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8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12DD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本年处理决定数量</w:t>
            </w:r>
          </w:p>
        </w:tc>
      </w:tr>
      <w:tr w14:paraId="687A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388B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A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</w:tr>
      <w:tr w14:paraId="35AD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7E1F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8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4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414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7577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第二十条第（八）项</w:t>
            </w:r>
          </w:p>
        </w:tc>
      </w:tr>
      <w:tr w14:paraId="7C81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6732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8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100F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本年收费金额（单位：万元）</w:t>
            </w:r>
          </w:p>
        </w:tc>
      </w:tr>
      <w:tr w14:paraId="7E66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55C6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2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57441.9658</w:t>
            </w:r>
          </w:p>
        </w:tc>
      </w:tr>
    </w:tbl>
    <w:p w14:paraId="4DE3973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</w:pPr>
    </w:p>
    <w:p w14:paraId="157324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650" w:firstLineChars="200"/>
        <w:textAlignment w:val="auto"/>
      </w:pPr>
      <w:r>
        <w:rPr>
          <w:rFonts w:hint="eastAsia" w:ascii="黑体" w:hAnsi="黑体" w:eastAsia="黑体" w:cs="黑体"/>
          <w:i w:val="0"/>
          <w:caps w:val="0"/>
          <w:color w:val="333333"/>
          <w:spacing w:val="15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10"/>
        <w:tblW w:w="9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69"/>
        <w:gridCol w:w="2297"/>
        <w:gridCol w:w="791"/>
        <w:gridCol w:w="986"/>
        <w:gridCol w:w="958"/>
        <w:gridCol w:w="677"/>
        <w:gridCol w:w="677"/>
        <w:gridCol w:w="512"/>
        <w:gridCol w:w="807"/>
      </w:tblGrid>
      <w:tr w14:paraId="7E53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427AF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0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5F5A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申请人情况</w:t>
            </w:r>
          </w:p>
        </w:tc>
      </w:tr>
      <w:tr w14:paraId="4A37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1D59BC6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798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8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285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5DCF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</w:tr>
      <w:tr w14:paraId="2C34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1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001EA74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44C9D0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67C2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03FB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7727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45CE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1DD9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3D3A97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DE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21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091D3C8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51FCBE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097611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7EB59F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2FBBE3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4BBFF6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2E7D4D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5FF65D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E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6A5F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A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5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D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6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18093</w:t>
            </w:r>
          </w:p>
        </w:tc>
      </w:tr>
      <w:tr w14:paraId="3ED5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E78E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9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</w:tr>
      <w:tr w14:paraId="4403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7B6D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1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1BECF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6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C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9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6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6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12305</w:t>
            </w:r>
          </w:p>
        </w:tc>
      </w:tr>
      <w:tr w14:paraId="4066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57D9002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1595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A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7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9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E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9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1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 w14:paraId="3BC1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4F0D5F0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F59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553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1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4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4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6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9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E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F52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61CBED9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545A54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178C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B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0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0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830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25BC40B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5B03A7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996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F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7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A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7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7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4D3C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127F190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5761C3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9F8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C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9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3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6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F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F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3057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174FEF8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AD3BEB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CB1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3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F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79D5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638A34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246FB4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A5A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D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4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2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3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C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 w14:paraId="59DE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4C83181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F7F4EF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919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F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4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9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3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47C5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DEF39C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5336D1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E70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B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0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1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</w:tr>
      <w:tr w14:paraId="26C2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BDAFF2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90C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7671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6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1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3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3474</w:t>
            </w:r>
          </w:p>
        </w:tc>
      </w:tr>
      <w:tr w14:paraId="1D65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26BC44E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5FA91D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726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A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6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F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9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C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8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E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</w:tr>
      <w:tr w14:paraId="27B2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344D56E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212181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DE4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5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5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4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2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03A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3B0F9B5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142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14D1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8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F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D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A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BBF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C0AFA4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5FF9806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15E5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E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6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9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0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9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499A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1B12CF5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DEB20A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6305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B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8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F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1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B80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7760BED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4A3E9E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491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0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E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5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1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732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37F33A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0FD0A41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62E9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5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1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C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7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B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44B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220A95C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107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955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0.其他处理总计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F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F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</w:tr>
      <w:tr w14:paraId="75BA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3D64120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A3030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2F46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9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B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1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A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E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5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D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B18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0E27F60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147018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369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F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D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E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6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A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95A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3309061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0C0E3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3C29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A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E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6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D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D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D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0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</w:tr>
      <w:tr w14:paraId="45DF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4BE2725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DEBF7"/>
            <w:vAlign w:val="center"/>
          </w:tcPr>
          <w:p w14:paraId="4524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7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7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4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F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8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18185</w:t>
            </w:r>
          </w:p>
        </w:tc>
      </w:tr>
      <w:tr w14:paraId="0C35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2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6D7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5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4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0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3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</w:tr>
    </w:tbl>
    <w:p w14:paraId="2EA7C44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</w:pPr>
    </w:p>
    <w:p w14:paraId="51DAA4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650" w:firstLineChars="200"/>
        <w:textAlignment w:val="auto"/>
      </w:pPr>
      <w:r>
        <w:rPr>
          <w:rFonts w:hint="eastAsia" w:ascii="黑体" w:hAnsi="黑体" w:eastAsia="黑体" w:cs="黑体"/>
          <w:i w:val="0"/>
          <w:caps w:val="0"/>
          <w:color w:val="333333"/>
          <w:spacing w:val="15"/>
          <w:sz w:val="32"/>
          <w:szCs w:val="32"/>
          <w:shd w:val="clear" w:fill="FFFFFF"/>
        </w:rPr>
        <w:t>四、政府信息公开行政复议、行政诉讼情况</w:t>
      </w:r>
    </w:p>
    <w:p w14:paraId="59209DA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</w:pPr>
      <w:r>
        <w:t> </w:t>
      </w:r>
    </w:p>
    <w:tbl>
      <w:tblPr>
        <w:tblStyle w:val="10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94"/>
        <w:gridCol w:w="594"/>
        <w:gridCol w:w="594"/>
        <w:gridCol w:w="703"/>
        <w:gridCol w:w="627"/>
        <w:gridCol w:w="643"/>
        <w:gridCol w:w="643"/>
        <w:gridCol w:w="643"/>
        <w:gridCol w:w="719"/>
        <w:gridCol w:w="635"/>
        <w:gridCol w:w="643"/>
        <w:gridCol w:w="644"/>
        <w:gridCol w:w="644"/>
        <w:gridCol w:w="719"/>
      </w:tblGrid>
      <w:tr w14:paraId="384E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23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383B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24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BC2E6"/>
            <w:vAlign w:val="center"/>
          </w:tcPr>
          <w:p w14:paraId="32B8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行政诉讼</w:t>
            </w:r>
          </w:p>
        </w:tc>
      </w:tr>
      <w:tr w14:paraId="4EF7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1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2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9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1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7EF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7EE"/>
            <w:vAlign w:val="center"/>
          </w:tcPr>
          <w:p w14:paraId="11C4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复议后起诉</w:t>
            </w:r>
          </w:p>
        </w:tc>
      </w:tr>
      <w:tr w14:paraId="6F64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F13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0FB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FD5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5C7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446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F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D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8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3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D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3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F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D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</w:tr>
      <w:tr w14:paraId="254B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A83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8EB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83B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7E2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F29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AD7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B74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30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F67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1DE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5BB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973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00B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0C7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E75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F6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1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2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D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6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0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C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B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7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C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4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</w:tbl>
    <w:p w14:paraId="2D1DA0F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</w:pPr>
    </w:p>
    <w:p w14:paraId="2AF916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65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15"/>
          <w:sz w:val="32"/>
          <w:szCs w:val="32"/>
          <w:shd w:val="clear" w:fill="FFFFFF"/>
        </w:rPr>
        <w:t>五、存在的主要问题及改进情况</w:t>
      </w:r>
    </w:p>
    <w:p w14:paraId="3F8C7E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2025年，本机关政府信息公开工作虽取得一定成效，但在依照《条例》规定“对能够当场答复的，应当当场予以答复”方面还有待进一步加强。下一步，将加强统筹指导和业务培训，强化为民服务意识，提升政府信息公开队伍业务能力，加大主动公开力度，推行现场检索确认申请内容，当场予以答复，不断提升工作效率和质量。</w:t>
      </w:r>
    </w:p>
    <w:p w14:paraId="1F30FE8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65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六、其他需要报告的事项</w:t>
      </w:r>
    </w:p>
    <w:p w14:paraId="21B7741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2025年，本机关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"/>
        </w:rPr>
        <w:t>累计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发出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"/>
        </w:rPr>
        <w:t>信息处理费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收费通知单共71份，总金额：483570元，实收金额：424780元。</w:t>
      </w:r>
    </w:p>
    <w:p w14:paraId="21A3770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</w:p>
    <w:p w14:paraId="4A952CB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5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51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DFB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368C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368C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HorizontalSpacing w:val="147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153B"/>
    <w:rsid w:val="07281D42"/>
    <w:rsid w:val="0A87153B"/>
    <w:rsid w:val="0FD42899"/>
    <w:rsid w:val="16CE29C2"/>
    <w:rsid w:val="17E67813"/>
    <w:rsid w:val="1BF7C593"/>
    <w:rsid w:val="1CD17241"/>
    <w:rsid w:val="1DF518E7"/>
    <w:rsid w:val="2FFC6750"/>
    <w:rsid w:val="333F31B7"/>
    <w:rsid w:val="3BDF58A6"/>
    <w:rsid w:val="3D7F9A37"/>
    <w:rsid w:val="3FBF626C"/>
    <w:rsid w:val="47DF2260"/>
    <w:rsid w:val="4BB78AFA"/>
    <w:rsid w:val="4EFFA764"/>
    <w:rsid w:val="5AF5CAF2"/>
    <w:rsid w:val="5BDF0BB7"/>
    <w:rsid w:val="5BDFCCD6"/>
    <w:rsid w:val="5DEB5968"/>
    <w:rsid w:val="5FDFA98F"/>
    <w:rsid w:val="5FFAAA45"/>
    <w:rsid w:val="5FFFA200"/>
    <w:rsid w:val="63D99E3A"/>
    <w:rsid w:val="675FA3F6"/>
    <w:rsid w:val="675FAA81"/>
    <w:rsid w:val="6DE76EDB"/>
    <w:rsid w:val="6F25819F"/>
    <w:rsid w:val="6F3B2FB8"/>
    <w:rsid w:val="6F793CDE"/>
    <w:rsid w:val="716874F5"/>
    <w:rsid w:val="77CC7E76"/>
    <w:rsid w:val="79E72F34"/>
    <w:rsid w:val="7B4436DE"/>
    <w:rsid w:val="7B7755C7"/>
    <w:rsid w:val="7B7AB83C"/>
    <w:rsid w:val="7BCEAA48"/>
    <w:rsid w:val="7C491A1C"/>
    <w:rsid w:val="7DFD4BE6"/>
    <w:rsid w:val="7DFF270B"/>
    <w:rsid w:val="7EAF2B28"/>
    <w:rsid w:val="7EDE7833"/>
    <w:rsid w:val="7F09E191"/>
    <w:rsid w:val="7F7B6689"/>
    <w:rsid w:val="7F7BABF6"/>
    <w:rsid w:val="7F7EC02F"/>
    <w:rsid w:val="7FBFD27E"/>
    <w:rsid w:val="7FCFC4F6"/>
    <w:rsid w:val="7FEC7810"/>
    <w:rsid w:val="7FF0C92B"/>
    <w:rsid w:val="7FF17B69"/>
    <w:rsid w:val="8BFBE244"/>
    <w:rsid w:val="97DE3748"/>
    <w:rsid w:val="9F9E80CC"/>
    <w:rsid w:val="A3DB82C5"/>
    <w:rsid w:val="B66D9BC3"/>
    <w:rsid w:val="B6734D3C"/>
    <w:rsid w:val="B6DF5D8E"/>
    <w:rsid w:val="B7F52A79"/>
    <w:rsid w:val="BBF631D0"/>
    <w:rsid w:val="BDF73D89"/>
    <w:rsid w:val="BFD3EC0A"/>
    <w:rsid w:val="DD743DB1"/>
    <w:rsid w:val="DDBFE8F9"/>
    <w:rsid w:val="DF0B1433"/>
    <w:rsid w:val="DF5FFF1F"/>
    <w:rsid w:val="EA9F20B6"/>
    <w:rsid w:val="EBF5BBDA"/>
    <w:rsid w:val="EF3EE72E"/>
    <w:rsid w:val="F33DCB16"/>
    <w:rsid w:val="F6568529"/>
    <w:rsid w:val="F75B9DC7"/>
    <w:rsid w:val="F7DDEF53"/>
    <w:rsid w:val="F8FFAAF9"/>
    <w:rsid w:val="FD675C6A"/>
    <w:rsid w:val="FECE26FF"/>
    <w:rsid w:val="FEDD59FA"/>
    <w:rsid w:val="FEED55E8"/>
    <w:rsid w:val="FEFDB7B1"/>
    <w:rsid w:val="FF6FA271"/>
    <w:rsid w:val="FFD55D13"/>
    <w:rsid w:val="FFDFE1B5"/>
    <w:rsid w:val="FFEBEBFC"/>
    <w:rsid w:val="FFF9A30E"/>
    <w:rsid w:val="FFFBB507"/>
    <w:rsid w:val="FF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国标仿宋" w:cs="Times New Roman"/>
      <w:kern w:val="0"/>
      <w:sz w:val="32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2026-01-07T09:45:00Z</dcterms:created>
  <dc:creator>信访处</dc:creator>
  <cp:lastModifiedBy>user</cp:lastModifiedBy>
  <cp:lastPrinted>2026-01-15T16:32:00Z</cp:lastPrinted>
  <dcterms:modified xsi:type="dcterms:W3CDTF">2026-01-19T18:21:57Z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F964BF8CD5A9525E690867698362388D_43</vt:lpwstr>
  </property>
</Properties>
</file>