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0381F">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北京市规划和自然资源委员会房山分局</w:t>
      </w:r>
    </w:p>
    <w:p w14:paraId="56E81E76">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0936E21B">
      <w:pPr>
        <w:spacing w:line="560" w:lineRule="exact"/>
        <w:jc w:val="both"/>
        <w:rPr>
          <w:sz w:val="44"/>
          <w:szCs w:val="44"/>
        </w:rPr>
      </w:pPr>
    </w:p>
    <w:p w14:paraId="6233B96E">
      <w:pPr>
        <w:keepNext w:val="0"/>
        <w:keepLines w:val="0"/>
        <w:pageBreakBefore w:val="0"/>
        <w:widowControl/>
        <w:spacing w:line="600" w:lineRule="exact"/>
        <w:ind w:left="0" w:right="0" w:firstLine="672" w:firstLineChars="200"/>
        <w:jc w:val="both"/>
        <w:outlineLvl w:val="9"/>
        <w:rPr>
          <w:rFonts w:hint="eastAsia" w:ascii="仿宋_GB2312" w:hAnsi="宋体" w:eastAsia="仿宋_GB2312" w:cs="宋体"/>
          <w:spacing w:val="8"/>
          <w:sz w:val="32"/>
          <w:szCs w:val="32"/>
        </w:rPr>
      </w:pPr>
      <w:r>
        <w:rPr>
          <w:rFonts w:hint="eastAsia" w:ascii="仿宋_GB2312" w:hAnsi="宋体" w:eastAsia="仿宋_GB2312" w:cs="宋体"/>
          <w:spacing w:val="8"/>
          <w:sz w:val="32"/>
          <w:szCs w:val="32"/>
        </w:rPr>
        <w:t>依据《中华人民共和国政府信息公开条例》(以下简称《政府信息公开条例》)第五十条规定，编制本报告。</w:t>
      </w:r>
    </w:p>
    <w:p w14:paraId="62EE3C46">
      <w:pPr>
        <w:keepNext w:val="0"/>
        <w:keepLines w:val="0"/>
        <w:pageBreakBefore w:val="0"/>
        <w:widowControl/>
        <w:spacing w:line="600" w:lineRule="exact"/>
        <w:ind w:left="0" w:right="0" w:firstLine="672"/>
        <w:jc w:val="both"/>
        <w:outlineLvl w:val="9"/>
        <w:rPr>
          <w:rFonts w:ascii="黑体" w:hAnsi="黑体" w:eastAsia="黑体" w:cs="宋体"/>
          <w:spacing w:val="8"/>
          <w:sz w:val="32"/>
          <w:szCs w:val="32"/>
        </w:rPr>
      </w:pPr>
      <w:r>
        <w:rPr>
          <w:rFonts w:ascii="黑体" w:hAnsi="黑体" w:eastAsia="黑体" w:cs="宋体"/>
          <w:spacing w:val="8"/>
          <w:sz w:val="32"/>
          <w:szCs w:val="32"/>
        </w:rPr>
        <w:t>一、总体情况</w:t>
      </w:r>
    </w:p>
    <w:p w14:paraId="3C5ABC6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69" w:firstLineChars="0"/>
        <w:jc w:val="both"/>
        <w:textAlignment w:val="auto"/>
        <w:outlineLvl w:val="9"/>
        <w:rPr>
          <w:rFonts w:hint="eastAsia" w:ascii="仿宋_GB2312" w:hAnsi="宋体" w:eastAsia="仿宋_GB2312" w:cs="宋体"/>
          <w:color w:val="FF0000"/>
          <w:spacing w:val="8"/>
          <w:sz w:val="32"/>
          <w:szCs w:val="32"/>
        </w:rPr>
      </w:pPr>
      <w:r>
        <w:rPr>
          <w:rFonts w:hint="eastAsia" w:ascii="仿宋_GB2312" w:hAnsi="宋体" w:eastAsia="仿宋_GB2312" w:cs="宋体"/>
          <w:color w:val="auto"/>
          <w:spacing w:val="8"/>
          <w:sz w:val="32"/>
          <w:szCs w:val="32"/>
          <w:lang w:val="en-US" w:eastAsia="zh-CN"/>
        </w:rPr>
        <w:t>2025</w:t>
      </w:r>
      <w:r>
        <w:rPr>
          <w:rFonts w:ascii="仿宋_GB2312" w:hAnsi="宋体" w:eastAsia="仿宋_GB2312" w:cs="宋体"/>
          <w:color w:val="auto"/>
          <w:spacing w:val="8"/>
          <w:sz w:val="32"/>
          <w:szCs w:val="32"/>
          <w:lang w:val="en-US" w:eastAsia="zh-CN"/>
        </w:rPr>
        <w:t>年，北京市规划和自然资源委员会房山分局通过官网主动公开工作动态类信息</w:t>
      </w:r>
      <w:r>
        <w:rPr>
          <w:rFonts w:hint="eastAsia" w:ascii="仿宋_GB2312" w:hAnsi="宋体" w:eastAsia="仿宋_GB2312" w:cs="宋体"/>
          <w:color w:val="auto"/>
          <w:spacing w:val="8"/>
          <w:sz w:val="32"/>
          <w:szCs w:val="32"/>
          <w:lang w:val="en-US" w:eastAsia="zh-CN"/>
        </w:rPr>
        <w:t>12</w:t>
      </w:r>
      <w:r>
        <w:rPr>
          <w:rFonts w:ascii="仿宋_GB2312" w:hAnsi="宋体" w:eastAsia="仿宋_GB2312" w:cs="宋体"/>
          <w:color w:val="auto"/>
          <w:spacing w:val="8"/>
          <w:sz w:val="32"/>
          <w:szCs w:val="32"/>
          <w:lang w:val="en-US" w:eastAsia="zh-CN"/>
        </w:rPr>
        <w:t>条、不动产登记相关信息</w:t>
      </w:r>
      <w:r>
        <w:rPr>
          <w:rFonts w:hint="eastAsia" w:ascii="仿宋_GB2312" w:hAnsi="宋体" w:eastAsia="仿宋_GB2312" w:cs="宋体"/>
          <w:color w:val="auto"/>
          <w:spacing w:val="8"/>
          <w:sz w:val="32"/>
          <w:szCs w:val="32"/>
          <w:lang w:val="en-US" w:eastAsia="zh-CN"/>
        </w:rPr>
        <w:t>18854</w:t>
      </w:r>
      <w:r>
        <w:rPr>
          <w:rFonts w:ascii="仿宋_GB2312" w:hAnsi="宋体" w:eastAsia="仿宋_GB2312" w:cs="宋体"/>
          <w:color w:val="auto"/>
          <w:spacing w:val="8"/>
          <w:sz w:val="32"/>
          <w:szCs w:val="32"/>
          <w:lang w:val="en-US" w:eastAsia="zh-CN"/>
        </w:rPr>
        <w:t>条、规划审批相关信息</w:t>
      </w:r>
      <w:r>
        <w:rPr>
          <w:rFonts w:hint="eastAsia" w:ascii="仿宋_GB2312" w:hAnsi="宋体" w:eastAsia="仿宋_GB2312" w:cs="宋体"/>
          <w:color w:val="auto"/>
          <w:spacing w:val="8"/>
          <w:sz w:val="32"/>
          <w:szCs w:val="32"/>
          <w:lang w:val="en-US" w:eastAsia="zh-CN"/>
        </w:rPr>
        <w:t>259</w:t>
      </w:r>
      <w:r>
        <w:rPr>
          <w:rFonts w:ascii="仿宋_GB2312" w:hAnsi="宋体" w:eastAsia="仿宋_GB2312" w:cs="宋体"/>
          <w:color w:val="auto"/>
          <w:spacing w:val="8"/>
          <w:sz w:val="32"/>
          <w:szCs w:val="32"/>
          <w:lang w:val="en-US" w:eastAsia="zh-CN"/>
        </w:rPr>
        <w:t>条、规划验收相关信息</w:t>
      </w:r>
      <w:r>
        <w:rPr>
          <w:rFonts w:hint="eastAsia" w:ascii="仿宋_GB2312" w:hAnsi="宋体" w:eastAsia="仿宋_GB2312" w:cs="宋体"/>
          <w:color w:val="auto"/>
          <w:spacing w:val="8"/>
          <w:sz w:val="32"/>
          <w:szCs w:val="32"/>
          <w:lang w:val="en-US" w:eastAsia="zh-CN"/>
        </w:rPr>
        <w:t>49</w:t>
      </w:r>
      <w:bookmarkStart w:id="0" w:name="_GoBack"/>
      <w:bookmarkEnd w:id="0"/>
      <w:r>
        <w:rPr>
          <w:rFonts w:ascii="仿宋_GB2312" w:hAnsi="宋体" w:eastAsia="仿宋_GB2312" w:cs="宋体"/>
          <w:color w:val="auto"/>
          <w:spacing w:val="8"/>
          <w:sz w:val="32"/>
          <w:szCs w:val="32"/>
          <w:lang w:val="en-US" w:eastAsia="zh-CN"/>
        </w:rPr>
        <w:t>条、</w:t>
      </w:r>
      <w:r>
        <w:rPr>
          <w:rFonts w:hint="eastAsia" w:ascii="仿宋_GB2312" w:hAnsi="宋体" w:eastAsia="仿宋_GB2312" w:cs="宋体"/>
          <w:color w:val="auto"/>
          <w:spacing w:val="8"/>
          <w:sz w:val="32"/>
          <w:szCs w:val="32"/>
          <w:lang w:val="en-US" w:eastAsia="zh-CN"/>
        </w:rPr>
        <w:t>规划类公告</w:t>
      </w:r>
      <w:r>
        <w:rPr>
          <w:rFonts w:ascii="仿宋_GB2312" w:hAnsi="宋体" w:eastAsia="仿宋_GB2312" w:cs="宋体"/>
          <w:color w:val="auto"/>
          <w:spacing w:val="8"/>
          <w:sz w:val="32"/>
          <w:szCs w:val="32"/>
          <w:lang w:val="en-US" w:eastAsia="zh-CN"/>
        </w:rPr>
        <w:t>信息</w:t>
      </w:r>
      <w:r>
        <w:rPr>
          <w:rFonts w:hint="eastAsia" w:ascii="仿宋_GB2312" w:hAnsi="宋体" w:eastAsia="仿宋_GB2312" w:cs="宋体"/>
          <w:color w:val="auto"/>
          <w:spacing w:val="8"/>
          <w:sz w:val="32"/>
          <w:szCs w:val="32"/>
          <w:lang w:val="en-US" w:eastAsia="zh-CN"/>
        </w:rPr>
        <w:t>40</w:t>
      </w:r>
      <w:r>
        <w:rPr>
          <w:rFonts w:ascii="仿宋_GB2312" w:hAnsi="宋体" w:eastAsia="仿宋_GB2312" w:cs="宋体"/>
          <w:color w:val="auto"/>
          <w:spacing w:val="8"/>
          <w:sz w:val="32"/>
          <w:szCs w:val="32"/>
          <w:lang w:val="en-US" w:eastAsia="zh-CN"/>
        </w:rPr>
        <w:t>条、行政处罚结果</w:t>
      </w:r>
      <w:r>
        <w:rPr>
          <w:rFonts w:hint="eastAsia" w:ascii="仿宋_GB2312" w:hAnsi="宋体" w:eastAsia="仿宋_GB2312" w:cs="宋体"/>
          <w:color w:val="auto"/>
          <w:spacing w:val="8"/>
          <w:sz w:val="32"/>
          <w:szCs w:val="32"/>
          <w:lang w:val="en-US" w:eastAsia="zh-CN"/>
        </w:rPr>
        <w:t>31</w:t>
      </w:r>
      <w:r>
        <w:rPr>
          <w:rFonts w:ascii="仿宋_GB2312" w:hAnsi="宋体" w:eastAsia="仿宋_GB2312" w:cs="宋体"/>
          <w:color w:val="auto"/>
          <w:spacing w:val="8"/>
          <w:sz w:val="32"/>
          <w:szCs w:val="32"/>
          <w:lang w:val="en-US" w:eastAsia="zh-CN"/>
        </w:rPr>
        <w:t>条，公开了土地市场、</w:t>
      </w:r>
      <w:r>
        <w:rPr>
          <w:rFonts w:hint="eastAsia" w:ascii="仿宋_GB2312" w:hAnsi="宋体" w:eastAsia="仿宋_GB2312" w:cs="宋体"/>
          <w:color w:val="auto"/>
          <w:spacing w:val="8"/>
          <w:sz w:val="32"/>
          <w:szCs w:val="32"/>
          <w:lang w:val="en-US" w:eastAsia="zh-CN"/>
        </w:rPr>
        <w:t>出让、</w:t>
      </w:r>
      <w:r>
        <w:rPr>
          <w:rFonts w:ascii="仿宋_GB2312" w:hAnsi="宋体" w:eastAsia="仿宋_GB2312" w:cs="宋体"/>
          <w:color w:val="auto"/>
          <w:spacing w:val="8"/>
          <w:sz w:val="32"/>
          <w:szCs w:val="32"/>
          <w:lang w:val="en-US" w:eastAsia="zh-CN"/>
        </w:rPr>
        <w:t>划拨等相关信息共</w:t>
      </w:r>
      <w:r>
        <w:rPr>
          <w:rFonts w:hint="eastAsia" w:ascii="仿宋_GB2312" w:hAnsi="宋体" w:eastAsia="仿宋_GB2312" w:cs="宋体"/>
          <w:color w:val="auto"/>
          <w:spacing w:val="8"/>
          <w:sz w:val="32"/>
          <w:szCs w:val="32"/>
          <w:lang w:val="en-US" w:eastAsia="zh-CN"/>
        </w:rPr>
        <w:t>144条。共办理信息公开申请723</w:t>
      </w:r>
      <w:r>
        <w:rPr>
          <w:rFonts w:ascii="仿宋_GB2312" w:hAnsi="宋体" w:eastAsia="仿宋_GB2312" w:cs="宋体"/>
          <w:color w:val="auto"/>
          <w:spacing w:val="8"/>
          <w:sz w:val="32"/>
          <w:szCs w:val="32"/>
          <w:lang w:val="en-US" w:eastAsia="zh-CN"/>
        </w:rPr>
        <w:t>件（含本年新收申请</w:t>
      </w:r>
      <w:r>
        <w:rPr>
          <w:rFonts w:hint="eastAsia" w:ascii="仿宋_GB2312" w:hAnsi="宋体" w:eastAsia="仿宋_GB2312" w:cs="宋体"/>
          <w:color w:val="auto"/>
          <w:spacing w:val="8"/>
          <w:sz w:val="32"/>
          <w:szCs w:val="32"/>
          <w:lang w:val="en-US" w:eastAsia="zh-CN"/>
        </w:rPr>
        <w:t>681</w:t>
      </w:r>
      <w:r>
        <w:rPr>
          <w:rFonts w:ascii="仿宋_GB2312" w:hAnsi="宋体" w:eastAsia="仿宋_GB2312" w:cs="宋体"/>
          <w:color w:val="auto"/>
          <w:spacing w:val="8"/>
          <w:sz w:val="32"/>
          <w:szCs w:val="32"/>
          <w:lang w:val="en-US" w:eastAsia="zh-CN"/>
        </w:rPr>
        <w:t>件，202</w:t>
      </w:r>
      <w:r>
        <w:rPr>
          <w:rFonts w:hint="eastAsia" w:ascii="仿宋_GB2312" w:hAnsi="宋体" w:eastAsia="仿宋_GB2312" w:cs="宋体"/>
          <w:color w:val="auto"/>
          <w:spacing w:val="8"/>
          <w:sz w:val="32"/>
          <w:szCs w:val="32"/>
          <w:lang w:val="en-US" w:eastAsia="zh-CN"/>
        </w:rPr>
        <w:t>4</w:t>
      </w:r>
      <w:r>
        <w:rPr>
          <w:rFonts w:ascii="仿宋_GB2312" w:hAnsi="宋体" w:eastAsia="仿宋_GB2312" w:cs="宋体"/>
          <w:color w:val="auto"/>
          <w:spacing w:val="8"/>
          <w:sz w:val="32"/>
          <w:szCs w:val="32"/>
          <w:lang w:val="en-US" w:eastAsia="zh-CN"/>
        </w:rPr>
        <w:t>年结转</w:t>
      </w:r>
      <w:r>
        <w:rPr>
          <w:rFonts w:hint="eastAsia" w:ascii="仿宋_GB2312" w:hAnsi="宋体" w:eastAsia="仿宋_GB2312" w:cs="宋体"/>
          <w:color w:val="auto"/>
          <w:spacing w:val="8"/>
          <w:sz w:val="32"/>
          <w:szCs w:val="32"/>
          <w:lang w:val="en-US" w:eastAsia="zh-CN"/>
        </w:rPr>
        <w:t>42</w:t>
      </w:r>
      <w:r>
        <w:rPr>
          <w:rFonts w:ascii="仿宋_GB2312" w:hAnsi="宋体" w:eastAsia="仿宋_GB2312" w:cs="宋体"/>
          <w:color w:val="auto"/>
          <w:spacing w:val="8"/>
          <w:sz w:val="32"/>
          <w:szCs w:val="32"/>
          <w:lang w:val="en-US" w:eastAsia="zh-CN"/>
        </w:rPr>
        <w:t>件），其中予以公开的</w:t>
      </w:r>
      <w:r>
        <w:rPr>
          <w:rFonts w:hint="eastAsia" w:ascii="仿宋_GB2312" w:hAnsi="宋体" w:eastAsia="仿宋_GB2312" w:cs="宋体"/>
          <w:color w:val="auto"/>
          <w:spacing w:val="8"/>
          <w:sz w:val="32"/>
          <w:szCs w:val="32"/>
          <w:lang w:val="en-US" w:eastAsia="zh-CN"/>
        </w:rPr>
        <w:t>504</w:t>
      </w:r>
      <w:r>
        <w:rPr>
          <w:rFonts w:ascii="仿宋_GB2312" w:hAnsi="宋体" w:eastAsia="仿宋_GB2312" w:cs="宋体"/>
          <w:color w:val="auto"/>
          <w:spacing w:val="8"/>
          <w:sz w:val="32"/>
          <w:szCs w:val="32"/>
          <w:lang w:val="en-US" w:eastAsia="zh-CN"/>
        </w:rPr>
        <w:t>件（</w:t>
      </w:r>
      <w:r>
        <w:rPr>
          <w:rFonts w:hint="eastAsia" w:ascii="仿宋_GB2312" w:hAnsi="宋体" w:eastAsia="仿宋_GB2312" w:cs="宋体"/>
          <w:color w:val="auto"/>
          <w:spacing w:val="8"/>
          <w:sz w:val="32"/>
          <w:szCs w:val="32"/>
          <w:lang w:val="en-US" w:eastAsia="zh-CN"/>
        </w:rPr>
        <w:t>69.7</w:t>
      </w:r>
      <w:r>
        <w:rPr>
          <w:rFonts w:ascii="仿宋_GB2312" w:hAnsi="宋体" w:eastAsia="仿宋_GB2312" w:cs="宋体"/>
          <w:color w:val="auto"/>
          <w:spacing w:val="8"/>
          <w:sz w:val="32"/>
          <w:szCs w:val="32"/>
          <w:lang w:val="en-US" w:eastAsia="zh-CN"/>
        </w:rPr>
        <w:t>%）、部分公开（区分处理）</w:t>
      </w:r>
      <w:r>
        <w:rPr>
          <w:rFonts w:hint="eastAsia" w:ascii="仿宋_GB2312" w:hAnsi="宋体" w:eastAsia="仿宋_GB2312" w:cs="宋体"/>
          <w:color w:val="auto"/>
          <w:spacing w:val="8"/>
          <w:sz w:val="32"/>
          <w:szCs w:val="32"/>
          <w:lang w:val="en-US" w:eastAsia="zh-CN"/>
        </w:rPr>
        <w:t>的8件</w:t>
      </w:r>
      <w:r>
        <w:rPr>
          <w:rFonts w:ascii="仿宋_GB2312" w:hAnsi="宋体" w:eastAsia="仿宋_GB2312" w:cs="宋体"/>
          <w:color w:val="auto"/>
          <w:spacing w:val="8"/>
          <w:sz w:val="32"/>
          <w:szCs w:val="32"/>
          <w:lang w:val="en-US" w:eastAsia="zh-CN"/>
        </w:rPr>
        <w:t>（</w:t>
      </w:r>
      <w:r>
        <w:rPr>
          <w:rFonts w:hint="eastAsia" w:ascii="仿宋_GB2312" w:hAnsi="宋体" w:eastAsia="仿宋_GB2312" w:cs="宋体"/>
          <w:color w:val="auto"/>
          <w:spacing w:val="8"/>
          <w:sz w:val="32"/>
          <w:szCs w:val="32"/>
          <w:lang w:val="en-US" w:eastAsia="zh-CN"/>
        </w:rPr>
        <w:t>1.1</w:t>
      </w:r>
      <w:r>
        <w:rPr>
          <w:rFonts w:ascii="仿宋_GB2312" w:hAnsi="宋体" w:eastAsia="仿宋_GB2312" w:cs="宋体"/>
          <w:color w:val="auto"/>
          <w:spacing w:val="8"/>
          <w:sz w:val="32"/>
          <w:szCs w:val="32"/>
          <w:lang w:val="en-US" w:eastAsia="zh-CN"/>
        </w:rPr>
        <w:t>%）</w:t>
      </w:r>
      <w:r>
        <w:rPr>
          <w:rFonts w:hint="eastAsia" w:ascii="仿宋_GB2312" w:hAnsi="宋体" w:eastAsia="仿宋_GB2312" w:cs="宋体"/>
          <w:color w:val="auto"/>
          <w:spacing w:val="8"/>
          <w:sz w:val="32"/>
          <w:szCs w:val="32"/>
          <w:lang w:val="en-US" w:eastAsia="zh-CN"/>
        </w:rPr>
        <w:t>、</w:t>
      </w:r>
      <w:r>
        <w:rPr>
          <w:rFonts w:ascii="仿宋_GB2312" w:hAnsi="宋体" w:eastAsia="仿宋_GB2312" w:cs="宋体"/>
          <w:color w:val="auto"/>
          <w:spacing w:val="8"/>
          <w:sz w:val="32"/>
          <w:szCs w:val="32"/>
          <w:lang w:val="en-US" w:eastAsia="zh-CN"/>
        </w:rPr>
        <w:t>不予公开的</w:t>
      </w:r>
      <w:r>
        <w:rPr>
          <w:rFonts w:hint="eastAsia" w:ascii="仿宋_GB2312" w:hAnsi="宋体" w:eastAsia="仿宋_GB2312" w:cs="宋体"/>
          <w:color w:val="auto"/>
          <w:spacing w:val="8"/>
          <w:sz w:val="32"/>
          <w:szCs w:val="32"/>
          <w:lang w:val="en-US" w:eastAsia="zh-CN"/>
        </w:rPr>
        <w:t>20</w:t>
      </w:r>
      <w:r>
        <w:rPr>
          <w:rFonts w:ascii="仿宋_GB2312" w:hAnsi="宋体" w:eastAsia="仿宋_GB2312" w:cs="宋体"/>
          <w:color w:val="auto"/>
          <w:spacing w:val="8"/>
          <w:sz w:val="32"/>
          <w:szCs w:val="32"/>
          <w:lang w:val="en-US" w:eastAsia="zh-CN"/>
        </w:rPr>
        <w:t>件（</w:t>
      </w:r>
      <w:r>
        <w:rPr>
          <w:rFonts w:hint="eastAsia" w:ascii="仿宋_GB2312" w:hAnsi="宋体" w:eastAsia="仿宋_GB2312" w:cs="宋体"/>
          <w:color w:val="auto"/>
          <w:spacing w:val="8"/>
          <w:sz w:val="32"/>
          <w:szCs w:val="32"/>
          <w:lang w:val="en-US" w:eastAsia="zh-CN"/>
        </w:rPr>
        <w:t>2.8</w:t>
      </w:r>
      <w:r>
        <w:rPr>
          <w:rFonts w:ascii="仿宋_GB2312" w:hAnsi="宋体" w:eastAsia="仿宋_GB2312" w:cs="宋体"/>
          <w:color w:val="auto"/>
          <w:spacing w:val="8"/>
          <w:sz w:val="32"/>
          <w:szCs w:val="32"/>
          <w:lang w:val="en-US" w:eastAsia="zh-CN"/>
        </w:rPr>
        <w:t>%）、无法提供的</w:t>
      </w:r>
      <w:r>
        <w:rPr>
          <w:rFonts w:hint="eastAsia" w:ascii="仿宋_GB2312" w:hAnsi="宋体" w:eastAsia="仿宋_GB2312" w:cs="宋体"/>
          <w:color w:val="auto"/>
          <w:spacing w:val="8"/>
          <w:sz w:val="32"/>
          <w:szCs w:val="32"/>
          <w:lang w:val="en-US" w:eastAsia="zh-CN"/>
        </w:rPr>
        <w:t>144</w:t>
      </w:r>
      <w:r>
        <w:rPr>
          <w:rFonts w:ascii="仿宋_GB2312" w:hAnsi="宋体" w:eastAsia="仿宋_GB2312" w:cs="宋体"/>
          <w:color w:val="auto"/>
          <w:spacing w:val="8"/>
          <w:sz w:val="32"/>
          <w:szCs w:val="32"/>
          <w:lang w:val="en-US" w:eastAsia="zh-CN"/>
        </w:rPr>
        <w:t>件（</w:t>
      </w:r>
      <w:r>
        <w:rPr>
          <w:rFonts w:hint="eastAsia" w:ascii="仿宋_GB2312" w:hAnsi="宋体" w:eastAsia="仿宋_GB2312" w:cs="宋体"/>
          <w:color w:val="auto"/>
          <w:spacing w:val="8"/>
          <w:sz w:val="32"/>
          <w:szCs w:val="32"/>
          <w:lang w:val="en-US" w:eastAsia="zh-CN"/>
        </w:rPr>
        <w:t>19.9</w:t>
      </w:r>
      <w:r>
        <w:rPr>
          <w:rFonts w:ascii="仿宋_GB2312" w:hAnsi="宋体" w:eastAsia="仿宋_GB2312" w:cs="宋体"/>
          <w:color w:val="auto"/>
          <w:spacing w:val="8"/>
          <w:sz w:val="32"/>
          <w:szCs w:val="32"/>
          <w:lang w:val="en-US" w:eastAsia="zh-CN"/>
        </w:rPr>
        <w:t>%）、转下年度办结的</w:t>
      </w:r>
      <w:r>
        <w:rPr>
          <w:rFonts w:hint="eastAsia" w:ascii="仿宋_GB2312" w:hAnsi="宋体" w:eastAsia="仿宋_GB2312" w:cs="宋体"/>
          <w:color w:val="auto"/>
          <w:spacing w:val="8"/>
          <w:sz w:val="32"/>
          <w:szCs w:val="32"/>
          <w:lang w:val="en-US" w:eastAsia="zh-CN"/>
        </w:rPr>
        <w:t>42</w:t>
      </w:r>
      <w:r>
        <w:rPr>
          <w:rFonts w:ascii="仿宋_GB2312" w:hAnsi="宋体" w:eastAsia="仿宋_GB2312" w:cs="宋体"/>
          <w:color w:val="auto"/>
          <w:spacing w:val="8"/>
          <w:sz w:val="32"/>
          <w:szCs w:val="32"/>
          <w:lang w:val="en-US" w:eastAsia="zh-CN"/>
        </w:rPr>
        <w:t>件（</w:t>
      </w:r>
      <w:r>
        <w:rPr>
          <w:rFonts w:hint="eastAsia" w:ascii="仿宋_GB2312" w:hAnsi="宋体" w:eastAsia="仿宋_GB2312" w:cs="宋体"/>
          <w:color w:val="auto"/>
          <w:spacing w:val="8"/>
          <w:sz w:val="32"/>
          <w:szCs w:val="32"/>
          <w:lang w:val="en-US" w:eastAsia="zh-CN"/>
        </w:rPr>
        <w:t>5.8</w:t>
      </w:r>
      <w:r>
        <w:rPr>
          <w:rFonts w:ascii="仿宋_GB2312" w:hAnsi="宋体" w:eastAsia="仿宋_GB2312" w:cs="宋体"/>
          <w:color w:val="auto"/>
          <w:spacing w:val="8"/>
          <w:sz w:val="32"/>
          <w:szCs w:val="32"/>
          <w:lang w:val="en-US" w:eastAsia="zh-CN"/>
        </w:rPr>
        <w:t>%）、其他处理（未补正</w:t>
      </w:r>
      <w:r>
        <w:rPr>
          <w:rFonts w:hint="eastAsia" w:ascii="仿宋_GB2312" w:hAnsi="宋体" w:eastAsia="仿宋_GB2312" w:cs="宋体"/>
          <w:color w:val="auto"/>
          <w:spacing w:val="8"/>
          <w:sz w:val="32"/>
          <w:szCs w:val="32"/>
          <w:lang w:val="en-US" w:eastAsia="zh-CN"/>
        </w:rPr>
        <w:t>、未缴费</w:t>
      </w:r>
      <w:r>
        <w:rPr>
          <w:rFonts w:ascii="仿宋_GB2312" w:hAnsi="宋体" w:eastAsia="仿宋_GB2312" w:cs="宋体"/>
          <w:color w:val="auto"/>
          <w:spacing w:val="8"/>
          <w:sz w:val="32"/>
          <w:szCs w:val="32"/>
          <w:lang w:val="en-US" w:eastAsia="zh-CN"/>
        </w:rPr>
        <w:t>）的</w:t>
      </w:r>
      <w:r>
        <w:rPr>
          <w:rFonts w:hint="eastAsia" w:ascii="仿宋_GB2312" w:hAnsi="宋体" w:eastAsia="仿宋_GB2312" w:cs="宋体"/>
          <w:color w:val="auto"/>
          <w:spacing w:val="8"/>
          <w:sz w:val="32"/>
          <w:szCs w:val="32"/>
          <w:lang w:val="en-US" w:eastAsia="zh-CN"/>
        </w:rPr>
        <w:t>3</w:t>
      </w:r>
      <w:r>
        <w:rPr>
          <w:rFonts w:ascii="仿宋_GB2312" w:hAnsi="宋体" w:eastAsia="仿宋_GB2312" w:cs="宋体"/>
          <w:color w:val="auto"/>
          <w:spacing w:val="8"/>
          <w:sz w:val="32"/>
          <w:szCs w:val="32"/>
          <w:lang w:val="en-US" w:eastAsia="zh-CN"/>
        </w:rPr>
        <w:t>件（</w:t>
      </w:r>
      <w:r>
        <w:rPr>
          <w:rFonts w:hint="eastAsia" w:ascii="仿宋_GB2312" w:hAnsi="宋体" w:eastAsia="仿宋_GB2312" w:cs="宋体"/>
          <w:color w:val="auto"/>
          <w:spacing w:val="8"/>
          <w:sz w:val="32"/>
          <w:szCs w:val="32"/>
          <w:lang w:val="en-US" w:eastAsia="zh-CN"/>
        </w:rPr>
        <w:t>0.4</w:t>
      </w:r>
      <w:r>
        <w:rPr>
          <w:rFonts w:ascii="仿宋_GB2312" w:hAnsi="宋体" w:eastAsia="仿宋_GB2312" w:cs="宋体"/>
          <w:color w:val="auto"/>
          <w:spacing w:val="8"/>
          <w:sz w:val="32"/>
          <w:szCs w:val="32"/>
          <w:lang w:val="en-US" w:eastAsia="zh-CN"/>
        </w:rPr>
        <w:t>%）</w:t>
      </w:r>
      <w:r>
        <w:rPr>
          <w:rFonts w:hint="eastAsia" w:ascii="仿宋_GB2312" w:hAnsi="宋体" w:eastAsia="仿宋_GB2312" w:cs="宋体"/>
          <w:color w:val="auto"/>
          <w:spacing w:val="8"/>
          <w:sz w:val="32"/>
          <w:szCs w:val="32"/>
          <w:lang w:val="en-US" w:eastAsia="zh-CN"/>
        </w:rPr>
        <w:t>、</w:t>
      </w:r>
      <w:r>
        <w:rPr>
          <w:rFonts w:ascii="仿宋_GB2312" w:hAnsi="宋体" w:eastAsia="仿宋_GB2312" w:cs="宋体"/>
          <w:color w:val="auto"/>
          <w:spacing w:val="8"/>
          <w:sz w:val="32"/>
          <w:szCs w:val="32"/>
          <w:lang w:val="en-US" w:eastAsia="zh-CN"/>
        </w:rPr>
        <w:t>不予处理</w:t>
      </w:r>
      <w:r>
        <w:rPr>
          <w:rFonts w:hint="eastAsia" w:ascii="仿宋_GB2312" w:hAnsi="宋体" w:eastAsia="仿宋_GB2312" w:cs="宋体"/>
          <w:color w:val="auto"/>
          <w:spacing w:val="8"/>
          <w:sz w:val="32"/>
          <w:szCs w:val="32"/>
          <w:lang w:val="en-US" w:eastAsia="zh-CN"/>
        </w:rPr>
        <w:t>的2件（0.3%）</w:t>
      </w:r>
      <w:r>
        <w:rPr>
          <w:rFonts w:ascii="仿宋_GB2312" w:hAnsi="宋体" w:eastAsia="仿宋_GB2312" w:cs="宋体"/>
          <w:color w:val="auto"/>
          <w:spacing w:val="8"/>
          <w:sz w:val="32"/>
          <w:szCs w:val="32"/>
          <w:lang w:val="en-US" w:eastAsia="zh-CN"/>
        </w:rPr>
        <w:t>。</w:t>
      </w:r>
    </w:p>
    <w:p w14:paraId="0E32EDA0">
      <w:pPr>
        <w:numPr>
          <w:ilvl w:val="0"/>
          <w:numId w:val="1"/>
        </w:numPr>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rPr>
        <w:t>主动公开政府信息情况</w:t>
      </w:r>
    </w:p>
    <w:p w14:paraId="402D9F1A">
      <w:pPr>
        <w:pStyle w:val="2"/>
        <w:jc w:val="both"/>
      </w:pPr>
    </w:p>
    <w:p w14:paraId="4791E287">
      <w:pPr>
        <w:pStyle w:val="2"/>
        <w:numPr>
          <w:ilvl w:val="0"/>
          <w:numId w:val="0"/>
        </w:numPr>
        <w:jc w:val="both"/>
      </w:pPr>
    </w:p>
    <w:tbl>
      <w:tblPr>
        <w:tblStyle w:val="29"/>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7BC3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9BC2E6" w:fill="9BC2E6"/>
            <w:tcMar>
              <w:top w:w="0" w:type="dxa"/>
              <w:left w:w="57" w:type="dxa"/>
              <w:bottom w:w="0" w:type="dxa"/>
              <w:right w:w="57" w:type="dxa"/>
            </w:tcMar>
            <w:vAlign w:val="center"/>
          </w:tcPr>
          <w:p w14:paraId="61A99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000000"/>
                <w:sz w:val="20"/>
                <w:szCs w:val="20"/>
                <w:lang w:val="en-US" w:eastAsia="zh-CN" w:bidi="ar"/>
              </w:rPr>
            </w:pPr>
            <w:r>
              <w:rPr>
                <w:rFonts w:hint="eastAsia" w:ascii="宋体" w:hAnsi="宋体" w:eastAsia="宋体" w:cs="宋体"/>
                <w:color w:val="000000"/>
                <w:sz w:val="20"/>
                <w:szCs w:val="20"/>
                <w:lang w:val="en-US" w:eastAsia="zh-CN" w:bidi="ar"/>
              </w:rPr>
              <w:t>第二十条第（一）项</w:t>
            </w:r>
          </w:p>
        </w:tc>
      </w:tr>
      <w:tr w14:paraId="4382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6FF73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67B5C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000000"/>
                <w:sz w:val="20"/>
                <w:szCs w:val="20"/>
                <w:lang w:val="en-US" w:eastAsia="zh-CN" w:bidi="ar"/>
              </w:rPr>
            </w:pPr>
            <w:r>
              <w:rPr>
                <w:rFonts w:hint="eastAsia" w:ascii="宋体" w:hAnsi="宋体" w:eastAsia="宋体" w:cs="宋体"/>
                <w:color w:val="00000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0026F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7074F8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现行有效件</w:t>
            </w:r>
            <w:r>
              <w:rPr>
                <w:rFonts w:hint="eastAsia" w:ascii="宋体" w:hAnsi="宋体" w:eastAsia="宋体" w:cs="宋体"/>
                <w:sz w:val="20"/>
                <w:szCs w:val="20"/>
                <w:lang w:val="en-US" w:eastAsia="zh-CN" w:bidi="ar"/>
              </w:rPr>
              <w:t>数</w:t>
            </w:r>
          </w:p>
        </w:tc>
      </w:tr>
      <w:tr w14:paraId="7693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71ADB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DFD7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25476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39D5A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0</w:t>
            </w:r>
          </w:p>
        </w:tc>
      </w:tr>
      <w:tr w14:paraId="17FB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18C66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476A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D0B7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38E06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0</w:t>
            </w:r>
          </w:p>
        </w:tc>
      </w:tr>
      <w:tr w14:paraId="3AE7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9BC2E6" w:fill="9BC2E6"/>
            <w:tcMar>
              <w:top w:w="0" w:type="dxa"/>
              <w:left w:w="57" w:type="dxa"/>
              <w:bottom w:w="0" w:type="dxa"/>
              <w:right w:w="57" w:type="dxa"/>
            </w:tcMar>
            <w:vAlign w:val="center"/>
          </w:tcPr>
          <w:p w14:paraId="1DF2D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第二十条第（五）项</w:t>
            </w:r>
          </w:p>
        </w:tc>
      </w:tr>
      <w:tr w14:paraId="6CE0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02A94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2EBCD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本年处理决定数量</w:t>
            </w:r>
          </w:p>
        </w:tc>
      </w:tr>
      <w:tr w14:paraId="005A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39167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4F76D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宋体"/>
                <w:lang w:val="en-US" w:eastAsia="zh-CN"/>
              </w:rPr>
            </w:pPr>
            <w:r>
              <w:rPr>
                <w:rFonts w:hint="eastAsia" w:ascii="宋体" w:hAnsi="宋体" w:eastAsia="宋体" w:cs="宋体"/>
                <w:color w:val="000000"/>
                <w:sz w:val="20"/>
                <w:szCs w:val="20"/>
                <w:lang w:val="en-US" w:eastAsia="zh-CN"/>
              </w:rPr>
              <w:t>181</w:t>
            </w:r>
          </w:p>
        </w:tc>
      </w:tr>
      <w:tr w14:paraId="5D28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9BC2E6" w:fill="9BC2E6"/>
            <w:tcMar>
              <w:top w:w="0" w:type="dxa"/>
              <w:left w:w="57" w:type="dxa"/>
              <w:bottom w:w="0" w:type="dxa"/>
              <w:right w:w="57" w:type="dxa"/>
            </w:tcMar>
            <w:vAlign w:val="center"/>
          </w:tcPr>
          <w:p w14:paraId="10C38B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第二十条第（六）项</w:t>
            </w:r>
          </w:p>
        </w:tc>
      </w:tr>
      <w:tr w14:paraId="7503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19806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00000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3FE75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000000"/>
                <w:sz w:val="20"/>
                <w:szCs w:val="20"/>
                <w:lang w:val="en-US" w:eastAsia="zh-CN" w:bidi="ar"/>
              </w:rPr>
              <w:t>本年处理决定数量</w:t>
            </w:r>
          </w:p>
        </w:tc>
      </w:tr>
      <w:tr w14:paraId="56D9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4036B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1A916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宋体"/>
                <w:lang w:val="en-US" w:eastAsia="zh-CN"/>
              </w:rPr>
            </w:pPr>
            <w:r>
              <w:rPr>
                <w:rFonts w:hint="eastAsia" w:ascii="宋体" w:hAnsi="宋体" w:eastAsia="宋体" w:cs="宋体"/>
                <w:color w:val="000000"/>
                <w:sz w:val="20"/>
                <w:szCs w:val="20"/>
                <w:lang w:val="en-US" w:eastAsia="zh-CN"/>
              </w:rPr>
              <w:t>31</w:t>
            </w:r>
          </w:p>
        </w:tc>
      </w:tr>
      <w:tr w14:paraId="3975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0F253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188FB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0</w:t>
            </w:r>
          </w:p>
        </w:tc>
      </w:tr>
      <w:tr w14:paraId="4376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9BC2E6" w:fill="9BC2E6"/>
            <w:tcMar>
              <w:top w:w="0" w:type="dxa"/>
              <w:left w:w="57" w:type="dxa"/>
              <w:bottom w:w="0" w:type="dxa"/>
              <w:right w:w="57" w:type="dxa"/>
            </w:tcMar>
            <w:vAlign w:val="center"/>
          </w:tcPr>
          <w:p w14:paraId="11DE1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第二十条第（八）项</w:t>
            </w:r>
          </w:p>
        </w:tc>
      </w:tr>
      <w:tr w14:paraId="3A20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6BFE1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DDEBF7" w:fill="DDEBF7"/>
            <w:tcMar>
              <w:top w:w="0" w:type="dxa"/>
              <w:left w:w="57" w:type="dxa"/>
              <w:bottom w:w="0" w:type="dxa"/>
              <w:right w:w="57" w:type="dxa"/>
            </w:tcMar>
            <w:vAlign w:val="center"/>
          </w:tcPr>
          <w:p w14:paraId="6F456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本年收费金额（单位：万元）</w:t>
            </w:r>
          </w:p>
        </w:tc>
      </w:tr>
      <w:tr w14:paraId="3EEB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55C65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00000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6A61F8FD">
            <w:pPr>
              <w:jc w:val="both"/>
              <w:rPr>
                <w:rFonts w:hint="default" w:ascii="宋体" w:eastAsia="宋体"/>
                <w:sz w:val="20"/>
                <w:szCs w:val="20"/>
                <w:lang w:val="en-US" w:eastAsia="zh-CN"/>
              </w:rPr>
            </w:pPr>
            <w:r>
              <w:rPr>
                <w:rFonts w:hint="eastAsia" w:ascii="宋体" w:eastAsia="宋体"/>
                <w:sz w:val="20"/>
                <w:szCs w:val="20"/>
                <w:lang w:val="en-US" w:eastAsia="zh-CN"/>
              </w:rPr>
              <w:t>39.19</w:t>
            </w:r>
          </w:p>
        </w:tc>
      </w:tr>
    </w:tbl>
    <w:p w14:paraId="048766CE">
      <w:pPr>
        <w:pStyle w:val="2"/>
        <w:numPr>
          <w:ilvl w:val="0"/>
          <w:numId w:val="0"/>
        </w:numPr>
        <w:jc w:val="both"/>
      </w:pPr>
    </w:p>
    <w:p w14:paraId="21DD84DD">
      <w:pPr>
        <w:numPr>
          <w:ilvl w:val="0"/>
          <w:numId w:val="1"/>
        </w:numPr>
        <w:spacing w:line="560" w:lineRule="exact"/>
        <w:ind w:left="0" w:firstLine="640"/>
        <w:jc w:val="both"/>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4405A42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FFFFFF" w:fill="FFFFFF"/>
        <w:spacing w:before="0" w:beforeAutospacing="0" w:after="0" w:afterAutospacing="0"/>
        <w:ind w:left="0" w:right="0" w:firstLine="420"/>
        <w:jc w:val="both"/>
        <w:rPr>
          <w:rFonts w:ascii="宋体" w:hAnsi="宋体" w:eastAsia="宋体" w:cs="宋体"/>
          <w:i w:val="0"/>
          <w:caps w:val="0"/>
          <w:color w:val="333333"/>
          <w:spacing w:val="0"/>
          <w:sz w:val="24"/>
          <w:szCs w:val="24"/>
        </w:rPr>
      </w:pPr>
    </w:p>
    <w:tbl>
      <w:tblPr>
        <w:tblStyle w:val="29"/>
        <w:tblW w:w="9748" w:type="dxa"/>
        <w:jc w:val="center"/>
        <w:tblBorders>
          <w:top w:val="none" w:color="auto" w:sz="6" w:space="0"/>
          <w:left w:val="none" w:color="auto" w:sz="6" w:space="0"/>
          <w:bottom w:val="none" w:color="auto" w:sz="6" w:space="0"/>
          <w:right w:val="none" w:color="auto" w:sz="6" w:space="0"/>
          <w:insideH w:val="single" w:color="auto" w:sz="6" w:space="0"/>
          <w:insideV w:val="single"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0E865BE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single" w:color="auto" w:sz="8" w:space="0"/>
              <w:right w:val="single" w:color="auto" w:sz="8" w:space="0"/>
            </w:tcBorders>
            <w:shd w:val="clear" w:color="9BC2E6" w:fill="9BC2E6"/>
            <w:tcMar>
              <w:top w:w="0" w:type="dxa"/>
              <w:left w:w="108" w:type="dxa"/>
              <w:bottom w:w="0" w:type="dxa"/>
              <w:right w:w="108" w:type="dxa"/>
            </w:tcMar>
            <w:vAlign w:val="center"/>
          </w:tcPr>
          <w:p w14:paraId="73355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楷体" w:hAnsi="楷体" w:eastAsia="楷体" w:cs="楷体"/>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036FF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申请人情况</w:t>
            </w:r>
          </w:p>
        </w:tc>
      </w:tr>
      <w:tr w14:paraId="6F8E35F8">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single" w:color="auto" w:sz="8" w:space="0"/>
              <w:right w:val="single" w:color="auto" w:sz="8" w:space="0"/>
            </w:tcBorders>
            <w:shd w:val="clear" w:color="9BC2E6" w:fill="9BC2E6"/>
            <w:tcMar>
              <w:top w:w="0" w:type="dxa"/>
              <w:left w:w="108" w:type="dxa"/>
              <w:bottom w:w="0" w:type="dxa"/>
              <w:right w:w="108" w:type="dxa"/>
            </w:tcMar>
            <w:vAlign w:val="center"/>
          </w:tcPr>
          <w:p w14:paraId="45536205">
            <w:pPr>
              <w:jc w:val="both"/>
              <w:rPr>
                <w:rFonts w:ascii="宋体"/>
                <w:sz w:val="24"/>
                <w:szCs w:val="24"/>
              </w:rPr>
            </w:pPr>
          </w:p>
        </w:tc>
        <w:tc>
          <w:tcPr>
            <w:tcW w:w="688" w:type="dxa"/>
            <w:vMerge w:val="restart"/>
            <w:tcBorders>
              <w:top w:val="nil"/>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222E5F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1906A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法人或其他组织</w:t>
            </w:r>
          </w:p>
        </w:tc>
        <w:tc>
          <w:tcPr>
            <w:tcW w:w="689" w:type="dxa"/>
            <w:vMerge w:val="restart"/>
            <w:tcBorders>
              <w:top w:val="single" w:color="auto" w:sz="8" w:space="0"/>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35E6C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总计</w:t>
            </w:r>
          </w:p>
        </w:tc>
      </w:tr>
      <w:tr w14:paraId="534A7D63">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single" w:color="auto" w:sz="8" w:space="0"/>
              <w:right w:val="single" w:color="auto" w:sz="8" w:space="0"/>
            </w:tcBorders>
            <w:shd w:val="clear" w:color="9BC2E6" w:fill="9BC2E6"/>
            <w:tcMar>
              <w:top w:w="0" w:type="dxa"/>
              <w:left w:w="108" w:type="dxa"/>
              <w:bottom w:w="0" w:type="dxa"/>
              <w:right w:w="108" w:type="dxa"/>
            </w:tcMar>
            <w:vAlign w:val="center"/>
          </w:tcPr>
          <w:p w14:paraId="44128C3B">
            <w:pPr>
              <w:jc w:val="both"/>
              <w:rPr>
                <w:rFonts w:ascii="宋体"/>
                <w:sz w:val="24"/>
                <w:szCs w:val="24"/>
              </w:rPr>
            </w:pPr>
          </w:p>
        </w:tc>
        <w:tc>
          <w:tcPr>
            <w:tcW w:w="688" w:type="dxa"/>
            <w:vMerge w:val="continue"/>
            <w:tcBorders>
              <w:top w:val="nil"/>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43884A5C">
            <w:pPr>
              <w:jc w:val="both"/>
              <w:rPr>
                <w:rFonts w:ascii="宋体"/>
                <w:sz w:val="24"/>
                <w:szCs w:val="24"/>
              </w:rPr>
            </w:pPr>
          </w:p>
        </w:tc>
        <w:tc>
          <w:tcPr>
            <w:tcW w:w="688" w:type="dxa"/>
            <w:tcBorders>
              <w:top w:val="nil"/>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43110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商业</w:t>
            </w:r>
          </w:p>
          <w:p w14:paraId="1ABB5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企业</w:t>
            </w:r>
          </w:p>
        </w:tc>
        <w:tc>
          <w:tcPr>
            <w:tcW w:w="688" w:type="dxa"/>
            <w:tcBorders>
              <w:top w:val="nil"/>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02286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科研</w:t>
            </w:r>
          </w:p>
          <w:p w14:paraId="5E615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2EEC8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2A3F3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35782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其他</w:t>
            </w:r>
          </w:p>
        </w:tc>
        <w:tc>
          <w:tcPr>
            <w:tcW w:w="689" w:type="dxa"/>
            <w:vMerge w:val="continue"/>
            <w:tcBorders>
              <w:top w:val="single" w:color="auto" w:sz="8" w:space="0"/>
              <w:left w:val="nil"/>
              <w:bottom w:val="single" w:color="auto" w:sz="8" w:space="0"/>
              <w:right w:val="single" w:color="auto" w:sz="8" w:space="0"/>
            </w:tcBorders>
            <w:shd w:val="clear" w:color="9BC2E6" w:fill="9BC2E6"/>
            <w:tcMar>
              <w:top w:w="0" w:type="dxa"/>
              <w:left w:w="57" w:type="dxa"/>
              <w:bottom w:w="0" w:type="dxa"/>
              <w:right w:w="57" w:type="dxa"/>
            </w:tcMar>
            <w:vAlign w:val="center"/>
          </w:tcPr>
          <w:p w14:paraId="411E0E31">
            <w:pPr>
              <w:jc w:val="both"/>
              <w:rPr>
                <w:rFonts w:ascii="宋体"/>
                <w:sz w:val="24"/>
                <w:szCs w:val="24"/>
              </w:rPr>
            </w:pPr>
          </w:p>
        </w:tc>
      </w:tr>
      <w:tr w14:paraId="3D3B36C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29F87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7865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宋体"/>
                <w:lang w:val="en-US" w:eastAsia="zh-CN"/>
              </w:rPr>
            </w:pPr>
            <w:r>
              <w:rPr>
                <w:rFonts w:hint="eastAsia" w:eastAsia="宋体" w:cs="Calibri"/>
                <w:sz w:val="20"/>
                <w:szCs w:val="20"/>
                <w:lang w:val="en-US" w:eastAsia="zh-CN"/>
              </w:rPr>
              <w:t>596</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BA15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宋体"/>
                <w:lang w:val="en-US" w:eastAsia="zh-CN"/>
              </w:rPr>
            </w:pPr>
            <w:r>
              <w:rPr>
                <w:rFonts w:hint="eastAsia" w:eastAsia="宋体" w:cs="Calibri"/>
                <w:sz w:val="20"/>
                <w:szCs w:val="20"/>
                <w:lang w:val="en-US" w:eastAsia="zh-CN"/>
              </w:rPr>
              <w:t>75</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F8C7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6630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DC29B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91EC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9</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6E90C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宋体"/>
                <w:lang w:val="en-US" w:eastAsia="zh-CN"/>
              </w:rPr>
            </w:pPr>
            <w:r>
              <w:rPr>
                <w:rFonts w:hint="eastAsia" w:eastAsia="宋体" w:cs="Calibri"/>
                <w:sz w:val="20"/>
                <w:szCs w:val="20"/>
                <w:lang w:val="en-US" w:eastAsia="zh-CN"/>
              </w:rPr>
              <w:t>681</w:t>
            </w:r>
          </w:p>
        </w:tc>
      </w:tr>
      <w:tr w14:paraId="3628D3D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7C78D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BDECA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宋体"/>
                <w:lang w:val="en-US" w:eastAsia="zh-CN"/>
              </w:rPr>
            </w:pPr>
            <w:r>
              <w:rPr>
                <w:rFonts w:hint="eastAsia" w:eastAsia="宋体" w:cs="Calibri"/>
                <w:sz w:val="20"/>
                <w:szCs w:val="20"/>
                <w:lang w:val="en-US" w:eastAsia="zh-CN"/>
              </w:rPr>
              <w:t>35</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2845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7</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A6E1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C31F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39AC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DF2A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1058A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42</w:t>
            </w:r>
          </w:p>
        </w:tc>
      </w:tr>
      <w:tr w14:paraId="367B4E4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57230C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28D83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B01EC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lang w:val="en-US"/>
              </w:rPr>
            </w:pPr>
            <w:r>
              <w:rPr>
                <w:rFonts w:hint="eastAsia" w:cs="Calibri"/>
                <w:sz w:val="20"/>
                <w:szCs w:val="20"/>
                <w:lang w:val="en-US" w:eastAsia="zh-CN" w:bidi="ar"/>
              </w:rPr>
              <w:t>429</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0A07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lang w:val="en-US"/>
              </w:rPr>
            </w:pPr>
            <w:r>
              <w:rPr>
                <w:rFonts w:hint="eastAsia" w:eastAsia="宋体" w:cs="Calibri"/>
                <w:sz w:val="20"/>
                <w:szCs w:val="20"/>
                <w:lang w:val="en-US" w:eastAsia="zh-CN"/>
              </w:rPr>
              <w:t>68</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28162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AA04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CACE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0F8F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6</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62BBA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lang w:val="en-US"/>
              </w:rPr>
            </w:pPr>
            <w:r>
              <w:rPr>
                <w:rFonts w:hint="eastAsia" w:cs="Calibri"/>
                <w:sz w:val="20"/>
                <w:szCs w:val="20"/>
                <w:lang w:val="en-US" w:eastAsia="zh-CN" w:bidi="ar"/>
              </w:rPr>
              <w:t>504</w:t>
            </w:r>
          </w:p>
        </w:tc>
      </w:tr>
      <w:tr w14:paraId="14BB5595">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7808B910">
            <w:pPr>
              <w:jc w:val="both"/>
              <w:rPr>
                <w:rFonts w:ascii="宋体"/>
                <w:sz w:val="24"/>
                <w:szCs w:val="24"/>
              </w:rPr>
            </w:pPr>
          </w:p>
        </w:tc>
        <w:tc>
          <w:tcPr>
            <w:tcW w:w="4163" w:type="dxa"/>
            <w:gridSpan w:val="2"/>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07E39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（二）部分公开</w:t>
            </w:r>
            <w:r>
              <w:rPr>
                <w:rFonts w:hint="default" w:ascii="楷体" w:hAnsi="楷体" w:eastAsia="楷体" w:cs="楷体"/>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912B2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8</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056F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eastAsia="宋体" w:cs="Calibri"/>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C397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4C9F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BAD1B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4915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Calibri" w:hAnsi="Calibri" w:cs="Calibri"/>
                <w:sz w:val="20"/>
                <w:szCs w:val="20"/>
                <w:lang w:val="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5FCB3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8</w:t>
            </w:r>
          </w:p>
        </w:tc>
      </w:tr>
      <w:tr w14:paraId="4959C17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4963C79C">
            <w:pPr>
              <w:jc w:val="both"/>
              <w:rPr>
                <w:rFonts w:ascii="宋体"/>
                <w:sz w:val="24"/>
                <w:szCs w:val="24"/>
              </w:rPr>
            </w:pPr>
          </w:p>
        </w:tc>
        <w:tc>
          <w:tcPr>
            <w:tcW w:w="943" w:type="dxa"/>
            <w:vMerge w:val="restart"/>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3EC11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52C550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CA96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lang w:val="en-US"/>
              </w:rPr>
            </w:pPr>
            <w:r>
              <w:rPr>
                <w:rFonts w:hint="eastAsia" w:cs="Calibri"/>
                <w:sz w:val="20"/>
                <w:szCs w:val="20"/>
                <w:lang w:val="en-US" w:eastAsia="zh-CN" w:bidi="ar"/>
              </w:rPr>
              <w:t>3</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8326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2EDD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351D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C970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26598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6B29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3</w:t>
            </w:r>
          </w:p>
        </w:tc>
      </w:tr>
      <w:tr w14:paraId="5789116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774A1C96">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7B578B2C">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5840F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2D50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8963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8FE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51C8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4A05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C2CE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4BF60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r>
      <w:tr w14:paraId="20B244D4">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4BBC3843">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58FCDD89">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01E5A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F338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7235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4AF0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F41A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E584D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340CE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515FD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r>
      <w:tr w14:paraId="2541458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5B42FE1B">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7AD6EA6C">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4733C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FC1A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42A3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922F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F97C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457D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6918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79EC4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r>
              <w:rPr>
                <w:rFonts w:hint="eastAsia" w:ascii="Calibri" w:hAnsi="Calibri" w:cs="Calibri"/>
                <w:sz w:val="20"/>
                <w:szCs w:val="20"/>
                <w:lang w:val="en-US" w:eastAsia="zh-CN" w:bidi="ar"/>
              </w:rPr>
              <w:t>0</w:t>
            </w:r>
          </w:p>
        </w:tc>
      </w:tr>
      <w:tr w14:paraId="142DDCD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74B81CD3">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5433841C">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09A27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3E1B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0F365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4102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7D943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E797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6CAB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4F3D6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r>
      <w:tr w14:paraId="5D56A1B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65C73522">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19074DAE">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1E70B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57B5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29A1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A1B18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C396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CA5E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319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75231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r>
      <w:tr w14:paraId="3436234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62B68EF5">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4702D66F">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51A388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C504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5FE27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677A5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57F05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534B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8A3E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16E71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r>
      <w:tr w14:paraId="254D7AF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1BC46D18">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69066796">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0E7E5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D285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SimSun"/>
                <w:lang w:eastAsia="zh-CN"/>
              </w:rPr>
            </w:pPr>
            <w:r>
              <w:rPr>
                <w:rFonts w:hint="eastAsia" w:eastAsia="SimSun" w:cs="Calibri"/>
                <w:sz w:val="20"/>
                <w:szCs w:val="20"/>
                <w:lang w:val="en-US" w:eastAsia="zh-CN"/>
              </w:rPr>
              <w:t>5</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80C0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2</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8AF3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B93A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8338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198C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0E710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5</w:t>
            </w:r>
          </w:p>
        </w:tc>
      </w:tr>
      <w:tr w14:paraId="1BB3636C">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3498B5F3">
            <w:pPr>
              <w:jc w:val="both"/>
              <w:rPr>
                <w:rFonts w:ascii="宋体"/>
                <w:sz w:val="24"/>
                <w:szCs w:val="24"/>
              </w:rPr>
            </w:pPr>
          </w:p>
        </w:tc>
        <w:tc>
          <w:tcPr>
            <w:tcW w:w="943" w:type="dxa"/>
            <w:vMerge w:val="restart"/>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23680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485D2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03ED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136</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29C2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8</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077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08A5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DFAE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EB91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0A0F1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144</w:t>
            </w:r>
          </w:p>
        </w:tc>
      </w:tr>
      <w:tr w14:paraId="398F2E5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673F7AC3">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38D37123">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1314F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A242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lang w:val="en-US"/>
              </w:rPr>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5C6E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A0DF0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6F03E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372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1D95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47BF6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r>
      <w:tr w14:paraId="0A8EDFC9">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3DED08D8">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3EC06807">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17FB7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7AB6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C4E4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D639D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BA0DD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745F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736E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3C2B6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r>
      <w:tr w14:paraId="44EDE9C4">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12FED69F">
            <w:pPr>
              <w:jc w:val="both"/>
              <w:rPr>
                <w:rFonts w:ascii="宋体"/>
                <w:sz w:val="24"/>
                <w:szCs w:val="24"/>
              </w:rPr>
            </w:pPr>
          </w:p>
        </w:tc>
        <w:tc>
          <w:tcPr>
            <w:tcW w:w="943" w:type="dxa"/>
            <w:vMerge w:val="restart"/>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2A58A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51442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87E9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00AB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AA40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63FF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E5C5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A9F68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0BF32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r>
      <w:tr w14:paraId="76DB0165">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76D13DD4">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452B9F89">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44938F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EB18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7A073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14519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EBDD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087F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BAC0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4447A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2</w:t>
            </w:r>
          </w:p>
        </w:tc>
      </w:tr>
      <w:tr w14:paraId="1C350EE2">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64F9B2FA">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2C23FE91">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7C9A6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F700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83DA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15F11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82D8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86A2D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BF3D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24363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r>
      <w:tr w14:paraId="6E4B63A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3E62173F">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0740945D">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top"/>
          </w:tcPr>
          <w:p w14:paraId="4A7B7F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6D4E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690C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2D23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D6E7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5FDC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9BAA8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25EF4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r>
      <w:tr w14:paraId="0635F5A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3894F214">
            <w:pPr>
              <w:jc w:val="both"/>
              <w:rPr>
                <w:rFonts w:ascii="宋体"/>
                <w:sz w:val="24"/>
                <w:szCs w:val="24"/>
              </w:rPr>
            </w:pPr>
          </w:p>
        </w:tc>
        <w:tc>
          <w:tcPr>
            <w:tcW w:w="943" w:type="dxa"/>
            <w:vMerge w:val="continue"/>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32140A32">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2386E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5.要求行政机关确认或重新出具已获取信息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74FF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1C9B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520B3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918F9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9661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98EC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75BC2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r>
      <w:tr w14:paraId="02675745">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447EF5B4">
            <w:pPr>
              <w:jc w:val="both"/>
              <w:rPr>
                <w:rFonts w:ascii="宋体"/>
                <w:sz w:val="24"/>
                <w:szCs w:val="24"/>
              </w:rPr>
            </w:pPr>
          </w:p>
        </w:tc>
        <w:tc>
          <w:tcPr>
            <w:tcW w:w="943" w:type="dxa"/>
            <w:vMerge w:val="restart"/>
            <w:tcBorders>
              <w:top w:val="single" w:color="auto" w:sz="8" w:space="0"/>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26827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6E62D3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358A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98607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68A6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2CD9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72EA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FFD6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38E7F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r>
      <w:tr w14:paraId="4182215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03D716C8">
            <w:pPr>
              <w:jc w:val="both"/>
              <w:rPr>
                <w:rFonts w:ascii="宋体"/>
                <w:sz w:val="24"/>
                <w:szCs w:val="24"/>
              </w:rPr>
            </w:pPr>
          </w:p>
        </w:tc>
        <w:tc>
          <w:tcPr>
            <w:tcW w:w="943" w:type="dxa"/>
            <w:vMerge w:val="continue"/>
            <w:tcBorders>
              <w:top w:val="single" w:color="auto" w:sz="8" w:space="0"/>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5AA7F029">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1F1347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F82E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6798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2</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29DD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D8E5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A430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C1BB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279BE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2</w:t>
            </w:r>
          </w:p>
        </w:tc>
      </w:tr>
      <w:tr w14:paraId="751F109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1529CBFF">
            <w:pPr>
              <w:jc w:val="both"/>
              <w:rPr>
                <w:rFonts w:ascii="宋体"/>
                <w:sz w:val="24"/>
                <w:szCs w:val="24"/>
              </w:rPr>
            </w:pPr>
          </w:p>
        </w:tc>
        <w:tc>
          <w:tcPr>
            <w:tcW w:w="943" w:type="dxa"/>
            <w:vMerge w:val="continue"/>
            <w:tcBorders>
              <w:top w:val="single" w:color="auto" w:sz="8" w:space="0"/>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2FB2DC1E">
            <w:pPr>
              <w:jc w:val="both"/>
              <w:rPr>
                <w:rFonts w:ascii="宋体"/>
                <w:sz w:val="24"/>
                <w:szCs w:val="24"/>
              </w:rPr>
            </w:pPr>
          </w:p>
        </w:tc>
        <w:tc>
          <w:tcPr>
            <w:tcW w:w="3220" w:type="dxa"/>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77608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FCAEF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DDA4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3998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51CA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78B8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71D9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Calibri" w:hAnsi="Calibri" w:cs="Calibri"/>
                <w:sz w:val="20"/>
                <w:szCs w:val="20"/>
                <w:lang w:val="en-US" w:eastAsia="zh-CN" w:bidi="ar"/>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533809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r>
      <w:tr w14:paraId="06CACB6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4B97CC58">
            <w:pPr>
              <w:jc w:val="both"/>
              <w:rPr>
                <w:rFonts w:ascii="宋体"/>
                <w:sz w:val="24"/>
                <w:szCs w:val="24"/>
              </w:rPr>
            </w:pPr>
          </w:p>
        </w:tc>
        <w:tc>
          <w:tcPr>
            <w:tcW w:w="4163" w:type="dxa"/>
            <w:gridSpan w:val="2"/>
            <w:tcBorders>
              <w:top w:val="nil"/>
              <w:left w:val="nil"/>
              <w:bottom w:val="single" w:color="auto" w:sz="8" w:space="0"/>
              <w:right w:val="single" w:color="auto" w:sz="8" w:space="0"/>
            </w:tcBorders>
            <w:shd w:val="clear" w:color="DDEBF7" w:fill="DDEBF7"/>
            <w:tcMar>
              <w:top w:w="0" w:type="dxa"/>
              <w:left w:w="57" w:type="dxa"/>
              <w:bottom w:w="0" w:type="dxa"/>
              <w:right w:w="57" w:type="dxa"/>
            </w:tcMar>
            <w:vAlign w:val="center"/>
          </w:tcPr>
          <w:p w14:paraId="6F2CE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DE71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宋体"/>
                <w:lang w:val="en-US" w:eastAsia="zh-CN"/>
              </w:rPr>
            </w:pPr>
            <w:r>
              <w:rPr>
                <w:rFonts w:hint="eastAsia" w:eastAsia="宋体" w:cs="Calibri"/>
                <w:sz w:val="20"/>
                <w:szCs w:val="20"/>
                <w:lang w:val="en-US" w:eastAsia="zh-CN"/>
              </w:rPr>
              <w:t>595</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07E7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宋体"/>
                <w:lang w:val="en-US" w:eastAsia="zh-CN"/>
              </w:rPr>
            </w:pPr>
            <w:r>
              <w:rPr>
                <w:rFonts w:hint="eastAsia" w:eastAsia="宋体" w:cs="Calibri"/>
                <w:sz w:val="20"/>
                <w:szCs w:val="20"/>
                <w:lang w:val="en-US" w:eastAsia="zh-CN"/>
              </w:rPr>
              <w:t>79</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56D8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A321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D24A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99AE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宋体"/>
                <w:lang w:eastAsia="zh-CN"/>
              </w:rPr>
            </w:pPr>
            <w:r>
              <w:rPr>
                <w:rFonts w:hint="eastAsia" w:eastAsia="宋体" w:cs="Calibri"/>
                <w:sz w:val="20"/>
                <w:szCs w:val="20"/>
                <w:lang w:val="en-US" w:eastAsia="zh-CN"/>
              </w:rPr>
              <w:t>6</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6A2DEB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eastAsia="宋体"/>
                <w:lang w:val="en-US" w:eastAsia="zh-CN"/>
              </w:rPr>
            </w:pPr>
            <w:r>
              <w:rPr>
                <w:rFonts w:hint="eastAsia" w:eastAsia="宋体" w:cs="Calibri"/>
                <w:sz w:val="20"/>
                <w:szCs w:val="20"/>
                <w:lang w:val="en-US" w:eastAsia="zh-CN"/>
              </w:rPr>
              <w:t>681</w:t>
            </w:r>
          </w:p>
        </w:tc>
      </w:tr>
      <w:tr w14:paraId="5007238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BDD7EE" w:fill="BDD7EE"/>
            <w:tcMar>
              <w:top w:w="0" w:type="dxa"/>
              <w:left w:w="57" w:type="dxa"/>
              <w:bottom w:w="0" w:type="dxa"/>
              <w:right w:w="57" w:type="dxa"/>
            </w:tcMar>
            <w:vAlign w:val="center"/>
          </w:tcPr>
          <w:p w14:paraId="14D082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0"/>
                <w:szCs w:val="20"/>
                <w:lang w:val="en-US" w:eastAsia="zh-CN" w:bidi="ar"/>
              </w:rPr>
              <w:t>四、结转下年度继续办理</w:t>
            </w:r>
          </w:p>
        </w:tc>
        <w:tc>
          <w:tcPr>
            <w:tcW w:w="688" w:type="dxa"/>
            <w:tcBorders>
              <w:top w:val="single" w:color="auto" w:sz="6" w:space="0"/>
              <w:left w:val="nil"/>
              <w:bottom w:val="single" w:color="auto" w:sz="6" w:space="0"/>
              <w:right w:val="single" w:color="auto" w:sz="6" w:space="0"/>
            </w:tcBorders>
            <w:vAlign w:val="center"/>
          </w:tcPr>
          <w:p w14:paraId="3BDB0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eastAsia="宋体" w:cs="Calibri"/>
                <w:sz w:val="20"/>
                <w:szCs w:val="20"/>
                <w:lang w:val="en-US" w:eastAsia="zh-CN" w:bidi="ar"/>
              </w:rPr>
            </w:pPr>
            <w:r>
              <w:rPr>
                <w:rFonts w:hint="eastAsia" w:eastAsia="宋体" w:cs="Calibri"/>
                <w:sz w:val="20"/>
                <w:szCs w:val="20"/>
                <w:lang w:val="en-US" w:eastAsia="zh-CN"/>
              </w:rPr>
              <w:t>36</w:t>
            </w:r>
          </w:p>
        </w:tc>
        <w:tc>
          <w:tcPr>
            <w:tcW w:w="688" w:type="dxa"/>
            <w:tcBorders>
              <w:top w:val="single" w:color="auto" w:sz="6" w:space="0"/>
              <w:left w:val="nil"/>
              <w:bottom w:val="single" w:color="auto" w:sz="6" w:space="0"/>
              <w:right w:val="single" w:color="auto" w:sz="6" w:space="0"/>
            </w:tcBorders>
            <w:vAlign w:val="center"/>
          </w:tcPr>
          <w:p w14:paraId="53E6D3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eastAsia="宋体" w:cs="Calibri"/>
                <w:sz w:val="20"/>
                <w:szCs w:val="20"/>
                <w:lang w:val="en-US" w:eastAsia="zh-CN" w:bidi="ar"/>
              </w:rPr>
            </w:pPr>
            <w:r>
              <w:rPr>
                <w:rFonts w:hint="eastAsia" w:eastAsia="宋体" w:cs="Calibri"/>
                <w:sz w:val="20"/>
                <w:szCs w:val="20"/>
                <w:lang w:val="en-US" w:eastAsia="zh-CN"/>
              </w:rPr>
              <w:t>3</w:t>
            </w:r>
          </w:p>
        </w:tc>
        <w:tc>
          <w:tcPr>
            <w:tcW w:w="688" w:type="dxa"/>
            <w:tcBorders>
              <w:top w:val="single" w:color="auto" w:sz="6" w:space="0"/>
              <w:left w:val="nil"/>
              <w:bottom w:val="single" w:color="auto" w:sz="6" w:space="0"/>
              <w:right w:val="single" w:color="auto" w:sz="6" w:space="0"/>
            </w:tcBorders>
            <w:vAlign w:val="center"/>
          </w:tcPr>
          <w:p w14:paraId="4CC95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cs="Calibri"/>
                <w:sz w:val="20"/>
                <w:szCs w:val="20"/>
                <w:lang w:val="en-US" w:eastAsia="zh-CN" w:bidi="ar"/>
              </w:rPr>
            </w:pPr>
            <w:r>
              <w:rPr>
                <w:rFonts w:hint="eastAsia" w:ascii="Calibri" w:hAnsi="Calibri" w:cs="Calibri"/>
                <w:sz w:val="20"/>
                <w:szCs w:val="20"/>
                <w:lang w:val="en-US" w:eastAsia="zh-CN" w:bidi="ar"/>
              </w:rPr>
              <w:t>0</w:t>
            </w:r>
          </w:p>
        </w:tc>
        <w:tc>
          <w:tcPr>
            <w:tcW w:w="688" w:type="dxa"/>
            <w:tcBorders>
              <w:top w:val="single" w:color="auto" w:sz="6" w:space="0"/>
              <w:left w:val="nil"/>
              <w:bottom w:val="single" w:color="auto" w:sz="6" w:space="0"/>
              <w:right w:val="single" w:color="auto" w:sz="6" w:space="0"/>
            </w:tcBorders>
            <w:vAlign w:val="center"/>
          </w:tcPr>
          <w:p w14:paraId="51A2E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cs="Calibri"/>
                <w:sz w:val="20"/>
                <w:szCs w:val="20"/>
                <w:lang w:val="en-US" w:eastAsia="zh-CN" w:bidi="ar"/>
              </w:rPr>
            </w:pPr>
            <w:r>
              <w:rPr>
                <w:rFonts w:hint="eastAsia" w:ascii="Calibri" w:hAnsi="Calibri" w:cs="Calibri"/>
                <w:sz w:val="20"/>
                <w:szCs w:val="20"/>
                <w:lang w:val="en-US" w:eastAsia="zh-CN" w:bidi="ar"/>
              </w:rPr>
              <w:t>0</w:t>
            </w:r>
          </w:p>
        </w:tc>
        <w:tc>
          <w:tcPr>
            <w:tcW w:w="688" w:type="dxa"/>
            <w:tcBorders>
              <w:top w:val="single" w:color="auto" w:sz="6" w:space="0"/>
              <w:left w:val="nil"/>
              <w:bottom w:val="single" w:color="auto" w:sz="6" w:space="0"/>
              <w:right w:val="single" w:color="auto" w:sz="6" w:space="0"/>
            </w:tcBorders>
            <w:vAlign w:val="center"/>
          </w:tcPr>
          <w:p w14:paraId="6BFA0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cs="Calibri"/>
                <w:sz w:val="20"/>
                <w:szCs w:val="20"/>
                <w:lang w:val="en-US" w:eastAsia="zh-CN" w:bidi="ar"/>
              </w:rPr>
            </w:pPr>
            <w:r>
              <w:rPr>
                <w:rFonts w:hint="eastAsia" w:ascii="Calibri" w:hAnsi="Calibri" w:cs="Calibri"/>
                <w:sz w:val="20"/>
                <w:szCs w:val="20"/>
                <w:lang w:val="en-US" w:eastAsia="zh-CN" w:bidi="ar"/>
              </w:rPr>
              <w:t>0</w:t>
            </w:r>
          </w:p>
        </w:tc>
        <w:tc>
          <w:tcPr>
            <w:tcW w:w="688" w:type="dxa"/>
            <w:tcBorders>
              <w:top w:val="single" w:color="auto" w:sz="6" w:space="0"/>
              <w:left w:val="nil"/>
              <w:bottom w:val="single" w:color="auto" w:sz="6" w:space="0"/>
              <w:right w:val="single" w:color="auto" w:sz="6" w:space="0"/>
            </w:tcBorders>
            <w:vAlign w:val="center"/>
          </w:tcPr>
          <w:p w14:paraId="53300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eastAsia="SimSun" w:cs="Calibri"/>
                <w:sz w:val="20"/>
                <w:szCs w:val="20"/>
                <w:lang w:val="en-US" w:eastAsia="zh-CN" w:bidi="ar"/>
              </w:rPr>
            </w:pPr>
            <w:r>
              <w:rPr>
                <w:rFonts w:hint="eastAsia" w:eastAsia="SimSun" w:cs="Calibri"/>
                <w:sz w:val="20"/>
                <w:szCs w:val="20"/>
                <w:lang w:val="en-US" w:eastAsia="zh-CN"/>
              </w:rPr>
              <w:t>3</w:t>
            </w:r>
          </w:p>
        </w:tc>
        <w:tc>
          <w:tcPr>
            <w:tcW w:w="689" w:type="dxa"/>
            <w:tcBorders>
              <w:top w:val="single" w:color="auto" w:sz="6" w:space="0"/>
              <w:left w:val="nil"/>
              <w:bottom w:val="single" w:color="auto" w:sz="6" w:space="0"/>
              <w:right w:val="single" w:color="auto" w:sz="6" w:space="0"/>
            </w:tcBorders>
            <w:vAlign w:val="center"/>
          </w:tcPr>
          <w:p w14:paraId="0F27D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Calibri" w:hAnsi="Calibri" w:cs="Calibri"/>
                <w:sz w:val="20"/>
                <w:szCs w:val="20"/>
                <w:lang w:val="en-US" w:eastAsia="zh-CN" w:bidi="ar"/>
              </w:rPr>
            </w:pPr>
            <w:r>
              <w:rPr>
                <w:rFonts w:hint="eastAsia" w:eastAsia="宋体" w:cs="Calibri"/>
                <w:sz w:val="20"/>
                <w:szCs w:val="20"/>
                <w:lang w:val="en-US" w:eastAsia="zh-CN"/>
              </w:rPr>
              <w:t>4</w:t>
            </w:r>
            <w:r>
              <w:rPr>
                <w:rFonts w:hint="eastAsia" w:ascii="Calibri" w:hAnsi="Calibri" w:cs="Calibri"/>
                <w:sz w:val="20"/>
                <w:szCs w:val="20"/>
                <w:lang w:val="zh-CN"/>
              </w:rPr>
              <w:t>2</w:t>
            </w:r>
          </w:p>
        </w:tc>
      </w:tr>
    </w:tbl>
    <w:p w14:paraId="40C9072C">
      <w:pPr>
        <w:pStyle w:val="2"/>
        <w:numPr>
          <w:ilvl w:val="0"/>
          <w:numId w:val="0"/>
        </w:numPr>
        <w:jc w:val="both"/>
      </w:pPr>
    </w:p>
    <w:p w14:paraId="1362299F">
      <w:pPr>
        <w:pStyle w:val="2"/>
        <w:numPr>
          <w:ilvl w:val="0"/>
          <w:numId w:val="0"/>
        </w:numPr>
        <w:jc w:val="both"/>
      </w:pPr>
    </w:p>
    <w:p w14:paraId="500CE9DF">
      <w:pPr>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021D6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tbl>
      <w:tblPr>
        <w:tblStyle w:val="29"/>
        <w:tblW w:w="9748" w:type="dxa"/>
        <w:jc w:val="center"/>
        <w:tblBorders>
          <w:top w:val="none" w:color="auto" w:sz="6" w:space="0"/>
          <w:left w:val="none" w:color="auto" w:sz="6" w:space="0"/>
          <w:bottom w:val="none" w:color="auto" w:sz="6" w:space="0"/>
          <w:right w:val="none" w:color="auto" w:sz="6" w:space="0"/>
          <w:insideH w:val="single" w:color="auto" w:sz="6" w:space="0"/>
          <w:insideV w:val="single"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5CB3B1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BDD7EE" w:fill="BDD7EE"/>
            <w:tcMar>
              <w:top w:w="0" w:type="dxa"/>
              <w:left w:w="108" w:type="dxa"/>
              <w:bottom w:w="0" w:type="dxa"/>
              <w:right w:w="108" w:type="dxa"/>
            </w:tcMar>
            <w:vAlign w:val="center"/>
          </w:tcPr>
          <w:p w14:paraId="338D3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BDD7EE" w:fill="BDD7EE"/>
            <w:tcMar>
              <w:top w:w="0" w:type="dxa"/>
              <w:left w:w="108" w:type="dxa"/>
              <w:bottom w:w="0" w:type="dxa"/>
              <w:right w:w="108" w:type="dxa"/>
            </w:tcMar>
            <w:vAlign w:val="center"/>
          </w:tcPr>
          <w:p w14:paraId="7E0E2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行政诉讼</w:t>
            </w:r>
          </w:p>
        </w:tc>
      </w:tr>
      <w:tr w14:paraId="4820D4B7">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C2B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182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结果</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6DD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其他</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52D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尚未</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BE7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DDEBF7" w:fill="DDEBF7"/>
            <w:tcMar>
              <w:top w:w="0" w:type="dxa"/>
              <w:left w:w="108" w:type="dxa"/>
              <w:bottom w:w="0" w:type="dxa"/>
              <w:right w:w="108" w:type="dxa"/>
            </w:tcMar>
            <w:vAlign w:val="center"/>
          </w:tcPr>
          <w:p w14:paraId="28705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DDEBF7" w:fill="DDEBF7"/>
            <w:tcMar>
              <w:top w:w="0" w:type="dxa"/>
              <w:left w:w="108" w:type="dxa"/>
              <w:bottom w:w="0" w:type="dxa"/>
              <w:right w:w="108" w:type="dxa"/>
            </w:tcMar>
            <w:vAlign w:val="center"/>
          </w:tcPr>
          <w:p w14:paraId="6B9DC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复议后起诉</w:t>
            </w:r>
          </w:p>
        </w:tc>
      </w:tr>
      <w:tr w14:paraId="4A63649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4AA2F2">
            <w:pPr>
              <w:jc w:val="both"/>
              <w:rPr>
                <w:rFonts w:ascii="宋体"/>
                <w:sz w:val="24"/>
                <w:szCs w:val="24"/>
              </w:rPr>
            </w:pPr>
          </w:p>
        </w:tc>
        <w:tc>
          <w:tcPr>
            <w:tcW w:w="649"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9649B2">
            <w:pPr>
              <w:jc w:val="both"/>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23BF21">
            <w:pPr>
              <w:jc w:val="both"/>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12706">
            <w:pPr>
              <w:jc w:val="both"/>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0D7B41">
            <w:pPr>
              <w:jc w:val="both"/>
              <w:rPr>
                <w:rFonts w:ascii="宋体"/>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02B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结果</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EEF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结果</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181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其他</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77C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尚未</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472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00000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8B8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结果</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7D6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结果</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02B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000000"/>
                <w:sz w:val="20"/>
                <w:szCs w:val="20"/>
                <w:lang w:val="en-US" w:eastAsia="zh-CN" w:bidi="ar"/>
              </w:rPr>
              <w:t>其他</w:t>
            </w:r>
            <w:r>
              <w:rPr>
                <w:rFonts w:hint="eastAsia" w:ascii="宋体" w:hAnsi="宋体" w:eastAsia="宋体" w:cs="宋体"/>
                <w:color w:val="000000"/>
                <w:sz w:val="20"/>
                <w:szCs w:val="20"/>
                <w:lang w:val="en-US" w:eastAsia="zh-CN" w:bidi="ar"/>
              </w:rPr>
              <w:br w:type="textWrapping"/>
            </w:r>
            <w:r>
              <w:rPr>
                <w:rFonts w:hint="eastAsia" w:ascii="宋体" w:hAnsi="宋体" w:eastAsia="宋体" w:cs="宋体"/>
                <w:color w:val="00000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D9C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sz w:val="20"/>
                <w:szCs w:val="20"/>
                <w:lang w:val="en-US" w:eastAsia="zh-CN" w:bidi="ar"/>
              </w:rPr>
              <w:t>尚未</w:t>
            </w:r>
            <w:r>
              <w:rPr>
                <w:rFonts w:hint="eastAsia" w:ascii="宋体" w:hAnsi="宋体" w:eastAsia="宋体" w:cs="宋体"/>
                <w:sz w:val="20"/>
                <w:szCs w:val="20"/>
                <w:lang w:val="en-US" w:eastAsia="zh-CN" w:bidi="ar"/>
              </w:rPr>
              <w:br w:type="textWrapping"/>
            </w:r>
            <w:r>
              <w:rPr>
                <w:rFonts w:hint="eastAsia" w:ascii="宋体" w:hAnsi="宋体" w:eastAsia="宋体" w:cs="宋体"/>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1A3D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000000"/>
                <w:sz w:val="20"/>
                <w:szCs w:val="20"/>
                <w:lang w:val="en-US" w:eastAsia="zh-CN" w:bidi="ar"/>
              </w:rPr>
              <w:t>总计</w:t>
            </w:r>
          </w:p>
        </w:tc>
      </w:tr>
      <w:tr w14:paraId="29E043D0">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F02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eastAsia="宋体"/>
                <w:lang w:val="en-US" w:eastAsia="zh-CN"/>
              </w:rPr>
            </w:pPr>
            <w:r>
              <w:rPr>
                <w:rFonts w:hint="eastAsia" w:eastAsia="宋体"/>
                <w:lang w:val="en-US" w:eastAsia="zh-CN"/>
              </w:rPr>
              <w:t>7</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BC1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CBA4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DEB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eastAsia="宋体"/>
                <w:lang w:val="en-US" w:eastAsia="zh-CN"/>
              </w:rPr>
            </w:pPr>
            <w:r>
              <w:rPr>
                <w:rFonts w:hint="eastAsia" w:eastAsia="宋体"/>
                <w:lang w:val="en-US" w:eastAsia="zh-CN"/>
              </w:rPr>
              <w:t>7</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14BA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eastAsia="宋体"/>
                <w:lang w:val="en-US" w:eastAsia="zh-CN"/>
              </w:rPr>
            </w:pPr>
            <w:r>
              <w:rPr>
                <w:rFonts w:hint="eastAsia" w:eastAsia="宋体"/>
                <w:lang w:val="en-US" w:eastAsia="zh-CN"/>
              </w:rPr>
              <w:t>14</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DD99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en-US" w:eastAsia="zh-CN"/>
              </w:rPr>
              <w:t>1</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8A5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088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3355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en-US" w:eastAsia="zh-CN"/>
              </w:rPr>
              <w:t>3</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F7C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en-US" w:eastAsia="zh-CN"/>
              </w:rPr>
              <w:t>4</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5B8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en-US" w:eastAsia="zh-CN"/>
              </w:rPr>
              <w:t>1</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124B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149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lang w:val="en-US" w:eastAsia="zh-CN"/>
              </w:rPr>
            </w:pPr>
            <w:r>
              <w:rPr>
                <w:rFonts w:hint="eastAsia"/>
                <w:lang w:val="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F12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eastAsia="宋体"/>
                <w:lang w:val="en-US" w:eastAsia="zh-CN"/>
              </w:rPr>
            </w:pPr>
            <w:r>
              <w:rPr>
                <w:rFonts w:hint="eastAsia" w:eastAsia="宋体"/>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BC00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eastAsia="宋体"/>
                <w:lang w:val="en-US" w:eastAsia="zh-CN"/>
              </w:rPr>
            </w:pPr>
            <w:r>
              <w:rPr>
                <w:rFonts w:hint="eastAsia" w:eastAsia="宋体"/>
                <w:lang w:val="en-US" w:eastAsia="zh-CN"/>
              </w:rPr>
              <w:t>1</w:t>
            </w:r>
          </w:p>
        </w:tc>
      </w:tr>
    </w:tbl>
    <w:p w14:paraId="560554AE">
      <w:pPr>
        <w:keepNext w:val="0"/>
        <w:keepLines w:val="0"/>
        <w:widowControl/>
        <w:suppressLineNumbers w:val="0"/>
        <w:jc w:val="both"/>
      </w:pPr>
    </w:p>
    <w:p w14:paraId="11EF443F">
      <w:pPr>
        <w:widowControl/>
        <w:spacing w:line="560" w:lineRule="exact"/>
        <w:ind w:firstLine="672"/>
        <w:jc w:val="both"/>
        <w:rPr>
          <w:rFonts w:ascii="宋体" w:hAnsi="宋体" w:cs="宋体"/>
          <w:spacing w:val="8"/>
          <w:sz w:val="24"/>
        </w:rPr>
      </w:pPr>
      <w:r>
        <w:rPr>
          <w:rFonts w:ascii="黑体" w:hAnsi="黑体" w:eastAsia="黑体" w:cs="宋体"/>
          <w:spacing w:val="8"/>
          <w:sz w:val="32"/>
          <w:szCs w:val="32"/>
        </w:rPr>
        <w:t>五、存在的主要问题及改进情况</w:t>
      </w:r>
    </w:p>
    <w:p w14:paraId="1CFDAE8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75" w:firstLineChars="0"/>
        <w:jc w:val="both"/>
        <w:textAlignment w:val="auto"/>
        <w:outlineLvl w:val="9"/>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分局</w:t>
      </w:r>
      <w:r>
        <w:rPr>
          <w:rFonts w:hint="eastAsia" w:ascii="仿宋_GB2312" w:hAnsi="仿宋_GB2312" w:eastAsia="仿宋_GB2312" w:cs="仿宋_GB2312"/>
          <w:spacing w:val="8"/>
          <w:sz w:val="32"/>
          <w:szCs w:val="32"/>
          <w:lang w:val="en-US" w:eastAsia="zh-CN"/>
        </w:rPr>
        <w:t>2025</w:t>
      </w:r>
      <w:r>
        <w:rPr>
          <w:rFonts w:hint="eastAsia" w:ascii="仿宋_GB2312" w:hAnsi="仿宋_GB2312" w:eastAsia="仿宋_GB2312" w:cs="仿宋_GB2312"/>
          <w:spacing w:val="8"/>
          <w:sz w:val="32"/>
          <w:szCs w:val="32"/>
          <w:lang w:eastAsia="zh-CN"/>
        </w:rPr>
        <w:t>年政府信息公开工作取得了一定的进展和成效,但也出现了一些新问题:随着申请量持续增加、办理难度增大、复议诉讼败诉风险升高，部分信息公开工作人员对法律法规学的不够深入透彻的问题暴露出来，信息公开答复质量还有待提高；</w:t>
      </w:r>
      <w:r>
        <w:rPr>
          <w:rFonts w:hint="eastAsia" w:ascii="仿宋_GB2312" w:hAnsi="仿宋_GB2312" w:eastAsia="仿宋_GB2312" w:cs="仿宋_GB2312"/>
          <w:color w:val="auto"/>
          <w:sz w:val="32"/>
          <w:szCs w:val="32"/>
          <w:lang w:val="en-US" w:eastAsia="zh-CN"/>
        </w:rPr>
        <w:t>在内部工作流程及职责分工上不够明确；信息公开工作人员对与申请人沟通仍有“畏难”情绪，沟通能力也有待提高</w:t>
      </w:r>
      <w:r>
        <w:rPr>
          <w:rFonts w:hint="eastAsia" w:ascii="仿宋_GB2312" w:hAnsi="仿宋_GB2312" w:eastAsia="仿宋_GB2312" w:cs="仿宋_GB2312"/>
          <w:spacing w:val="8"/>
          <w:sz w:val="32"/>
          <w:szCs w:val="32"/>
          <w:lang w:eastAsia="zh-CN"/>
        </w:rPr>
        <w:t>。</w:t>
      </w:r>
    </w:p>
    <w:p w14:paraId="74D0303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75" w:firstLineChars="0"/>
        <w:jc w:val="both"/>
        <w:textAlignment w:val="auto"/>
        <w:outlineLvl w:val="9"/>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针对以上问题，我分局第一时间修订印发了《北京市规划和自然资源委员会房山分局政府信息依申请公开工作实施细则》（以下简称《细则》），组织全局信息公开工作人员深入学习并严格执行，在执行过程中把《细则》学深学透，有效提升信息公开答复质量；结合工作实际，梳理内部工作流程，明确职责分工；强调从思维上进行转变，加强服务意识，通过要求信息公开工作人员主动沟通、多沟通，有效提升沟通能力。</w:t>
      </w:r>
    </w:p>
    <w:p w14:paraId="439E6960">
      <w:pPr>
        <w:keepNext w:val="0"/>
        <w:keepLines w:val="0"/>
        <w:pageBreakBefore w:val="0"/>
        <w:widowControl/>
        <w:spacing w:line="600" w:lineRule="exact"/>
        <w:ind w:left="0" w:right="0" w:firstLine="675"/>
        <w:jc w:val="both"/>
        <w:outlineLvl w:val="9"/>
        <w:rPr>
          <w:rFonts w:ascii="宋体" w:hAnsi="宋体" w:cs="宋体"/>
          <w:spacing w:val="8"/>
          <w:sz w:val="32"/>
          <w:szCs w:val="32"/>
        </w:rPr>
      </w:pPr>
      <w:r>
        <w:rPr>
          <w:rFonts w:ascii="黑体" w:hAnsi="黑体" w:eastAsia="黑体" w:cs="宋体"/>
          <w:spacing w:val="8"/>
          <w:sz w:val="32"/>
          <w:szCs w:val="32"/>
        </w:rPr>
        <w:t>六、其他需要报告的事项</w:t>
      </w:r>
    </w:p>
    <w:p w14:paraId="4C3374A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74"/>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宋体" w:eastAsia="仿宋_GB2312" w:cs="宋体"/>
          <w:spacing w:val="8"/>
          <w:sz w:val="32"/>
          <w:szCs w:val="32"/>
          <w:lang w:val="zh-CN" w:eastAsia="zh-CN"/>
        </w:rPr>
        <w:t>202</w:t>
      </w:r>
      <w:r>
        <w:rPr>
          <w:rFonts w:hint="eastAsia" w:ascii="仿宋_GB2312" w:hAnsi="宋体" w:eastAsia="仿宋_GB2312" w:cs="宋体"/>
          <w:spacing w:val="8"/>
          <w:sz w:val="32"/>
          <w:szCs w:val="32"/>
          <w:lang w:val="en-US" w:eastAsia="zh-CN"/>
        </w:rPr>
        <w:t>5</w:t>
      </w:r>
      <w:r>
        <w:rPr>
          <w:rFonts w:hint="eastAsia" w:ascii="仿宋_GB2312" w:hAnsi="宋体" w:eastAsia="仿宋_GB2312" w:cs="宋体"/>
          <w:spacing w:val="8"/>
          <w:sz w:val="32"/>
          <w:szCs w:val="32"/>
          <w:lang w:val="zh-CN" w:eastAsia="zh-CN"/>
        </w:rPr>
        <w:t>年，房山分局</w:t>
      </w:r>
      <w:r>
        <w:rPr>
          <w:rFonts w:hint="eastAsia" w:ascii="仿宋_GB2312" w:hAnsi="仿宋_GB2312" w:eastAsia="仿宋_GB2312" w:cs="仿宋_GB2312"/>
          <w:b w:val="0"/>
          <w:bCs w:val="0"/>
          <w:color w:val="auto"/>
          <w:kern w:val="2"/>
          <w:sz w:val="32"/>
          <w:szCs w:val="32"/>
          <w:highlight w:val="none"/>
          <w:lang w:val="en-US" w:eastAsia="zh-CN" w:bidi="ar-SA"/>
        </w:rPr>
        <w:t>依据</w:t>
      </w:r>
      <w:r>
        <w:rPr>
          <w:rFonts w:hint="eastAsia" w:ascii="仿宋_GB2312" w:hAnsi="仿宋_GB2312" w:eastAsia="仿宋_GB2312" w:cs="仿宋_GB2312"/>
          <w:spacing w:val="8"/>
          <w:sz w:val="32"/>
          <w:szCs w:val="32"/>
          <w:lang w:eastAsia="zh-CN"/>
        </w:rPr>
        <w:t>《细则》</w:t>
      </w:r>
      <w:r>
        <w:rPr>
          <w:rFonts w:hint="eastAsia" w:ascii="仿宋_GB2312" w:hAnsi="仿宋_GB2312" w:eastAsia="仿宋_GB2312" w:cs="仿宋_GB2312"/>
          <w:b w:val="0"/>
          <w:bCs w:val="0"/>
          <w:color w:val="auto"/>
          <w:kern w:val="2"/>
          <w:sz w:val="32"/>
          <w:szCs w:val="32"/>
          <w:highlight w:val="none"/>
          <w:lang w:val="en-US" w:eastAsia="zh-CN" w:bidi="ar-SA"/>
        </w:rPr>
        <w:t>，进一步强调信息公开应完成审核闭环，即：法律顾问审核-承办科长审核-承办主管领导审核-法制科复审-信息公开主管领导审核之后，才将答复送达申请人，</w:t>
      </w:r>
      <w:r>
        <w:rPr>
          <w:rFonts w:hint="eastAsia" w:ascii="仿宋_GB2312" w:hAnsi="仿宋_GB2312" w:eastAsia="仿宋_GB2312" w:cs="仿宋_GB2312"/>
          <w:color w:val="auto"/>
          <w:sz w:val="32"/>
          <w:szCs w:val="32"/>
          <w:lang w:val="en-US" w:eastAsia="zh-CN"/>
        </w:rPr>
        <w:t>通过多重审核机制降低问题发生率，减少复议诉讼败诉风险。</w:t>
      </w:r>
    </w:p>
    <w:p w14:paraId="7CAB13D2">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宋体" w:eastAsia="仿宋_GB2312" w:cs="宋体"/>
          <w:spacing w:val="8"/>
          <w:sz w:val="32"/>
          <w:szCs w:val="32"/>
          <w:lang w:val="en-US" w:eastAsia="zh-CN"/>
        </w:rPr>
      </w:pPr>
      <w:r>
        <w:rPr>
          <w:rFonts w:ascii="仿宋_GB2312" w:hAnsi="宋体" w:eastAsia="仿宋_GB2312" w:cs="宋体"/>
          <w:spacing w:val="8"/>
          <w:sz w:val="32"/>
          <w:szCs w:val="32"/>
          <w:lang w:val="zh-CN"/>
        </w:rPr>
        <w:t xml:space="preserve">    </w:t>
      </w:r>
      <w:r>
        <w:rPr>
          <w:rFonts w:ascii="仿宋_GB2312" w:hAnsi="宋体" w:eastAsia="仿宋_GB2312" w:cs="宋体"/>
          <w:spacing w:val="8"/>
          <w:sz w:val="32"/>
          <w:szCs w:val="32"/>
          <w:lang w:val="en-US" w:eastAsia="zh-CN"/>
        </w:rPr>
        <w:t>202</w:t>
      </w:r>
      <w:r>
        <w:rPr>
          <w:rFonts w:hint="eastAsia" w:ascii="仿宋_GB2312" w:hAnsi="宋体" w:eastAsia="仿宋_GB2312" w:cs="宋体"/>
          <w:spacing w:val="8"/>
          <w:sz w:val="32"/>
          <w:szCs w:val="32"/>
          <w:lang w:val="en-US" w:eastAsia="zh-CN"/>
        </w:rPr>
        <w:t>5</w:t>
      </w:r>
      <w:r>
        <w:rPr>
          <w:rFonts w:ascii="仿宋_GB2312" w:hAnsi="宋体" w:eastAsia="仿宋_GB2312" w:cs="宋体"/>
          <w:spacing w:val="8"/>
          <w:sz w:val="32"/>
          <w:szCs w:val="32"/>
          <w:lang w:val="en-US" w:eastAsia="zh-CN"/>
        </w:rPr>
        <w:t>年，</w:t>
      </w:r>
      <w:r>
        <w:rPr>
          <w:rFonts w:hint="eastAsia" w:ascii="仿宋_GB2312" w:hAnsi="宋体" w:eastAsia="仿宋_GB2312" w:cs="宋体"/>
          <w:spacing w:val="8"/>
          <w:sz w:val="32"/>
          <w:szCs w:val="32"/>
          <w:lang w:val="en-US" w:eastAsia="zh-CN"/>
        </w:rPr>
        <w:t>分局累计答复各类咨询事项4000余次。共对25件信息公开申请发出《收费通知单》，发出缴费金额425540元，其中23件申请完成缴费，收到信息处理费391900元。</w:t>
      </w:r>
    </w:p>
    <w:sectPr>
      <w:footerReference r:id="rId3" w:type="default"/>
      <w:pgSz w:w="11906" w:h="16838"/>
      <w:pgMar w:top="2098" w:right="1474" w:bottom="1984" w:left="1587"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3215E">
    <w:pPr>
      <w:pStyle w:val="18"/>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8FE6E">
                          <w:pPr>
                            <w:pStyle w:val="1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38FE6E">
                    <w:pPr>
                      <w:pStyle w:val="1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159BC"/>
    <w:rsid w:val="05D84E2B"/>
    <w:rsid w:val="0AE05EF7"/>
    <w:rsid w:val="0FB52277"/>
    <w:rsid w:val="12C77E2F"/>
    <w:rsid w:val="14264692"/>
    <w:rsid w:val="18371B73"/>
    <w:rsid w:val="19B1298B"/>
    <w:rsid w:val="1EF0490B"/>
    <w:rsid w:val="21C4278B"/>
    <w:rsid w:val="22F7152C"/>
    <w:rsid w:val="27FC0093"/>
    <w:rsid w:val="2BD22633"/>
    <w:rsid w:val="2F107C41"/>
    <w:rsid w:val="39FDA024"/>
    <w:rsid w:val="3B46701E"/>
    <w:rsid w:val="436A3C86"/>
    <w:rsid w:val="440F1385"/>
    <w:rsid w:val="44C23E0B"/>
    <w:rsid w:val="44DD5763"/>
    <w:rsid w:val="459B0E72"/>
    <w:rsid w:val="48960822"/>
    <w:rsid w:val="4BEF6CF2"/>
    <w:rsid w:val="4CB63894"/>
    <w:rsid w:val="53D8322E"/>
    <w:rsid w:val="5DEAA36F"/>
    <w:rsid w:val="5E603AC1"/>
    <w:rsid w:val="61FF2517"/>
    <w:rsid w:val="630F238A"/>
    <w:rsid w:val="67CF65D8"/>
    <w:rsid w:val="696D0C68"/>
    <w:rsid w:val="6FF303EF"/>
    <w:rsid w:val="75E14E4B"/>
    <w:rsid w:val="7E9D5EFE"/>
    <w:rsid w:val="97F755CD"/>
    <w:rsid w:val="DE769508"/>
    <w:rsid w:val="DFFABB1E"/>
    <w:rsid w:val="DFFD5F63"/>
    <w:rsid w:val="EEFFD497"/>
    <w:rsid w:val="F27A0976"/>
    <w:rsid w:val="FFF73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Normal (Web)"/>
    <w:basedOn w:val="1"/>
    <w:qFormat/>
    <w:uiPriority w:val="0"/>
    <w:pPr>
      <w:spacing w:before="100" w:beforeAutospacing="1" w:after="100" w:afterAutospacing="1"/>
      <w:ind w:left="0" w:right="0"/>
      <w:jc w:val="left"/>
    </w:pPr>
    <w:rPr>
      <w:sz w:val="24"/>
      <w:lang w:val="en-US" w:eastAsia="zh-CN" w:bidi="ar"/>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unhideWhenUsed/>
    <w:qFormat/>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Arial" w:hAnsi="Arial" w:eastAsia="Arial" w:cs="Arial"/>
      <w:sz w:val="40"/>
      <w:szCs w:val="40"/>
    </w:rPr>
  </w:style>
  <w:style w:type="character" w:customStyle="1" w:styleId="36">
    <w:name w:val="Heading 2 Char"/>
    <w:basedOn w:val="31"/>
    <w:link w:val="4"/>
    <w:qFormat/>
    <w:uiPriority w:val="9"/>
    <w:rPr>
      <w:rFonts w:ascii="Arial" w:hAnsi="Arial" w:eastAsia="Arial" w:cs="Arial"/>
      <w:sz w:val="34"/>
    </w:rPr>
  </w:style>
  <w:style w:type="character" w:customStyle="1" w:styleId="37">
    <w:name w:val="Heading 3 Char"/>
    <w:basedOn w:val="31"/>
    <w:link w:val="5"/>
    <w:qFormat/>
    <w:uiPriority w:val="9"/>
    <w:rPr>
      <w:rFonts w:ascii="Arial" w:hAnsi="Arial" w:eastAsia="Arial" w:cs="Arial"/>
      <w:sz w:val="30"/>
      <w:szCs w:val="30"/>
    </w:rPr>
  </w:style>
  <w:style w:type="character" w:customStyle="1" w:styleId="38">
    <w:name w:val="Heading 4 Char"/>
    <w:basedOn w:val="31"/>
    <w:link w:val="6"/>
    <w:qFormat/>
    <w:uiPriority w:val="9"/>
    <w:rPr>
      <w:rFonts w:ascii="Arial" w:hAnsi="Arial" w:eastAsia="Arial" w:cs="Arial"/>
      <w:b/>
      <w:bCs/>
      <w:sz w:val="26"/>
      <w:szCs w:val="26"/>
    </w:rPr>
  </w:style>
  <w:style w:type="character" w:customStyle="1" w:styleId="39">
    <w:name w:val="Heading 5 Char"/>
    <w:basedOn w:val="31"/>
    <w:link w:val="7"/>
    <w:qFormat/>
    <w:uiPriority w:val="9"/>
    <w:rPr>
      <w:rFonts w:ascii="Arial" w:hAnsi="Arial" w:eastAsia="Arial" w:cs="Arial"/>
      <w:b/>
      <w:bCs/>
      <w:sz w:val="24"/>
      <w:szCs w:val="24"/>
    </w:rPr>
  </w:style>
  <w:style w:type="character" w:customStyle="1" w:styleId="40">
    <w:name w:val="Heading 6 Char"/>
    <w:basedOn w:val="31"/>
    <w:link w:val="8"/>
    <w:qFormat/>
    <w:uiPriority w:val="9"/>
    <w:rPr>
      <w:rFonts w:ascii="Arial" w:hAnsi="Arial" w:eastAsia="Arial" w:cs="Arial"/>
      <w:b/>
      <w:bCs/>
      <w:sz w:val="22"/>
      <w:szCs w:val="22"/>
    </w:rPr>
  </w:style>
  <w:style w:type="character" w:customStyle="1" w:styleId="41">
    <w:name w:val="Heading 7 Char"/>
    <w:basedOn w:val="31"/>
    <w:link w:val="9"/>
    <w:qFormat/>
    <w:uiPriority w:val="9"/>
    <w:rPr>
      <w:rFonts w:ascii="Arial" w:hAnsi="Arial" w:eastAsia="Arial" w:cs="Arial"/>
      <w:b/>
      <w:bCs/>
      <w:i/>
      <w:iCs/>
      <w:sz w:val="22"/>
      <w:szCs w:val="22"/>
    </w:rPr>
  </w:style>
  <w:style w:type="character" w:customStyle="1" w:styleId="42">
    <w:name w:val="Heading 8 Char"/>
    <w:basedOn w:val="31"/>
    <w:link w:val="10"/>
    <w:qFormat/>
    <w:uiPriority w:val="9"/>
    <w:rPr>
      <w:rFonts w:ascii="Arial" w:hAnsi="Arial" w:eastAsia="Arial" w:cs="Arial"/>
      <w:i/>
      <w:iCs/>
      <w:sz w:val="22"/>
      <w:szCs w:val="22"/>
    </w:rPr>
  </w:style>
  <w:style w:type="character" w:customStyle="1" w:styleId="43">
    <w:name w:val="Heading 9 Char"/>
    <w:basedOn w:val="31"/>
    <w:link w:val="11"/>
    <w:qFormat/>
    <w:uiPriority w:val="9"/>
    <w:rPr>
      <w:rFonts w:ascii="Arial" w:hAnsi="Arial" w:eastAsia="Arial" w:cs="Arial"/>
      <w:i/>
      <w:iCs/>
      <w:sz w:val="21"/>
      <w:szCs w:val="21"/>
    </w:rPr>
  </w:style>
  <w:style w:type="paragraph" w:customStyle="1" w:styleId="44">
    <w:name w:val="List Paragraph"/>
    <w:basedOn w:val="1"/>
    <w:qFormat/>
    <w:uiPriority w:val="34"/>
    <w:pPr>
      <w:ind w:left="720"/>
      <w:contextualSpacing/>
    </w:pPr>
  </w:style>
  <w:style w:type="paragraph" w:customStyle="1" w:styleId="45">
    <w:name w:val="No Spacing"/>
    <w:qFormat/>
    <w:uiPriority w:val="1"/>
    <w:pPr>
      <w:spacing w:before="0" w:after="0" w:line="240" w:lineRule="auto"/>
    </w:pPr>
    <w:rPr>
      <w:rFonts w:ascii="Calibri" w:hAnsi="Calibri" w:eastAsia="Calibri" w:cs="Calibri"/>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customStyle="1"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customStyle="1"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9"/>
    <w:qFormat/>
    <w:uiPriority w:val="99"/>
  </w:style>
  <w:style w:type="character" w:customStyle="1" w:styleId="53">
    <w:name w:val="Footer Char"/>
    <w:basedOn w:val="31"/>
    <w:link w:val="18"/>
    <w:qFormat/>
    <w:uiPriority w:val="99"/>
  </w:style>
  <w:style w:type="character" w:customStyle="1" w:styleId="54">
    <w:name w:val="Caption Char"/>
    <w:link w:val="18"/>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FFFFFF"/>
      </w:tcPr>
    </w:tblStylePr>
    <w:tblStylePr w:type="lastRow">
      <w:rPr>
        <w:b/>
        <w:color w:val="404040"/>
      </w:rPr>
      <w:tcPr>
        <w:tcBorders>
          <w:top w:val="single" w:color="68A3D8"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70">
    <w:name w:val="Grid Table 2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FFFFFF"/>
      </w:tcPr>
    </w:tblStylePr>
    <w:tblStylePr w:type="lastRow">
      <w:rPr>
        <w:b/>
        <w:color w:val="404040"/>
      </w:rPr>
      <w:tcPr>
        <w:tcBorders>
          <w:top w:val="single" w:color="F4B28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71">
    <w:name w:val="Grid Table 2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FFFFFF"/>
      </w:tcPr>
    </w:tblStylePr>
    <w:tblStylePr w:type="lastRow">
      <w:rPr>
        <w:b/>
        <w:color w:val="404040"/>
      </w:rPr>
      <w:tcPr>
        <w:tcBorders>
          <w:top w:val="single" w:color="A5A5A5"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2">
    <w:name w:val="Grid Table 2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FFFFFF"/>
      </w:tcPr>
    </w:tblStylePr>
    <w:tblStylePr w:type="lastRow">
      <w:rPr>
        <w:b/>
        <w:color w:val="404040"/>
      </w:rPr>
      <w:tcPr>
        <w:tcBorders>
          <w:top w:val="single" w:color="FFD864"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73">
    <w:name w:val="Grid Table 2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FFFFFF"/>
      </w:tcPr>
    </w:tblStylePr>
    <w:tblStylePr w:type="lastRow">
      <w:rPr>
        <w:b/>
        <w:color w:val="404040"/>
      </w:rPr>
      <w:tcPr>
        <w:tcBorders>
          <w:top w:val="single" w:color="4472C4"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74">
    <w:name w:val="Grid Table 2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FFFFFF"/>
      </w:tcPr>
    </w:tblStylePr>
    <w:tblStylePr w:type="lastRow">
      <w:rPr>
        <w:b/>
        <w:color w:val="404040"/>
      </w:rPr>
      <w:tcPr>
        <w:tcBorders>
          <w:top w:val="single" w:color="70AD47"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6">
    <w:name w:val="Grid Table 3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77">
    <w:name w:val="Grid Table 3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78">
    <w:name w:val="Grid Table 3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9">
    <w:name w:val="Grid Table 3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80">
    <w:name w:val="Grid Table 3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81">
    <w:name w:val="Grid Table 3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3">
    <w:name w:val="Grid Table 4 - Accent 1"/>
    <w:basedOn w:val="29"/>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FFFFFF"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EEBF6" w:themeFill="accent1" w:themeFillTint="32"/>
      </w:tcPr>
    </w:tblStylePr>
    <w:tblStylePr w:type="band1Horz">
      <w:rPr>
        <w:rFonts w:ascii="Arial" w:hAnsi="Arial"/>
        <w:color w:val="404040"/>
        <w:sz w:val="22"/>
      </w:rPr>
      <w:tcPr>
        <w:shd w:val="clear" w:color="FFFFFF" w:fill="DEEBF6" w:themeFill="accent1" w:themeFillTint="32"/>
      </w:tcPr>
    </w:tblStylePr>
  </w:style>
  <w:style w:type="table" w:customStyle="1" w:styleId="84">
    <w:name w:val="Grid Table 4 - Accent 2"/>
    <w:basedOn w:val="29"/>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FFFFF"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85">
    <w:name w:val="Grid Table 4 - Accent 3"/>
    <w:basedOn w:val="29"/>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FFFFFF"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86">
    <w:name w:val="Grid Table 4 - Accent 4"/>
    <w:basedOn w:val="29"/>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FFFF"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87">
    <w:name w:val="Grid Table 4 - Accent 5"/>
    <w:basedOn w:val="29"/>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FFFFFF"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88">
    <w:name w:val="Grid Table 4 - Accent 6"/>
    <w:basedOn w:val="29"/>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FFFFFF"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5B9BD5" w:themeFill="accent1"/>
      </w:tcPr>
    </w:tblStylePr>
    <w:tblStylePr w:type="lastRow">
      <w:rPr>
        <w:rFonts w:ascii="Arial" w:hAnsi="Arial"/>
        <w:b/>
        <w:color w:val="FFFFFF"/>
        <w:sz w:val="22"/>
      </w:rPr>
      <w:tcPr>
        <w:tcBorders>
          <w:top w:val="single" w:color="FFFFFF" w:themeColor="light1" w:sz="4" w:space="0"/>
        </w:tcBorders>
        <w:shd w:val="clear" w:color="FFFFFF" w:fill="5B9BD5" w:themeFill="accent1"/>
      </w:tcPr>
    </w:tblStylePr>
    <w:tblStylePr w:type="firstCol">
      <w:rPr>
        <w:rFonts w:ascii="Arial" w:hAnsi="Arial"/>
        <w:b/>
        <w:color w:val="FFFFFF"/>
        <w:sz w:val="22"/>
      </w:rPr>
      <w:tcPr>
        <w:shd w:val="clear" w:color="FFFFFF" w:fill="5B9BD5" w:themeFill="accent1"/>
      </w:tcPr>
    </w:tblStylePr>
    <w:tblStylePr w:type="lastCol">
      <w:rPr>
        <w:rFonts w:ascii="Arial" w:hAnsi="Arial"/>
        <w:b/>
        <w:color w:val="FFFFFF"/>
        <w:sz w:val="22"/>
      </w:rPr>
      <w:tcPr>
        <w:shd w:val="clear" w:color="FFFFFF" w:fill="5B9BD5" w:themeFill="accent1"/>
      </w:tcPr>
    </w:tblStylePr>
    <w:tblStylePr w:type="band1Vert">
      <w:tcPr>
        <w:shd w:val="clear" w:color="FFFFFF" w:fill="B3D1EB" w:themeFill="accent1" w:themeFillTint="75"/>
      </w:tcPr>
    </w:tblStylePr>
    <w:tblStylePr w:type="band1Horz">
      <w:tcPr>
        <w:shd w:val="clear" w:color="FFFFFF" w:fill="B3D1EB" w:themeFill="accent1" w:themeFillTint="75"/>
      </w:tcPr>
    </w:tblStylePr>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ED7D31" w:themeFill="accent2"/>
      </w:tcPr>
    </w:tblStylePr>
    <w:tblStylePr w:type="lastRow">
      <w:rPr>
        <w:rFonts w:ascii="Arial" w:hAnsi="Arial"/>
        <w:b/>
        <w:color w:val="FFFFFF"/>
        <w:sz w:val="22"/>
      </w:rPr>
      <w:tcPr>
        <w:tcBorders>
          <w:top w:val="single" w:color="FFFFFF" w:themeColor="light1" w:sz="4" w:space="0"/>
        </w:tcBorders>
        <w:shd w:val="clear" w:color="FFFFFF" w:fill="ED7D31" w:themeFill="accent2"/>
      </w:tcPr>
    </w:tblStylePr>
    <w:tblStylePr w:type="firstCol">
      <w:rPr>
        <w:rFonts w:ascii="Arial" w:hAnsi="Arial"/>
        <w:b/>
        <w:color w:val="FFFFFF"/>
        <w:sz w:val="22"/>
      </w:rPr>
      <w:tcPr>
        <w:shd w:val="clear" w:color="FFFFFF" w:fill="ED7D31" w:themeFill="accent2"/>
      </w:tcPr>
    </w:tblStylePr>
    <w:tblStylePr w:type="lastCol">
      <w:rPr>
        <w:rFonts w:ascii="Arial" w:hAnsi="Arial"/>
        <w:b/>
        <w:color w:val="FFFFFF"/>
        <w:sz w:val="22"/>
      </w:rPr>
      <w:tcPr>
        <w:shd w:val="clear" w:color="FFFFFF" w:fill="ED7D31" w:themeFill="accent2"/>
      </w:tcPr>
    </w:tblStylePr>
    <w:tblStylePr w:type="band1Vert">
      <w:tcPr>
        <w:shd w:val="clear" w:color="FFFFFF" w:fill="F6C3A0" w:themeFill="accent2" w:themeFillTint="75"/>
      </w:tcPr>
    </w:tblStylePr>
    <w:tblStylePr w:type="band1Horz">
      <w:tcPr>
        <w:shd w:val="clear" w:color="FFFFFF" w:fill="F6C3A0" w:themeFill="accent2" w:themeFillTint="75"/>
      </w:tcPr>
    </w:tblStylePr>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A5A5A5" w:themeFill="accent3"/>
      </w:tcPr>
    </w:tblStylePr>
    <w:tblStylePr w:type="lastRow">
      <w:rPr>
        <w:rFonts w:ascii="Arial" w:hAnsi="Arial"/>
        <w:b/>
        <w:color w:val="FFFFFF"/>
        <w:sz w:val="22"/>
      </w:rPr>
      <w:tcPr>
        <w:tcBorders>
          <w:top w:val="single" w:color="FFFFFF" w:themeColor="light1" w:sz="4" w:space="0"/>
        </w:tcBorders>
        <w:shd w:val="clear" w:color="FFFFFF" w:fill="A5A5A5" w:themeFill="accent3"/>
      </w:tcPr>
    </w:tblStylePr>
    <w:tblStylePr w:type="firstCol">
      <w:rPr>
        <w:rFonts w:ascii="Arial" w:hAnsi="Arial"/>
        <w:b/>
        <w:color w:val="FFFFFF"/>
        <w:sz w:val="22"/>
      </w:rPr>
      <w:tcPr>
        <w:shd w:val="clear" w:color="FFFFFF" w:fill="A5A5A5" w:themeFill="accent3"/>
      </w:tcPr>
    </w:tblStylePr>
    <w:tblStylePr w:type="lastCol">
      <w:rPr>
        <w:rFonts w:ascii="Arial" w:hAnsi="Arial"/>
        <w:b/>
        <w:color w:val="FFFFFF"/>
        <w:sz w:val="22"/>
      </w:rPr>
      <w:tcPr>
        <w:shd w:val="clear" w:color="FFFFFF" w:fill="A5A5A5" w:themeFill="accent3"/>
      </w:tcPr>
    </w:tblStylePr>
    <w:tblStylePr w:type="band1Vert">
      <w:tcPr>
        <w:shd w:val="clear" w:color="FFFFFF" w:fill="D5D5D5" w:themeFill="accent3" w:themeFillTint="75"/>
      </w:tcPr>
    </w:tblStylePr>
    <w:tblStylePr w:type="band1Horz">
      <w:tcPr>
        <w:shd w:val="clear" w:color="FFFFFF" w:fill="D5D5D5" w:themeFill="accent3" w:themeFillTint="75"/>
      </w:tcPr>
    </w:tblStylePr>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FFC000" w:themeFill="accent4"/>
      </w:tcPr>
    </w:tblStylePr>
    <w:tblStylePr w:type="lastRow">
      <w:rPr>
        <w:rFonts w:ascii="Arial" w:hAnsi="Arial"/>
        <w:b/>
        <w:color w:val="FFFFFF"/>
        <w:sz w:val="22"/>
      </w:rPr>
      <w:tcPr>
        <w:tcBorders>
          <w:top w:val="single" w:color="FFFFFF" w:themeColor="light1" w:sz="4" w:space="0"/>
        </w:tcBorders>
        <w:shd w:val="clear" w:color="FFFFFF" w:fill="FFC000" w:themeFill="accent4"/>
      </w:tcPr>
    </w:tblStylePr>
    <w:tblStylePr w:type="firstCol">
      <w:rPr>
        <w:rFonts w:ascii="Arial" w:hAnsi="Arial"/>
        <w:b/>
        <w:color w:val="FFFFFF"/>
        <w:sz w:val="22"/>
      </w:rPr>
      <w:tcPr>
        <w:shd w:val="clear" w:color="FFFFFF" w:fill="FFC000" w:themeFill="accent4"/>
      </w:tcPr>
    </w:tblStylePr>
    <w:tblStylePr w:type="lastCol">
      <w:rPr>
        <w:rFonts w:ascii="Arial" w:hAnsi="Arial"/>
        <w:b/>
        <w:color w:val="FFFFFF"/>
        <w:sz w:val="22"/>
      </w:rPr>
      <w:tcPr>
        <w:shd w:val="clear" w:color="FFFFFF" w:fill="FFC000" w:themeFill="accent4"/>
      </w:tcPr>
    </w:tblStylePr>
    <w:tblStylePr w:type="band1Vert">
      <w:tcPr>
        <w:shd w:val="clear" w:color="FFFFFF" w:fill="FEE289" w:themeFill="accent4" w:themeFillTint="75"/>
      </w:tcPr>
    </w:tblStylePr>
    <w:tblStylePr w:type="band1Horz">
      <w:tcPr>
        <w:shd w:val="clear" w:color="FFFFFF" w:fill="FEE289" w:themeFill="accent4" w:themeFillTint="75"/>
      </w:tcPr>
    </w:tblStylePr>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472C4" w:themeFill="accent5"/>
      </w:tcPr>
    </w:tblStylePr>
    <w:tblStylePr w:type="lastRow">
      <w:rPr>
        <w:rFonts w:ascii="Arial" w:hAnsi="Arial"/>
        <w:b/>
        <w:color w:val="FFFFFF"/>
        <w:sz w:val="22"/>
      </w:rPr>
      <w:tcPr>
        <w:tcBorders>
          <w:top w:val="single" w:color="FFFFFF" w:themeColor="light1" w:sz="4" w:space="0"/>
        </w:tcBorders>
        <w:shd w:val="clear" w:color="FFFFFF" w:fill="4472C4" w:themeFill="accent5"/>
      </w:tcPr>
    </w:tblStylePr>
    <w:tblStylePr w:type="firstCol">
      <w:rPr>
        <w:rFonts w:ascii="Arial" w:hAnsi="Arial"/>
        <w:b/>
        <w:color w:val="FFFFFF"/>
        <w:sz w:val="22"/>
      </w:rPr>
      <w:tcPr>
        <w:shd w:val="clear" w:color="FFFFFF" w:fill="4472C4" w:themeFill="accent5"/>
      </w:tcPr>
    </w:tblStylePr>
    <w:tblStylePr w:type="lastCol">
      <w:rPr>
        <w:rFonts w:ascii="Arial" w:hAnsi="Arial"/>
        <w:b/>
        <w:color w:val="FFFFFF"/>
        <w:sz w:val="22"/>
      </w:rPr>
      <w:tcPr>
        <w:shd w:val="clear" w:color="FFFFFF" w:fill="4472C4" w:themeFill="accent5"/>
      </w:tcPr>
    </w:tblStylePr>
    <w:tblStylePr w:type="band1Vert">
      <w:tcPr>
        <w:shd w:val="clear" w:color="FFFFFF" w:fill="A9BEE3" w:themeFill="accent5" w:themeFillTint="75"/>
      </w:tcPr>
    </w:tblStylePr>
    <w:tblStylePr w:type="band1Horz">
      <w:tcPr>
        <w:shd w:val="clear" w:color="FFFFFF" w:fill="A9BEE3" w:themeFill="accent5" w:themeFillTint="75"/>
      </w:tcPr>
    </w:tblStylePr>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70AD47" w:themeFill="accent6"/>
      </w:tcPr>
    </w:tblStylePr>
    <w:tblStylePr w:type="lastRow">
      <w:rPr>
        <w:rFonts w:ascii="Arial" w:hAnsi="Arial"/>
        <w:b/>
        <w:color w:val="FFFFFF"/>
        <w:sz w:val="22"/>
      </w:rPr>
      <w:tcPr>
        <w:tcBorders>
          <w:top w:val="single" w:color="FFFFFF" w:themeColor="light1" w:sz="4" w:space="0"/>
        </w:tcBorders>
        <w:shd w:val="clear" w:color="FFFFFF" w:fill="70AD47" w:themeFill="accent6"/>
      </w:tcPr>
    </w:tblStylePr>
    <w:tblStylePr w:type="firstCol">
      <w:rPr>
        <w:rFonts w:ascii="Arial" w:hAnsi="Arial"/>
        <w:b/>
        <w:color w:val="FFFFFF"/>
        <w:sz w:val="22"/>
      </w:rPr>
      <w:tcPr>
        <w:shd w:val="clear" w:color="FFFFFF" w:fill="70AD47" w:themeFill="accent6"/>
      </w:tcPr>
    </w:tblStylePr>
    <w:tblStylePr w:type="lastCol">
      <w:rPr>
        <w:rFonts w:ascii="Arial" w:hAnsi="Arial"/>
        <w:b/>
        <w:color w:val="FFFFFF"/>
        <w:sz w:val="22"/>
      </w:rPr>
      <w:tcPr>
        <w:shd w:val="clear" w:color="FFFFFF" w:fill="70AD47" w:themeFill="accent6"/>
      </w:tcPr>
    </w:tblStylePr>
    <w:tblStylePr w:type="band1Vert">
      <w:tcPr>
        <w:shd w:val="clear" w:color="FFFFFF" w:fill="BCDBA8" w:themeFill="accent6" w:themeFillTint="75"/>
      </w:tcPr>
    </w:tblStylePr>
    <w:tblStylePr w:type="band1Horz">
      <w:tcPr>
        <w:shd w:val="clear" w:color="FFFFFF" w:fill="BCDBA8" w:themeFill="accent6" w:themeFillTint="75"/>
      </w:tcPr>
    </w:tblStylePr>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FFFFFF"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FFFFFF"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FFFFFF"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29"/>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E1EFD8" w:themeFill="accent6" w:themeFillTint="34"/>
      </w:tcPr>
    </w:tblStylePr>
    <w:tblStylePr w:type="band1Horz">
      <w:rPr>
        <w:rFonts w:ascii="Arial" w:hAnsi="Arial"/>
        <w:color w:val="254174" w:themeColor="accent5" w:themeShade="94"/>
        <w:sz w:val="22"/>
      </w:rPr>
      <w:tcPr>
        <w:shd w:val="clear" w:color="FFFFFF" w:fill="E1EFD8" w:themeFill="accent6" w:themeFillTint="34"/>
      </w:tcPr>
    </w:tblStylePr>
    <w:tblStylePr w:type="band2Horz">
      <w:rPr>
        <w:rFonts w:ascii="Arial" w:hAnsi="Arial"/>
        <w:color w:val="254174" w:themeColor="accent5" w:themeShade="94"/>
        <w:sz w:val="22"/>
      </w:rPr>
    </w:tblStylePr>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FFFFFF"/>
      </w:tc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FFFFFF"/>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FFFFFF"/>
      </w:tcPr>
    </w:tblStylePr>
    <w:tblStylePr w:type="band1Vert">
      <w:tcPr>
        <w:shd w:val="clear" w:color="FFFFFF"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FFFFFF"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FFFFFF"/>
      </w:tc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29"/>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FFFFFF"/>
      </w:tcPr>
    </w:tblStylePr>
    <w:tblStylePr w:type="band1Vert">
      <w:tcPr>
        <w:shd w:val="clear" w:color="FFFFFF" w:fill="E1EFD8" w:themeFill="accent6" w:themeFillTint="34"/>
      </w:tcPr>
    </w:tblStylePr>
    <w:tblStylePr w:type="band1Horz">
      <w:rPr>
        <w:rFonts w:ascii="Arial" w:hAnsi="Arial"/>
        <w:color w:val="416429" w:themeColor="accent6" w:themeShade="94"/>
        <w:sz w:val="22"/>
      </w:rPr>
      <w:tcPr>
        <w:shd w:val="clear" w:color="FFFFFF" w:fill="E1EFD8" w:themeFill="accent6" w:themeFillTint="34"/>
      </w:tcPr>
    </w:tblStylePr>
    <w:tblStylePr w:type="band2Horz">
      <w:rPr>
        <w:rFonts w:ascii="Arial" w:hAnsi="Arial"/>
        <w:color w:val="416429" w:themeColor="accent6" w:themeShade="94"/>
        <w:sz w:val="22"/>
      </w:rPr>
    </w:tblStylePr>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5E5F4" w:themeFill="accent1" w:themeFillTint="40"/>
      </w:tcPr>
    </w:tblStylePr>
    <w:tblStylePr w:type="band1Horz">
      <w:tcPr>
        <w:shd w:val="clear" w:color="FFFFFF" w:fill="D5E5F4" w:themeFill="accent1" w:themeFillTint="40"/>
      </w:tcPr>
    </w:tblStylePr>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ADECB" w:themeFill="accent2" w:themeFillTint="40"/>
      </w:tcPr>
    </w:tblStylePr>
    <w:tblStylePr w:type="band1Horz">
      <w:tcPr>
        <w:shd w:val="clear" w:color="FFFFFF" w:fill="FADECB" w:themeFill="accent2" w:themeFillTint="40"/>
      </w:tcPr>
    </w:tblStylePr>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8E8E8" w:themeFill="accent3" w:themeFillTint="40"/>
      </w:tcPr>
    </w:tblStylePr>
    <w:tblStylePr w:type="band1Horz">
      <w:tcPr>
        <w:shd w:val="clear" w:color="FFFFFF" w:fill="E8E8E8" w:themeFill="accent3" w:themeFillTint="40"/>
      </w:tcPr>
    </w:tblStylePr>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FEFBE" w:themeFill="accent4" w:themeFillTint="40"/>
      </w:tcPr>
    </w:tblStylePr>
    <w:tblStylePr w:type="band1Horz">
      <w:tcPr>
        <w:shd w:val="clear" w:color="FFFFFF" w:fill="FFEFBE" w:themeFill="accent4" w:themeFillTint="40"/>
      </w:tcPr>
    </w:tblStylePr>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0DBF0" w:themeFill="accent5" w:themeFillTint="40"/>
      </w:tcPr>
    </w:tblStylePr>
    <w:tblStylePr w:type="band1Horz">
      <w:tcPr>
        <w:shd w:val="clear" w:color="FFFFFF" w:fill="D0DBF0" w:themeFill="accent5" w:themeFillTint="40"/>
      </w:tcPr>
    </w:tblStylePr>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AEBCF" w:themeFill="accent6" w:themeFillTint="40"/>
      </w:tcPr>
    </w:tblStylePr>
    <w:tblStylePr w:type="band1Horz">
      <w:tcPr>
        <w:shd w:val="clear" w:color="FFFFFF" w:fill="DAEBCF" w:themeFill="accent6" w:themeFillTint="40"/>
      </w:tcPr>
    </w:tblStylePr>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18">
    <w:name w:val="List Table 2 - Accent 1"/>
    <w:basedOn w:val="29"/>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19">
    <w:name w:val="List Table 2 - Accent 2"/>
    <w:basedOn w:val="29"/>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20">
    <w:name w:val="List Table 2 - Accent 3"/>
    <w:basedOn w:val="29"/>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21">
    <w:name w:val="List Table 2 - Accent 4"/>
    <w:basedOn w:val="29"/>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22">
    <w:name w:val="List Table 2 - Accent 5"/>
    <w:basedOn w:val="29"/>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23">
    <w:name w:val="List Table 2 - Accent 6"/>
    <w:basedOn w:val="29"/>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29"/>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FFFFF"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29"/>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29"/>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FFFF"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29"/>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FFFFFF"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29"/>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2">
    <w:name w:val="List Table 4 - Accent 1"/>
    <w:basedOn w:val="29"/>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33">
    <w:name w:val="List Table 4 - Accent 2"/>
    <w:basedOn w:val="29"/>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34">
    <w:name w:val="List Table 4 - Accent 3"/>
    <w:basedOn w:val="29"/>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35">
    <w:name w:val="List Table 4 - Accent 4"/>
    <w:basedOn w:val="29"/>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36">
    <w:name w:val="List Table 4 - Accent 5"/>
    <w:basedOn w:val="29"/>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37">
    <w:name w:val="List Table 4 - Accent 6"/>
    <w:basedOn w:val="29"/>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39">
    <w:name w:val="List Table 5 Dark - Accent 1"/>
    <w:basedOn w:val="29"/>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FFFFFF"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FFFFFF"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5B9BD5" w:themeFill="accent1"/>
      </w:tcPr>
    </w:tblStylePr>
    <w:tblStylePr w:type="band2Horz">
      <w:tcPr>
        <w:tcBorders>
          <w:top w:val="single" w:color="FFFFFF" w:themeColor="light1" w:sz="4" w:space="0"/>
          <w:bottom w:val="single" w:color="FFFFFF" w:themeColor="light1" w:sz="4" w:space="0"/>
        </w:tcBorders>
        <w:shd w:val="clear" w:color="FFFFFF" w:fill="5B9BD5" w:themeFill="accent1"/>
      </w:tcPr>
    </w:tblStylePr>
  </w:style>
  <w:style w:type="table" w:customStyle="1" w:styleId="140">
    <w:name w:val="List Table 5 Dark - Accent 2"/>
    <w:basedOn w:val="29"/>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FFFFF"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4B285" w:themeFill="accent2" w:themeFillTint="97"/>
      </w:tcPr>
    </w:tblStylePr>
    <w:tblStylePr w:type="band2Horz">
      <w:tcPr>
        <w:tcBorders>
          <w:top w:val="single" w:color="FFFFFF" w:themeColor="light1" w:sz="4" w:space="0"/>
          <w:bottom w:val="single" w:color="FFFFFF" w:themeColor="light1" w:sz="4" w:space="0"/>
        </w:tcBorders>
        <w:shd w:val="clear" w:color="FFFFFF" w:fill="F4B285" w:themeFill="accent2" w:themeFillTint="97"/>
      </w:tcPr>
    </w:tblStylePr>
  </w:style>
  <w:style w:type="table" w:customStyle="1" w:styleId="141">
    <w:name w:val="List Table 5 Dark - Accent 3"/>
    <w:basedOn w:val="29"/>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FFFFFF"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9C9C9" w:themeFill="accent3" w:themeFillTint="98"/>
      </w:tcPr>
    </w:tblStylePr>
    <w:tblStylePr w:type="band2Horz">
      <w:tcPr>
        <w:tcBorders>
          <w:top w:val="single" w:color="FFFFFF" w:themeColor="light1" w:sz="4" w:space="0"/>
          <w:bottom w:val="single" w:color="FFFFFF" w:themeColor="light1" w:sz="4" w:space="0"/>
        </w:tcBorders>
        <w:shd w:val="clear" w:color="FFFFFF" w:fill="C9C9C9" w:themeFill="accent3" w:themeFillTint="98"/>
      </w:tcPr>
    </w:tblStylePr>
  </w:style>
  <w:style w:type="table" w:customStyle="1" w:styleId="142">
    <w:name w:val="List Table 5 Dark - Accent 4"/>
    <w:basedOn w:val="29"/>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FFFF"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FD864" w:themeFill="accent4" w:themeFillTint="9A"/>
      </w:tcPr>
    </w:tblStylePr>
    <w:tblStylePr w:type="band2Horz">
      <w:tcPr>
        <w:tcBorders>
          <w:top w:val="single" w:color="FFFFFF" w:themeColor="light1" w:sz="4" w:space="0"/>
          <w:bottom w:val="single" w:color="FFFFFF" w:themeColor="light1" w:sz="4" w:space="0"/>
        </w:tcBorders>
        <w:shd w:val="clear" w:color="FFFFFF" w:fill="FFD864" w:themeFill="accent4" w:themeFillTint="9A"/>
      </w:tcPr>
    </w:tblStylePr>
  </w:style>
  <w:style w:type="table" w:customStyle="1" w:styleId="143">
    <w:name w:val="List Table 5 Dark - Accent 5"/>
    <w:basedOn w:val="29"/>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FFFFFF"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8EA9DB" w:themeFill="accent5" w:themeFillTint="9A"/>
      </w:tcPr>
    </w:tblStylePr>
    <w:tblStylePr w:type="band2Horz">
      <w:tcPr>
        <w:tcBorders>
          <w:top w:val="single" w:color="FFFFFF" w:themeColor="light1" w:sz="4" w:space="0"/>
          <w:bottom w:val="single" w:color="FFFFFF" w:themeColor="light1" w:sz="4" w:space="0"/>
        </w:tcBorders>
        <w:shd w:val="clear" w:color="FFFFFF" w:fill="8EA9DB" w:themeFill="accent5" w:themeFillTint="9A"/>
      </w:tcPr>
    </w:tblStylePr>
  </w:style>
  <w:style w:type="table" w:customStyle="1" w:styleId="144">
    <w:name w:val="List Table 5 Dark - Accent 6"/>
    <w:basedOn w:val="29"/>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FFFFFF"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A9D08E" w:themeFill="accent6" w:themeFillTint="98"/>
      </w:tcPr>
    </w:tblStylePr>
    <w:tblStylePr w:type="band2Horz">
      <w:tcPr>
        <w:tcBorders>
          <w:top w:val="single" w:color="FFFFFF" w:themeColor="light1" w:sz="4" w:space="0"/>
          <w:bottom w:val="single" w:color="FFFFFF" w:themeColor="light1" w:sz="4" w:space="0"/>
        </w:tcBorders>
        <w:shd w:val="clear" w:color="FFFFFF" w:fill="A9D08E" w:themeFill="accent6" w:themeFillTint="98"/>
      </w:tcPr>
    </w:tblStylePr>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FFFFFF" w:fill="BEBEBE" w:themeFill="text1" w:themeFillTint="40"/>
      </w:tcPr>
    </w:tblStylePr>
    <w:tblStylePr w:type="band1Horz">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29"/>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FFFFFF"/>
      </w:tc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29"/>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FFFFFF"/>
      </w:tc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FFFFFF"/>
      </w:tc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FFFFFF"/>
      </w:tc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FFFFFF" w:fill="68A3D8" w:themeFill="accent1" w:themeFillTint="EA"/>
      </w:tcPr>
    </w:tblStylePr>
    <w:tblStylePr w:type="lastRow">
      <w:rPr>
        <w:rFonts w:ascii="Arial" w:hAnsi="Arial"/>
        <w:color w:val="F2F2F2"/>
        <w:sz w:val="22"/>
      </w:rPr>
      <w:tcPr>
        <w:shd w:val="clear" w:color="FFFFFF" w:fill="68A3D8" w:themeFill="accent1" w:themeFillTint="EA"/>
      </w:tcPr>
    </w:tblStylePr>
    <w:tblStylePr w:type="firstCol">
      <w:rPr>
        <w:rFonts w:ascii="Arial" w:hAnsi="Arial"/>
        <w:color w:val="F2F2F2"/>
        <w:sz w:val="22"/>
      </w:rPr>
      <w:tcPr>
        <w:shd w:val="clear" w:color="FFFFFF" w:fill="68A3D8" w:themeFill="accent1" w:themeFillTint="EA"/>
      </w:tcPr>
    </w:tblStylePr>
    <w:tblStylePr w:type="lastCol">
      <w:rPr>
        <w:rFonts w:ascii="Arial" w:hAnsi="Arial"/>
        <w:color w:val="F2F2F2"/>
        <w:sz w:val="22"/>
      </w:rPr>
      <w:tcPr>
        <w:shd w:val="clear" w:color="FFFFFF"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BDFF1" w:themeFill="accent1" w:themeFillTint="50"/>
      </w:tcPr>
    </w:tblStylePr>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FFFFF" w:fill="F4B285" w:themeFill="accent2" w:themeFillTint="97"/>
      </w:tcPr>
    </w:tblStylePr>
    <w:tblStylePr w:type="lastRow">
      <w:rPr>
        <w:rFonts w:ascii="Arial" w:hAnsi="Arial"/>
        <w:color w:val="F2F2F2"/>
        <w:sz w:val="22"/>
      </w:rPr>
      <w:tcPr>
        <w:shd w:val="clear" w:color="FFFFFF" w:fill="F4B285" w:themeFill="accent2" w:themeFillTint="97"/>
      </w:tcPr>
    </w:tblStylePr>
    <w:tblStylePr w:type="firstCol">
      <w:rPr>
        <w:rFonts w:ascii="Arial" w:hAnsi="Arial"/>
        <w:color w:val="F2F2F2"/>
        <w:sz w:val="22"/>
      </w:rPr>
      <w:tcPr>
        <w:shd w:val="clear" w:color="FFFFFF" w:fill="F4B285" w:themeFill="accent2" w:themeFillTint="97"/>
      </w:tcPr>
    </w:tblStylePr>
    <w:tblStylePr w:type="lastCol">
      <w:rPr>
        <w:rFonts w:ascii="Arial" w:hAnsi="Arial"/>
        <w:color w:val="F2F2F2"/>
        <w:sz w:val="22"/>
      </w:rPr>
      <w:tcPr>
        <w:shd w:val="clear" w:color="FFFFFF"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BE5D6" w:themeFill="accent2" w:themeFillTint="32"/>
      </w:tcPr>
    </w:tblStylePr>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FFFFFF" w:fill="A5A5A5" w:themeFill="accent3" w:themeFillTint="FE"/>
      </w:tcPr>
    </w:tblStylePr>
    <w:tblStylePr w:type="lastRow">
      <w:rPr>
        <w:rFonts w:ascii="Arial" w:hAnsi="Arial"/>
        <w:color w:val="F2F2F2"/>
        <w:sz w:val="22"/>
      </w:rPr>
      <w:tcPr>
        <w:shd w:val="clear" w:color="FFFFFF" w:fill="A5A5A5" w:themeFill="accent3" w:themeFillTint="FE"/>
      </w:tcPr>
    </w:tblStylePr>
    <w:tblStylePr w:type="firstCol">
      <w:rPr>
        <w:rFonts w:ascii="Arial" w:hAnsi="Arial"/>
        <w:color w:val="F2F2F2"/>
        <w:sz w:val="22"/>
      </w:rPr>
      <w:tcPr>
        <w:shd w:val="clear" w:color="FFFFFF" w:fill="A5A5A5" w:themeFill="accent3" w:themeFillTint="FE"/>
      </w:tcPr>
    </w:tblStylePr>
    <w:tblStylePr w:type="lastCol">
      <w:rPr>
        <w:rFonts w:ascii="Arial" w:hAnsi="Arial"/>
        <w:color w:val="F2F2F2"/>
        <w:sz w:val="22"/>
      </w:r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CECEC" w:themeFill="accent3" w:themeFillTint="34"/>
      </w:tcPr>
    </w:tblStylePr>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FFFFFF" w:fill="FFD864" w:themeFill="accent4" w:themeFillTint="9A"/>
      </w:tcPr>
    </w:tblStylePr>
    <w:tblStylePr w:type="lastRow">
      <w:rPr>
        <w:rFonts w:ascii="Arial" w:hAnsi="Arial"/>
        <w:color w:val="F2F2F2"/>
        <w:sz w:val="22"/>
      </w:rPr>
      <w:tcPr>
        <w:shd w:val="clear" w:color="FFFFFF" w:fill="FFD864" w:themeFill="accent4" w:themeFillTint="9A"/>
      </w:tcPr>
    </w:tblStylePr>
    <w:tblStylePr w:type="firstCol">
      <w:rPr>
        <w:rFonts w:ascii="Arial" w:hAnsi="Arial"/>
        <w:color w:val="F2F2F2"/>
        <w:sz w:val="22"/>
      </w:rPr>
      <w:tcPr>
        <w:shd w:val="clear" w:color="FFFFFF" w:fill="FFD864" w:themeFill="accent4" w:themeFillTint="9A"/>
      </w:tcPr>
    </w:tblStylePr>
    <w:tblStylePr w:type="lastCol">
      <w:rPr>
        <w:rFonts w:ascii="Arial" w:hAnsi="Arial"/>
        <w:color w:val="F2F2F2"/>
        <w:sz w:val="22"/>
      </w:rPr>
      <w:tcPr>
        <w:shd w:val="clear" w:color="FFFFFF"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EF2CA" w:themeFill="accent4" w:themeFillTint="34"/>
      </w:tcPr>
    </w:tblStylePr>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FFFFFF" w:fill="4472C4" w:themeFill="accent5"/>
      </w:tcPr>
    </w:tblStylePr>
    <w:tblStylePr w:type="lastRow">
      <w:rPr>
        <w:rFonts w:ascii="Arial" w:hAnsi="Arial"/>
        <w:color w:val="F2F2F2"/>
        <w:sz w:val="22"/>
      </w:rPr>
      <w:tcPr>
        <w:shd w:val="clear" w:color="FFFFFF" w:fill="4472C4" w:themeFill="accent5"/>
      </w:tcPr>
    </w:tblStylePr>
    <w:tblStylePr w:type="firstCol">
      <w:rPr>
        <w:rFonts w:ascii="Arial" w:hAnsi="Arial"/>
        <w:color w:val="F2F2F2"/>
        <w:sz w:val="22"/>
      </w:rPr>
      <w:tcPr>
        <w:shd w:val="clear" w:color="FFFFFF" w:fill="4472C4" w:themeFill="accent5"/>
      </w:tcPr>
    </w:tblStylePr>
    <w:tblStylePr w:type="lastCol">
      <w:rPr>
        <w:rFonts w:ascii="Arial" w:hAnsi="Arial"/>
        <w:color w:val="F2F2F2"/>
        <w:sz w:val="22"/>
      </w:r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8E2F2" w:themeFill="accent5" w:themeFillTint="34"/>
      </w:tcPr>
    </w:tblStylePr>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FFFFFF" w:fill="70AD47" w:themeFill="accent6"/>
      </w:tcPr>
    </w:tblStylePr>
    <w:tblStylePr w:type="lastRow">
      <w:rPr>
        <w:rFonts w:ascii="Arial" w:hAnsi="Arial"/>
        <w:color w:val="F2F2F2"/>
        <w:sz w:val="22"/>
      </w:rPr>
      <w:tcPr>
        <w:shd w:val="clear" w:color="FFFFFF" w:fill="70AD47" w:themeFill="accent6"/>
      </w:tcPr>
    </w:tblStylePr>
    <w:tblStylePr w:type="firstCol">
      <w:rPr>
        <w:rFonts w:ascii="Arial" w:hAnsi="Arial"/>
        <w:color w:val="F2F2F2"/>
        <w:sz w:val="22"/>
      </w:rPr>
      <w:tcPr>
        <w:shd w:val="clear" w:color="FFFFFF" w:fill="70AD47" w:themeFill="accent6"/>
      </w:tcPr>
    </w:tblStylePr>
    <w:tblStylePr w:type="lastCol">
      <w:rPr>
        <w:rFonts w:ascii="Arial" w:hAnsi="Arial"/>
        <w:color w:val="F2F2F2"/>
        <w:sz w:val="22"/>
      </w:r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1EFD8" w:themeFill="accent6" w:themeFillTint="34"/>
      </w:tcPr>
    </w:tblStylePr>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7">
    <w:name w:val="Bordered &amp; Lined - Accent 1"/>
    <w:basedOn w:val="29"/>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FFFFFF" w:fill="68A3D8" w:themeFill="accent1" w:themeFillTint="EA"/>
      </w:tcPr>
    </w:tblStylePr>
    <w:tblStylePr w:type="lastRow">
      <w:rPr>
        <w:rFonts w:ascii="Arial" w:hAnsi="Arial"/>
        <w:color w:val="F2F2F2"/>
        <w:sz w:val="22"/>
      </w:rPr>
      <w:tcPr>
        <w:shd w:val="clear" w:color="FFFFFF" w:fill="68A3D8" w:themeFill="accent1" w:themeFillTint="EA"/>
      </w:tcPr>
    </w:tblStylePr>
    <w:tblStylePr w:type="firstCol">
      <w:rPr>
        <w:rFonts w:ascii="Arial" w:hAnsi="Arial"/>
        <w:color w:val="F2F2F2"/>
        <w:sz w:val="22"/>
      </w:rPr>
      <w:tcPr>
        <w:shd w:val="clear" w:color="FFFFFF" w:fill="68A3D8" w:themeFill="accent1" w:themeFillTint="EA"/>
      </w:tcPr>
    </w:tblStylePr>
    <w:tblStylePr w:type="lastCol">
      <w:rPr>
        <w:rFonts w:ascii="Arial" w:hAnsi="Arial"/>
        <w:color w:val="F2F2F2"/>
        <w:sz w:val="22"/>
      </w:rPr>
      <w:tcPr>
        <w:shd w:val="clear" w:color="FFFFFF"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BDFF1" w:themeFill="accent1" w:themeFillTint="50"/>
      </w:tcPr>
    </w:tblStylePr>
  </w:style>
  <w:style w:type="table" w:customStyle="1" w:styleId="168">
    <w:name w:val="Bordered &amp; Lined - Accent 2"/>
    <w:basedOn w:val="29"/>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FFFFF" w:fill="F4B285" w:themeFill="accent2" w:themeFillTint="97"/>
      </w:tcPr>
    </w:tblStylePr>
    <w:tblStylePr w:type="lastRow">
      <w:rPr>
        <w:rFonts w:ascii="Arial" w:hAnsi="Arial"/>
        <w:color w:val="F2F2F2"/>
        <w:sz w:val="22"/>
      </w:rPr>
      <w:tcPr>
        <w:shd w:val="clear" w:color="FFFFFF" w:fill="F4B285" w:themeFill="accent2" w:themeFillTint="97"/>
      </w:tcPr>
    </w:tblStylePr>
    <w:tblStylePr w:type="firstCol">
      <w:rPr>
        <w:rFonts w:ascii="Arial" w:hAnsi="Arial"/>
        <w:color w:val="F2F2F2"/>
        <w:sz w:val="22"/>
      </w:rPr>
      <w:tcPr>
        <w:shd w:val="clear" w:color="FFFFFF" w:fill="F4B285" w:themeFill="accent2" w:themeFillTint="97"/>
      </w:tcPr>
    </w:tblStylePr>
    <w:tblStylePr w:type="lastCol">
      <w:rPr>
        <w:rFonts w:ascii="Arial" w:hAnsi="Arial"/>
        <w:color w:val="F2F2F2"/>
        <w:sz w:val="22"/>
      </w:rPr>
      <w:tcPr>
        <w:shd w:val="clear" w:color="FFFFFF"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BE5D6" w:themeFill="accent2" w:themeFillTint="32"/>
      </w:tcPr>
    </w:tblStylePr>
  </w:style>
  <w:style w:type="table" w:customStyle="1" w:styleId="169">
    <w:name w:val="Bordered &amp; Lined - Accent 3"/>
    <w:basedOn w:val="29"/>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FFFFFF" w:fill="A5A5A5" w:themeFill="accent3" w:themeFillTint="FE"/>
      </w:tcPr>
    </w:tblStylePr>
    <w:tblStylePr w:type="lastRow">
      <w:rPr>
        <w:rFonts w:ascii="Arial" w:hAnsi="Arial"/>
        <w:color w:val="F2F2F2"/>
        <w:sz w:val="22"/>
      </w:rPr>
      <w:tcPr>
        <w:shd w:val="clear" w:color="FFFFFF" w:fill="A5A5A5" w:themeFill="accent3" w:themeFillTint="FE"/>
      </w:tcPr>
    </w:tblStylePr>
    <w:tblStylePr w:type="firstCol">
      <w:rPr>
        <w:rFonts w:ascii="Arial" w:hAnsi="Arial"/>
        <w:color w:val="F2F2F2"/>
        <w:sz w:val="22"/>
      </w:rPr>
      <w:tcPr>
        <w:shd w:val="clear" w:color="FFFFFF" w:fill="A5A5A5" w:themeFill="accent3" w:themeFillTint="FE"/>
      </w:tcPr>
    </w:tblStylePr>
    <w:tblStylePr w:type="lastCol">
      <w:rPr>
        <w:rFonts w:ascii="Arial" w:hAnsi="Arial"/>
        <w:color w:val="F2F2F2"/>
        <w:sz w:val="22"/>
      </w:r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CECEC"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FFFF" w:fill="FFD864" w:themeFill="accent4" w:themeFillTint="9A"/>
      </w:tcPr>
    </w:tblStylePr>
    <w:tblStylePr w:type="lastRow">
      <w:rPr>
        <w:rFonts w:ascii="Arial" w:hAnsi="Arial"/>
        <w:color w:val="F2F2F2"/>
        <w:sz w:val="22"/>
      </w:rPr>
      <w:tcPr>
        <w:shd w:val="clear" w:color="FFFFFF" w:fill="FFD864" w:themeFill="accent4" w:themeFillTint="9A"/>
      </w:tcPr>
    </w:tblStylePr>
    <w:tblStylePr w:type="firstCol">
      <w:rPr>
        <w:rFonts w:ascii="Arial" w:hAnsi="Arial"/>
        <w:color w:val="F2F2F2"/>
        <w:sz w:val="22"/>
      </w:rPr>
      <w:tcPr>
        <w:shd w:val="clear" w:color="FFFFFF" w:fill="FFD864" w:themeFill="accent4" w:themeFillTint="9A"/>
      </w:tcPr>
    </w:tblStylePr>
    <w:tblStylePr w:type="lastCol">
      <w:rPr>
        <w:rFonts w:ascii="Arial" w:hAnsi="Arial"/>
        <w:color w:val="F2F2F2"/>
        <w:sz w:val="22"/>
      </w:rPr>
      <w:tcPr>
        <w:shd w:val="clear" w:color="FFFFFF"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EF2CA" w:themeFill="accent4" w:themeFillTint="34"/>
      </w:tcPr>
    </w:tblStylePr>
  </w:style>
  <w:style w:type="table" w:customStyle="1" w:styleId="171">
    <w:name w:val="Bordered &amp; Lined - Accent 5"/>
    <w:basedOn w:val="29"/>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FFFFFF" w:fill="4472C4" w:themeFill="accent5"/>
      </w:tcPr>
    </w:tblStylePr>
    <w:tblStylePr w:type="lastRow">
      <w:rPr>
        <w:rFonts w:ascii="Arial" w:hAnsi="Arial"/>
        <w:color w:val="F2F2F2"/>
        <w:sz w:val="22"/>
      </w:rPr>
      <w:tcPr>
        <w:shd w:val="clear" w:color="FFFFFF" w:fill="4472C4" w:themeFill="accent5"/>
      </w:tcPr>
    </w:tblStylePr>
    <w:tblStylePr w:type="firstCol">
      <w:rPr>
        <w:rFonts w:ascii="Arial" w:hAnsi="Arial"/>
        <w:color w:val="F2F2F2"/>
        <w:sz w:val="22"/>
      </w:rPr>
      <w:tcPr>
        <w:shd w:val="clear" w:color="FFFFFF" w:fill="4472C4" w:themeFill="accent5"/>
      </w:tcPr>
    </w:tblStylePr>
    <w:tblStylePr w:type="lastCol">
      <w:rPr>
        <w:rFonts w:ascii="Arial" w:hAnsi="Arial"/>
        <w:color w:val="F2F2F2"/>
        <w:sz w:val="22"/>
      </w:r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8E2F2" w:themeFill="accent5" w:themeFillTint="34"/>
      </w:tcPr>
    </w:tblStylePr>
  </w:style>
  <w:style w:type="table" w:customStyle="1" w:styleId="172">
    <w:name w:val="Bordered &amp; Lined - Accent 6"/>
    <w:basedOn w:val="29"/>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FFFFFF" w:fill="70AD47" w:themeFill="accent6"/>
      </w:tcPr>
    </w:tblStylePr>
    <w:tblStylePr w:type="lastRow">
      <w:rPr>
        <w:rFonts w:ascii="Arial" w:hAnsi="Arial"/>
        <w:color w:val="F2F2F2"/>
        <w:sz w:val="22"/>
      </w:rPr>
      <w:tcPr>
        <w:shd w:val="clear" w:color="FFFFFF" w:fill="70AD47" w:themeFill="accent6"/>
      </w:tcPr>
    </w:tblStylePr>
    <w:tblStylePr w:type="firstCol">
      <w:rPr>
        <w:rFonts w:ascii="Arial" w:hAnsi="Arial"/>
        <w:color w:val="F2F2F2"/>
        <w:sz w:val="22"/>
      </w:rPr>
      <w:tcPr>
        <w:shd w:val="clear" w:color="FFFFFF" w:fill="70AD47" w:themeFill="accent6"/>
      </w:tcPr>
    </w:tblStylePr>
    <w:tblStylePr w:type="lastCol">
      <w:rPr>
        <w:rFonts w:ascii="Arial" w:hAnsi="Arial"/>
        <w:color w:val="F2F2F2"/>
        <w:sz w:val="22"/>
      </w:r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1EFD8" w:themeFill="accent6" w:themeFillTint="34"/>
      </w:tcPr>
    </w:tblStylePr>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ascii="Calibri" w:hAnsi="Calibri" w:eastAsia="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TotalTime>4</TotalTime>
  <ScaleCrop>false</ScaleCrop>
  <LinksUpToDate>false</LinksUpToDate>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cp:lastPrinted>2026-01-14T18:53:00Z</cp:lastPrinted>
  <dcterms:modified xsi:type="dcterms:W3CDTF">2026-01-16T14:38:45Z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E5F4404A17D3D47A1FA66469F61B8A12_42</vt:lpwstr>
  </property>
</Properties>
</file>