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B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北京市规划和自然资源委员会朝阳分局</w:t>
      </w:r>
    </w:p>
    <w:p w14:paraId="5A7AA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2025</w:t>
      </w:r>
      <w:r>
        <w:rPr>
          <w:rFonts w:hint="eastAsia" w:ascii="方正小标宋简体" w:hAnsi="方正小标宋简体" w:eastAsia="方正小标宋简体"/>
          <w:sz w:val="44"/>
        </w:rPr>
        <w:t>年政府信息公开工作报告</w:t>
      </w:r>
    </w:p>
    <w:bookmarkEnd w:id="0"/>
    <w:p w14:paraId="09CBBA96">
      <w:pPr>
        <w:spacing w:beforeLines="0" w:afterLines="0" w:line="560" w:lineRule="exact"/>
        <w:jc w:val="center"/>
        <w:rPr>
          <w:rFonts w:hint="default"/>
          <w:sz w:val="44"/>
        </w:rPr>
      </w:pPr>
    </w:p>
    <w:p w14:paraId="1847A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217FF442">
      <w:pPr>
        <w:widowControl w:val="0"/>
        <w:numPr>
          <w:ilvl w:val="0"/>
          <w:numId w:val="0"/>
        </w:numPr>
        <w:spacing w:before="157" w:beforeLines="50" w:after="157" w:afterLines="50" w:line="560" w:lineRule="exact"/>
        <w:ind w:firstLine="640" w:firstLineChars="200"/>
        <w:jc w:val="both"/>
        <w:outlineLvl w:val="9"/>
        <w:rPr>
          <w:rFonts w:hint="eastAsia" w:ascii="黑体" w:hAnsi="黑体" w:eastAsia="黑体" w:cs="黑体"/>
          <w:color w:val="232930"/>
          <w:spacing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32930"/>
          <w:spacing w:val="0"/>
          <w:kern w:val="2"/>
          <w:sz w:val="32"/>
          <w:szCs w:val="32"/>
          <w:lang w:eastAsia="zh-CN"/>
        </w:rPr>
        <w:t>一、总体情况</w:t>
      </w:r>
    </w:p>
    <w:p w14:paraId="229BEC4E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2025年，分局共受理政府信息公开申请3323件，较上年增长20%，反映社会公众对规划自然资源领域信息的高度关注。全年累计办结答复3319件（含2024年度结转45件），办结率99.9%，所有申请均严格按时限要求规范办结。凭借扎实的工作基础与规范的办理流程，持续规范公开流程、提升公开质效、优化公开服务，推动政府信息公开工作向标准化、精准化、便民化深度迈进。</w:t>
      </w:r>
    </w:p>
    <w:p w14:paraId="28AABFAE">
      <w:pPr>
        <w:widowControl w:val="0"/>
        <w:numPr>
          <w:ilvl w:val="0"/>
          <w:numId w:val="1"/>
        </w:numPr>
        <w:spacing w:beforeLines="-2147483648" w:afterLines="-2147483648" w:line="560" w:lineRule="exact"/>
        <w:ind w:firstLine="640" w:firstLineChars="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强化组织领导，筑牢制度保障根基</w:t>
      </w:r>
    </w:p>
    <w:p w14:paraId="0BE8C73E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分局将政府信息公开工作纳入重点工作台账，高位统筹推进。</w:t>
      </w:r>
      <w:r>
        <w:rPr>
          <w:rFonts w:hint="eastAsia" w:ascii="仿宋_GB2312" w:hAnsi="宋体" w:eastAsia="仿宋_GB2312"/>
          <w:kern w:val="0"/>
          <w:sz w:val="32"/>
          <w:lang w:val="en-US" w:eastAsia="zh-CN"/>
        </w:rPr>
        <w:t>严格遵守</w:t>
      </w:r>
      <w:r>
        <w:rPr>
          <w:rFonts w:hint="eastAsia" w:ascii="仿宋_GB2312" w:hAnsi="宋体" w:eastAsia="仿宋_GB2312"/>
          <w:kern w:val="0"/>
          <w:sz w:val="32"/>
        </w:rPr>
        <w:t>局领导审核把关机制，所有公开信息及答复意见均经审核</w:t>
      </w:r>
      <w:r>
        <w:rPr>
          <w:rFonts w:hint="eastAsia" w:ascii="仿宋_GB2312" w:hAnsi="宋体" w:eastAsia="仿宋_GB2312"/>
          <w:kern w:val="0"/>
          <w:sz w:val="32"/>
          <w:lang w:val="en-US" w:eastAsia="zh-CN"/>
        </w:rPr>
        <w:t>后</w:t>
      </w:r>
      <w:r>
        <w:rPr>
          <w:rFonts w:hint="eastAsia" w:ascii="仿宋_GB2312" w:hAnsi="宋体" w:eastAsia="仿宋_GB2312"/>
          <w:kern w:val="0"/>
          <w:sz w:val="32"/>
        </w:rPr>
        <w:t>签发，确保内容合法合规、全面准确，从源头提升公开质量。</w:t>
      </w:r>
    </w:p>
    <w:p w14:paraId="064D685C">
      <w:pPr>
        <w:widowControl w:val="0"/>
        <w:numPr>
          <w:ilvl w:val="0"/>
          <w:numId w:val="1"/>
        </w:numPr>
        <w:spacing w:beforeLines="-2147483648" w:afterLines="-2147483648" w:line="560" w:lineRule="exact"/>
        <w:ind w:firstLine="640" w:firstLineChars="0"/>
        <w:jc w:val="both"/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深化主动公开，拓宽阳光政务维度</w:t>
      </w:r>
    </w:p>
    <w:p w14:paraId="33F16AB5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严格遵循“以公开为常态、不公开为例外”原则，全面落实决策、执行、管理、服务、结果“五公开”要求，进一步明确公开主体、内容范畴、时限标准和发布渠道，推动主动公开标准化规范化建设提质增效。对照《政府信息公开条例》法定公开事项，实现政务信息“应公开尽公开、应示尽示”，切实保障公众知情权与监督权。</w:t>
      </w:r>
    </w:p>
    <w:p w14:paraId="53175456">
      <w:pPr>
        <w:widowControl w:val="0"/>
        <w:numPr>
          <w:ilvl w:val="0"/>
          <w:numId w:val="1"/>
        </w:numPr>
        <w:spacing w:beforeLines="-2147483648" w:afterLines="-2147483648" w:line="560" w:lineRule="exact"/>
        <w:ind w:firstLine="640" w:firstLineChars="0"/>
        <w:jc w:val="both"/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优化依申请公开，提升便民服务效能</w:t>
      </w:r>
    </w:p>
    <w:p w14:paraId="2A3E7152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聚焦企业群众急难愁盼，高效承接邮寄申请、网页在线申请</w:t>
      </w:r>
      <w:r>
        <w:rPr>
          <w:rFonts w:hint="eastAsia" w:ascii="仿宋_GB2312" w:hAnsi="宋体" w:eastAsia="仿宋_GB2312"/>
          <w:kern w:val="0"/>
          <w:sz w:val="32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32"/>
          <w:lang w:val="en-US" w:eastAsia="zh-CN"/>
        </w:rPr>
        <w:t>当面申请三个</w:t>
      </w:r>
      <w:r>
        <w:rPr>
          <w:rFonts w:hint="eastAsia" w:ascii="仿宋_GB2312" w:hAnsi="宋体" w:eastAsia="仿宋_GB2312"/>
          <w:kern w:val="0"/>
          <w:sz w:val="32"/>
        </w:rPr>
        <w:t>渠道，确保各类申请及时登记、快速流转。建立申请前沟通引导机制，对信息指向不明确的申请，通过电话沟通等方式协助申请人补全材料、明晰需求，实现“一次申请、精准答复”，节约办事成本。针对紧急诉求开通绿色通道，创新采用“阅卷拍照”等便捷方式，大幅提升信息获取效率。</w:t>
      </w:r>
    </w:p>
    <w:p w14:paraId="2F6303BE">
      <w:pPr>
        <w:widowControl w:val="0"/>
        <w:numPr>
          <w:ilvl w:val="0"/>
          <w:numId w:val="1"/>
        </w:numPr>
        <w:spacing w:beforeLines="-2147483648" w:afterLines="-2147483648" w:line="560" w:lineRule="exact"/>
        <w:ind w:firstLine="640" w:firstLineChars="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强化监督保障，夯实工作落实成效</w:t>
      </w:r>
    </w:p>
    <w:p w14:paraId="164DA157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  <w:lang w:val="en-US" w:eastAsia="zh-CN"/>
        </w:rPr>
        <w:t>分局</w:t>
      </w:r>
      <w:r>
        <w:rPr>
          <w:rFonts w:hint="eastAsia" w:ascii="仿宋_GB2312" w:hAnsi="宋体" w:eastAsia="仿宋_GB2312"/>
          <w:kern w:val="0"/>
          <w:sz w:val="32"/>
        </w:rPr>
        <w:t>构建“培训+案例+督查”三位一体提升机制，定期组织开展政府信息公开业务培训，深入剖析典型案例，强化工作人员责任意识与专业能力。建立常态化自查自纠机制，定期对公开内容、办理流程、答复质量等进行全面排查，发现问题立行立改，形成“闭环管理”。</w:t>
      </w:r>
    </w:p>
    <w:p w14:paraId="19254FDC">
      <w:pPr>
        <w:widowControl w:val="0"/>
        <w:numPr>
          <w:ilvl w:val="0"/>
          <w:numId w:val="0"/>
        </w:numPr>
        <w:spacing w:before="157" w:beforeLines="50" w:after="157" w:afterLines="50" w:line="560" w:lineRule="exact"/>
        <w:ind w:firstLine="640" w:firstLineChars="200"/>
        <w:jc w:val="both"/>
        <w:outlineLvl w:val="9"/>
        <w:rPr>
          <w:rFonts w:hint="eastAsia"/>
          <w:sz w:val="21"/>
        </w:rPr>
      </w:pPr>
      <w:r>
        <w:rPr>
          <w:rFonts w:hint="eastAsia" w:ascii="黑体" w:hAnsi="黑体" w:eastAsia="黑体" w:cs="黑体"/>
          <w:color w:val="232930"/>
          <w:kern w:val="2"/>
          <w:sz w:val="32"/>
          <w:szCs w:val="32"/>
          <w:lang w:eastAsia="zh-CN"/>
        </w:rPr>
        <w:t>二、主动公开政府信息情况</w:t>
      </w: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955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D39EEDF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第二十条第（一）项</w:t>
            </w:r>
          </w:p>
        </w:tc>
      </w:tr>
      <w:tr w14:paraId="5E22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F51A3C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54D125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5E88A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1EC65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现行有效件</w:t>
            </w:r>
            <w:r>
              <w:rPr>
                <w:rFonts w:hint="eastAsia" w:ascii="宋体" w:hAnsi="宋体" w:eastAsia="宋体"/>
                <w:kern w:val="0"/>
                <w:sz w:val="20"/>
              </w:rPr>
              <w:t>数</w:t>
            </w:r>
          </w:p>
        </w:tc>
      </w:tr>
      <w:tr w14:paraId="59E2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05AFCF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BD60DD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A0B01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C971B63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</w:rPr>
              <w:t>0</w:t>
            </w:r>
          </w:p>
        </w:tc>
      </w:tr>
      <w:tr w14:paraId="5C7F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01381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022A57B">
            <w:pPr>
              <w:widowControl/>
              <w:spacing w:beforeLines="0" w:afterLines="0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BB494D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B2084A">
            <w:pPr>
              <w:widowControl/>
              <w:spacing w:beforeLines="0" w:afterLines="0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</w:tr>
      <w:tr w14:paraId="77E0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39FC9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第二十条第（五）项</w:t>
            </w:r>
          </w:p>
        </w:tc>
      </w:tr>
      <w:tr w14:paraId="2B7A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2B7C3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984C2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本年处理决定数量</w:t>
            </w:r>
          </w:p>
        </w:tc>
      </w:tr>
      <w:tr w14:paraId="754C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7059F1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AB3624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lang w:val="en-US" w:eastAsia="zh-CN"/>
              </w:rPr>
              <w:t>399</w:t>
            </w:r>
          </w:p>
        </w:tc>
      </w:tr>
      <w:tr w14:paraId="0F04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2CF961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第二十条第（六）项</w:t>
            </w:r>
          </w:p>
        </w:tc>
      </w:tr>
      <w:tr w14:paraId="285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8D4B5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D3271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本年处理决定数量</w:t>
            </w:r>
          </w:p>
        </w:tc>
      </w:tr>
      <w:tr w14:paraId="237B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40912C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E5C029F">
            <w:pPr>
              <w:widowControl/>
              <w:spacing w:beforeLines="0" w:afterLines="0"/>
              <w:jc w:val="both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</w:tr>
      <w:tr w14:paraId="3DD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721B32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5468F8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0</w:t>
            </w:r>
          </w:p>
        </w:tc>
      </w:tr>
      <w:tr w14:paraId="1E40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30ABE1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第二十条第（八）项</w:t>
            </w:r>
          </w:p>
        </w:tc>
      </w:tr>
      <w:tr w14:paraId="2F3B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7856E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A3516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本年收费金额（单位：万元）</w:t>
            </w:r>
          </w:p>
        </w:tc>
      </w:tr>
      <w:tr w14:paraId="1BBA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96CF5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5E7A02B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不动产登记费：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3100.64</w:t>
            </w:r>
          </w:p>
        </w:tc>
      </w:tr>
    </w:tbl>
    <w:p w14:paraId="270449A0">
      <w:pPr>
        <w:numPr>
          <w:ilvl w:val="0"/>
          <w:numId w:val="0"/>
        </w:numPr>
        <w:spacing w:beforeLines="0" w:afterLines="0" w:line="560" w:lineRule="exact"/>
        <w:jc w:val="both"/>
        <w:rPr>
          <w:rFonts w:hint="eastAsia" w:ascii="黑体" w:hAnsi="黑体" w:eastAsia="黑体"/>
          <w:sz w:val="32"/>
        </w:rPr>
      </w:pPr>
    </w:p>
    <w:p w14:paraId="066CEDFE">
      <w:pPr>
        <w:numPr>
          <w:ilvl w:val="0"/>
          <w:numId w:val="0"/>
        </w:numPr>
        <w:spacing w:beforeLines="0" w:afterLines="0" w:line="560" w:lineRule="exact"/>
        <w:jc w:val="both"/>
        <w:rPr>
          <w:rFonts w:hint="eastAsia" w:ascii="宋体" w:hAnsi="宋体" w:eastAsia="宋体"/>
          <w:color w:val="333333"/>
          <w:sz w:val="24"/>
        </w:rPr>
      </w:pPr>
      <w:r>
        <w:rPr>
          <w:rFonts w:hint="eastAsia" w:ascii="黑体" w:hAnsi="黑体" w:eastAsia="黑体"/>
          <w:sz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</w:rPr>
        <w:t>收到和处理政府信息公开申请情况</w:t>
      </w: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D50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8DCF2B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3E5818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申请人情况</w:t>
            </w:r>
          </w:p>
        </w:tc>
      </w:tr>
      <w:tr w14:paraId="30B5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26F74C9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A93BCC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1A2114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16D5DF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总计</w:t>
            </w:r>
          </w:p>
        </w:tc>
      </w:tr>
      <w:tr w14:paraId="1090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C88DF55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12467A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832CAD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商业</w:t>
            </w:r>
          </w:p>
          <w:p w14:paraId="1F280D1B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9008273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科研</w:t>
            </w:r>
          </w:p>
          <w:p w14:paraId="095133E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91DFF9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AC43EE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21B3FD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B80ED20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</w:tr>
      <w:tr w14:paraId="0BE6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4B5C8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01F03C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3614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D458E61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050C0D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Calibri" w:hAnsi="Calibri" w:eastAsia="等线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67E9CB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781EF4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582FD4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2</w:t>
            </w: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522334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3923</w:t>
            </w:r>
          </w:p>
        </w:tc>
      </w:tr>
      <w:tr w14:paraId="11FE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B5C4C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C39250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4</w:t>
            </w: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7CF9E8F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AF82C8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D625B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8E344F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60B6C5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DC6B37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</w:tr>
      <w:tr w14:paraId="362F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B418F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30BDA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F9057A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2247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5544C53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739138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 w:ascii="Calibri" w:hAnsi="Calibri" w:eastAsia="等线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DC15F8A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F49DA5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672E4B3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11EA3CB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2422</w:t>
            </w:r>
          </w:p>
        </w:tc>
      </w:tr>
      <w:tr w14:paraId="00C6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29BCE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B128A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（二）部分公开</w:t>
            </w:r>
            <w:r>
              <w:rPr>
                <w:rFonts w:hint="eastAsia" w:ascii="楷体" w:hAnsi="楷体" w:eastAsia="楷体"/>
                <w:kern w:val="0"/>
                <w:sz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E4D91D3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0A069CD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AB71C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A5C23B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94CA6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DBAB80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F11144E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07AD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EDE06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524759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3CD4FA2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94CCFE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8CDB6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90CFE6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B6ECC0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76047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07CCBD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3DE309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</w:tr>
      <w:tr w14:paraId="09CC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3AC582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7357F2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2B0706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86BC71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DEDDE5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1A2C59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E618B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84078F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5F31C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355787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58B4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65B851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B50FAE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13AD981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DE74E9B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23720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Calibri" w:hAnsi="Calibri" w:eastAsia="等线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CB25A6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E648D9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CB358F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EA367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43616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</w:tr>
      <w:tr w14:paraId="13EB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5C61D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E88EC2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F79D11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707B27B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AF6EF6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85419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4E458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B03334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CA434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7184BB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10E5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ECA98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80971C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CDD289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3EFB27C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046F2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E84455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E97EB8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734CF1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61DF8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B0B5EB0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5A50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1D1589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63BF7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714729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66394B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9E11DB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116878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241955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9FBE2E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51CCEB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FE7FCA1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3</w:t>
            </w:r>
          </w:p>
        </w:tc>
      </w:tr>
      <w:tr w14:paraId="15CF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3FD879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444CE0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2DADD9B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2268279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13CD4C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12200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454664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8D32DF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4C888D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57D3DC3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318A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BE09A3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C65A29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DFD7F3C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D71AE55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D7CE6B8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9537CE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007C91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3006CB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02BF1C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04A89A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65</w:t>
            </w:r>
          </w:p>
        </w:tc>
      </w:tr>
      <w:tr w14:paraId="6B50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6EF7B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ECFB23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437889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17B1FE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1265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3D5665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1DB26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70541EF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7D44F6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83B914F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FFD5CC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1397</w:t>
            </w:r>
          </w:p>
        </w:tc>
      </w:tr>
      <w:tr w14:paraId="10DC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4FF5FF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DD32E3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5906E8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EB181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8C8E7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758D0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45B123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20CE84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8BE0E6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124DE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5A94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5D360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48831F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A6FD2A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CEAC3F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6165EA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F34C63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326D3E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E6B36A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40638E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A1D48F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5AE7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307C57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83F70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B64994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8BB36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B6B163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1E4F05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B64717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E85042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61DE99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04D36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</w:tr>
      <w:tr w14:paraId="6E47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3B2D40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8C2BBF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AF80BA9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85D9A05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E7EC81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8C84DD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9175D6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C9B090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C850DC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2FC546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</w:tr>
      <w:tr w14:paraId="2EA3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584A1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A2F482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DB0982F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F3084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D5BE2D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3BDE085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B9E4A2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591D0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AD933A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C669D8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2D71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E80A1D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52B9A3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EE66269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A3C88D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64DB55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639AE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A9AC06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B63255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CC6783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47E54B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51B0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59DD5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C320D7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A55F82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177045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F4B8D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7C8233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EDB239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9CA8C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083223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DD19EE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7C12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53C86B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51E74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AAF16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EB4039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16555F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A61AB1B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BA12A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9E5DE3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907619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211F69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1C45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8EF713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9BCB11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258CBB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700B8C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D57CDF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A7A925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599625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FE9C94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8B8386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8032B75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等线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5F34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B337E7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B7F288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A3D62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4E16C7C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C7B861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F328A9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EF805E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184CE7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FAA95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FA134C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</w:tr>
      <w:tr w14:paraId="48A8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128877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AFD04F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4B19576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DC1B44">
            <w:pPr>
              <w:widowControl/>
              <w:spacing w:beforeLines="0" w:afterLines="0"/>
              <w:jc w:val="both"/>
              <w:textAlignment w:val="center"/>
              <w:rPr>
                <w:rFonts w:hint="default" w:ascii="Times New Roman" w:hAnsi="Times New Roman" w:eastAsia="宋体"/>
                <w:sz w:val="21"/>
              </w:rPr>
            </w:pPr>
            <w:r>
              <w:rPr>
                <w:rFonts w:hint="default"/>
                <w:sz w:val="21"/>
              </w:rPr>
              <w:t>2</w:t>
            </w:r>
            <w:r>
              <w:rPr>
                <w:rFonts w:hint="eastAsia" w:eastAsia="宋体"/>
                <w:sz w:val="21"/>
                <w:lang w:val="en-US" w:eastAsia="zh-CN"/>
              </w:rPr>
              <w:t>79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9D57D3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Calibri" w:hAnsi="Calibri" w:eastAsia="等线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466FF7">
            <w:pPr>
              <w:widowControl/>
              <w:spacing w:beforeLines="0" w:afterLines="0"/>
              <w:jc w:val="both"/>
              <w:textAlignment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61A60E3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5B2473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C0480C1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3903</w:t>
            </w:r>
          </w:p>
        </w:tc>
      </w:tr>
      <w:tr w14:paraId="0337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13B7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032239E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79BF30BF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8517472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E7C2426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C5623FB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default" w:ascii="Calibri" w:hAnsi="Calibri" w:eastAsia="等线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B96558D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宋体" w:hAnsi="Times New Roman" w:eastAsia="宋体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62FCC4B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等线" w:hAnsi="Calibri" w:eastAsia="等线"/>
                <w:color w:val="000000"/>
                <w:kern w:val="0"/>
                <w:sz w:val="20"/>
                <w:lang w:val="en-US" w:eastAsia="zh-CN"/>
              </w:rPr>
              <w:t>65</w:t>
            </w:r>
          </w:p>
        </w:tc>
      </w:tr>
    </w:tbl>
    <w:p w14:paraId="64EAE0CC">
      <w:pPr>
        <w:spacing w:beforeLines="0" w:afterLines="0" w:line="560" w:lineRule="exact"/>
        <w:ind w:firstLine="640" w:firstLineChars="200"/>
        <w:jc w:val="both"/>
        <w:rPr>
          <w:rFonts w:hint="eastAsia" w:ascii="黑体" w:hAnsi="黑体" w:eastAsia="黑体"/>
          <w:sz w:val="32"/>
        </w:rPr>
      </w:pPr>
    </w:p>
    <w:p w14:paraId="37CBB01D">
      <w:pPr>
        <w:spacing w:beforeLines="0" w:afterLines="0" w:line="560" w:lineRule="exact"/>
        <w:ind w:firstLine="640" w:firstLineChars="200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四、政府信息公开行政复议、行政诉讼情况</w:t>
      </w:r>
    </w:p>
    <w:p w14:paraId="163AB31D">
      <w:pPr>
        <w:widowControl/>
        <w:spacing w:beforeLines="0" w:afterLines="0"/>
        <w:jc w:val="both"/>
        <w:rPr>
          <w:rFonts w:hint="default"/>
          <w:sz w:val="21"/>
        </w:rPr>
      </w:pP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2D4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451D1A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241CCD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行政诉讼</w:t>
            </w:r>
          </w:p>
        </w:tc>
      </w:tr>
      <w:tr w14:paraId="112B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F815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D4715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  <w:p w14:paraId="093C005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DD10F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其他</w:t>
            </w:r>
          </w:p>
          <w:p w14:paraId="0DD7A31A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5A819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尚未</w:t>
            </w:r>
          </w:p>
          <w:p w14:paraId="2E6A051E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A36E8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9983189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3F7F8EB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复议后起诉</w:t>
            </w:r>
          </w:p>
        </w:tc>
      </w:tr>
      <w:tr w14:paraId="5823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FD00005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AC79A27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17082E5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CD8D86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3C7FD34">
            <w:pPr>
              <w:spacing w:beforeLines="0" w:afterLines="0"/>
              <w:jc w:val="both"/>
              <w:rPr>
                <w:rFonts w:hint="eastAsia" w:ascii="宋体" w:hAnsi="Times New Roman" w:eastAsia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D03BB5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  <w:p w14:paraId="05E539EC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9B994FA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  <w:p w14:paraId="7034A9B6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09AA558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其他</w:t>
            </w:r>
          </w:p>
          <w:p w14:paraId="48DB887C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627BE0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尚未</w:t>
            </w:r>
          </w:p>
          <w:p w14:paraId="31A57C74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1658FFD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B078F0D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  <w:p w14:paraId="54FD2377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EFD947B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结果</w:t>
            </w:r>
          </w:p>
          <w:p w14:paraId="0F80F302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0418705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其他</w:t>
            </w:r>
          </w:p>
          <w:p w14:paraId="4E0BD742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6978702"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尚未</w:t>
            </w:r>
          </w:p>
          <w:p w14:paraId="4F370A05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03F3170">
            <w:pPr>
              <w:widowControl/>
              <w:spacing w:beforeLines="0" w:afterLines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总计</w:t>
            </w:r>
          </w:p>
        </w:tc>
      </w:tr>
      <w:tr w14:paraId="7C6F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E9659D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7DC95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DD78277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6238222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93C794A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7DD2B0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F6823BE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51FC1B8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A253ED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C1067B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A2AD2F0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6429594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FE36409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1CE303D">
            <w:pPr>
              <w:widowControl/>
              <w:spacing w:beforeLines="0" w:afterLines="0"/>
              <w:jc w:val="both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4001AEC"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Times New Roman" w:eastAsia="宋体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</w:tr>
    </w:tbl>
    <w:p w14:paraId="7C2889AE">
      <w:pPr>
        <w:widowControl/>
        <w:spacing w:beforeLines="0" w:afterLines="0"/>
        <w:jc w:val="both"/>
        <w:rPr>
          <w:rFonts w:hint="default"/>
          <w:sz w:val="21"/>
        </w:rPr>
      </w:pPr>
    </w:p>
    <w:p w14:paraId="32A48C3D">
      <w:pPr>
        <w:widowControl w:val="0"/>
        <w:numPr>
          <w:ilvl w:val="0"/>
          <w:numId w:val="0"/>
        </w:numPr>
        <w:spacing w:before="157" w:beforeLines="50" w:after="157" w:afterLines="50" w:line="560" w:lineRule="exact"/>
        <w:ind w:firstLine="640" w:firstLineChars="200"/>
        <w:jc w:val="both"/>
        <w:outlineLvl w:val="9"/>
        <w:rPr>
          <w:rFonts w:hint="eastAsia" w:ascii="黑体" w:hAnsi="黑体" w:eastAsia="黑体" w:cs="黑体"/>
          <w:color w:val="232930"/>
          <w:spacing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32930"/>
          <w:spacing w:val="0"/>
          <w:kern w:val="2"/>
          <w:sz w:val="32"/>
          <w:szCs w:val="32"/>
          <w:lang w:eastAsia="zh-CN"/>
        </w:rPr>
        <w:t>五、存在的主要问题及改进情况</w:t>
      </w:r>
    </w:p>
    <w:p w14:paraId="7270FB90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2025年，分局聚焦政府信息公开工作中的突出问题与潜在风险点，坚持问题导向、靶向施策，持续完善工作机制、提升工作质效，具体整改情况如下：</w:t>
      </w:r>
    </w:p>
    <w:p w14:paraId="5FBCC1B8">
      <w:pPr>
        <w:widowControl w:val="0"/>
        <w:numPr>
          <w:ilvl w:val="0"/>
          <w:numId w:val="2"/>
        </w:numPr>
        <w:spacing w:beforeLines="-2147483648" w:afterLines="-2147483648" w:line="560" w:lineRule="exact"/>
        <w:ind w:firstLine="640" w:firstLineChars="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针对“事实认定分歧、法律适用不精准”的整改措施</w:t>
      </w:r>
    </w:p>
    <w:p w14:paraId="0A0108DC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随着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社会对信息公开的需求量增大</w:t>
      </w:r>
      <w:r>
        <w:rPr>
          <w:rFonts w:hint="eastAsia" w:ascii="仿宋_GB2312" w:hAnsi="仿宋_GB2312" w:eastAsia="仿宋_GB2312"/>
          <w:color w:val="000000"/>
          <w:sz w:val="32"/>
        </w:rPr>
        <w:t>，加之司法实践中典型案例不断涌现，对答复的合法性、规范性提出更高标准。针对此前存在的事实认定易产生分歧、法律适用不够恰当等问题，分局从三方面发力整改：</w:t>
      </w:r>
    </w:p>
    <w:p w14:paraId="16096EEF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一是精准核验申请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信息。</w:t>
      </w:r>
      <w:r>
        <w:rPr>
          <w:rFonts w:hint="eastAsia" w:ascii="仿宋_GB2312" w:hAnsi="仿宋_GB2312" w:eastAsia="仿宋_GB2312"/>
          <w:color w:val="000000"/>
          <w:sz w:val="32"/>
        </w:rPr>
        <w:t>收到信息公开申请后，1个工作日内完成申请内容拆解，对表述模糊、诉求矛盾的申请，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</w:rPr>
        <w:t>个工作日内主动与申请人沟通核实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申请内容或明确申请位置</w:t>
      </w:r>
      <w:r>
        <w:rPr>
          <w:rFonts w:hint="eastAsia" w:ascii="仿宋_GB2312" w:hAnsi="仿宋_GB2312" w:eastAsia="仿宋_GB2312"/>
          <w:color w:val="000000"/>
          <w:sz w:val="32"/>
        </w:rPr>
        <w:t>，避免因需求误解导致事实认定偏差。</w:t>
      </w:r>
    </w:p>
    <w:p w14:paraId="6C1A6F66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二是信息来源多元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复核</w:t>
      </w:r>
      <w:r>
        <w:rPr>
          <w:rFonts w:hint="eastAsia" w:ascii="仿宋_GB2312" w:hAnsi="仿宋_GB2312" w:eastAsia="仿宋_GB2312"/>
          <w:color w:val="000000"/>
          <w:sz w:val="32"/>
        </w:rPr>
        <w:t>。对申请公开的信息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多方</w:t>
      </w:r>
      <w:r>
        <w:rPr>
          <w:rFonts w:hint="eastAsia" w:ascii="仿宋_GB2312" w:hAnsi="仿宋_GB2312" w:eastAsia="仿宋_GB2312"/>
          <w:color w:val="000000"/>
          <w:sz w:val="32"/>
        </w:rPr>
        <w:t>核验，联动档案管理部门调取原始卷宗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32"/>
        </w:rPr>
        <w:t>涉及第三方权益的，严格执行书面征询程序，留存征询记录与回复凭证。遇到复杂问题，及时与法律顾问沟通研讨，确保答复思路符合法律规定。</w:t>
      </w:r>
    </w:p>
    <w:p w14:paraId="381BB7D3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三是动态优化答复规范。结合案例学习成果与法律顾问专业意见，修订完善信息公开答复标准模板与口径指引，将法律适用要求嵌入答复全流程，从源头减少事实认定偏差与法律适用风险，切实提升答复质量。</w:t>
      </w:r>
    </w:p>
    <w:p w14:paraId="2E9FA455">
      <w:pPr>
        <w:widowControl w:val="0"/>
        <w:numPr>
          <w:ilvl w:val="0"/>
          <w:numId w:val="2"/>
        </w:numPr>
        <w:spacing w:beforeLines="-2147483648" w:afterLines="-2147483648" w:line="560" w:lineRule="exact"/>
        <w:ind w:firstLine="640" w:firstLineChars="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eastAsia="zh-CN"/>
        </w:rPr>
        <w:t>针对“公开内容不详尽、政策解读不深入”的整改措施</w:t>
      </w:r>
    </w:p>
    <w:p w14:paraId="5F40402C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聚焦公开信息覆盖面不足、内容颗粒度不够细、政策解读缺乏深度，导致公众理解存在障碍等问题，分局多措并举补齐短板：</w:t>
      </w:r>
    </w:p>
    <w:p w14:paraId="53F4B97B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一是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加强政策解读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在接待和受理咨询电话时，对申请人所提出的问题进行详细的政策解答，帮助其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梳理问题脉络、细致解读相关法律法规、分析症结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 w14:paraId="74597B24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二是健审核把关机制。在经办人初核、科室负责人复核的基础上，主管领导终核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的基础上，</w:t>
      </w:r>
      <w:r>
        <w:rPr>
          <w:rFonts w:hint="eastAsia" w:ascii="仿宋_GB2312" w:hAnsi="仿宋_GB2312" w:eastAsia="仿宋_GB2312"/>
          <w:color w:val="000000"/>
          <w:sz w:val="32"/>
        </w:rPr>
        <w:t>同步请律师全过程参与答复审核，重点核查内容合法性、表述规范性、解读通俗性，确保答复无死角、无偏差。</w:t>
      </w:r>
    </w:p>
    <w:p w14:paraId="08B41C76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三是强化多维学习提升素养。一方面，常态化开展《政府信息公开条例》及规划自然资源领域最新政策法规培训，推动工作人员吃透政策精神、精准把握业务要点；另一方面，深入研究北京市复议、诉讼审理标准，依法确保答复既合规合法又贴合实际需求。</w:t>
      </w:r>
    </w:p>
    <w:p w14:paraId="16B4587F">
      <w:pPr>
        <w:widowControl/>
        <w:spacing w:beforeLines="-2147483648" w:afterLines="-2147483648" w:line="240" w:lineRule="auto"/>
        <w:ind w:firstLine="640" w:firstLineChars="200"/>
        <w:jc w:val="left"/>
        <w:rPr>
          <w:rFonts w:hint="default"/>
          <w:sz w:val="21"/>
        </w:rPr>
      </w:pPr>
      <w:r>
        <w:rPr>
          <w:rFonts w:hint="eastAsia" w:ascii="仿宋_GB2312" w:hAnsi="仿宋_GB2312" w:eastAsia="仿宋_GB2312"/>
          <w:color w:val="000000"/>
          <w:sz w:val="32"/>
        </w:rPr>
        <w:t>四是构建立体化协同沟通体系。对内加强与各科室的业务联动，确保公开信息与业务工作同步更新、口径一致；对外强化与市规划自然资源委、朝阳区政府相关部门及裁判机关的沟通对接，及时掌握最新工作要求与司法裁判导向，确保答复内容严谨准确、符合规范，同时为公众提供更清晰的政策解读与咨询指引。</w:t>
      </w:r>
    </w:p>
    <w:p w14:paraId="6504312A">
      <w:pPr>
        <w:widowControl w:val="0"/>
        <w:numPr>
          <w:ilvl w:val="0"/>
          <w:numId w:val="0"/>
        </w:numPr>
        <w:spacing w:before="157" w:beforeLines="50" w:after="157" w:afterLines="50" w:line="560" w:lineRule="exact"/>
        <w:ind w:firstLine="640" w:firstLineChars="200"/>
        <w:jc w:val="both"/>
        <w:outlineLvl w:val="9"/>
        <w:rPr>
          <w:rFonts w:hint="eastAsia" w:ascii="黑体" w:hAnsi="黑体" w:eastAsia="黑体" w:cs="黑体"/>
          <w:color w:val="23293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32930"/>
          <w:spacing w:val="0"/>
          <w:kern w:val="2"/>
          <w:sz w:val="32"/>
          <w:szCs w:val="32"/>
          <w:lang w:eastAsia="zh-CN"/>
        </w:rPr>
        <w:t>六、其他需要报告的事项</w:t>
      </w:r>
    </w:p>
    <w:p w14:paraId="653D6013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信息公开的产生收费情况报告如下：</w:t>
      </w:r>
    </w:p>
    <w:p w14:paraId="4D037288">
      <w:pPr>
        <w:widowControl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按照《政府信息公开信息处理费管理办法》(国办函〔2020〕109号)，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2025</w:t>
      </w:r>
      <w:r>
        <w:rPr>
          <w:rFonts w:hint="eastAsia" w:ascii="仿宋_GB2312" w:hAnsi="仿宋_GB2312" w:eastAsia="仿宋_GB2312"/>
          <w:color w:val="000000"/>
          <w:sz w:val="32"/>
        </w:rPr>
        <w:t>年度我分局共收取信息处理费情况为：发出收费通知的件数为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</w:rPr>
        <w:t>件，总金额为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9020</w:t>
      </w:r>
      <w:r>
        <w:rPr>
          <w:rFonts w:hint="eastAsia" w:ascii="仿宋_GB2312" w:hAnsi="仿宋_GB2312" w:eastAsia="仿宋_GB2312"/>
          <w:color w:val="000000"/>
          <w:sz w:val="32"/>
        </w:rPr>
        <w:t>元，实际收取的总金额为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9020</w:t>
      </w:r>
      <w:r>
        <w:rPr>
          <w:rFonts w:hint="eastAsia" w:ascii="仿宋_GB2312" w:hAnsi="仿宋_GB2312" w:eastAsia="仿宋_GB2312"/>
          <w:color w:val="000000"/>
          <w:sz w:val="32"/>
        </w:rPr>
        <w:t>元。</w:t>
      </w:r>
    </w:p>
    <w:p w14:paraId="31AFC271"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lnNumType w:countBy="0" w:distance="36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99D15">
    <w:pPr>
      <w:pStyle w:val="8"/>
      <w:tabs>
        <w:tab w:val="clear" w:pos="4153"/>
        <w:tab w:val="clear" w:pos="8306"/>
      </w:tabs>
      <w:spacing w:beforeLines="0" w:afterLines="0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5DACC"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spacing w:beforeLines="0" w:afterLines="0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D233o6uQEAAG8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5DACC"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spacing w:beforeLines="0" w:afterLines="0"/>
                      <w:rPr>
                        <w:rFonts w:hint="default"/>
                        <w:sz w:val="18"/>
                      </w:rPr>
                    </w:pPr>
                    <w:r>
                      <w:rPr>
                        <w:rFonts w:hint="default"/>
                        <w:sz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4</w:t>
                    </w:r>
                    <w:r>
                      <w:rPr>
                        <w:rFonts w:hint="default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906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22C81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22C81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F7835"/>
    <w:multiLevelType w:val="singleLevel"/>
    <w:tmpl w:val="EFDF78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911343"/>
    <w:multiLevelType w:val="singleLevel"/>
    <w:tmpl w:val="149113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NotTrackFormatting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MmUwMjliMjdkMGJhMzU3MjEyMmZmNjczMjVmOGFiOTAifQ=="/>
  </w:docVars>
  <w:rsids>
    <w:rsidRoot w:val="00000000"/>
    <w:rsid w:val="00A84558"/>
    <w:rsid w:val="02F2197A"/>
    <w:rsid w:val="08026697"/>
    <w:rsid w:val="0A35506E"/>
    <w:rsid w:val="0C9B273A"/>
    <w:rsid w:val="108F25B6"/>
    <w:rsid w:val="18C577AE"/>
    <w:rsid w:val="18DC638E"/>
    <w:rsid w:val="1B0D514B"/>
    <w:rsid w:val="1B4B0710"/>
    <w:rsid w:val="1FA63478"/>
    <w:rsid w:val="1FBB66D8"/>
    <w:rsid w:val="26DA36A5"/>
    <w:rsid w:val="28247630"/>
    <w:rsid w:val="28B17ED0"/>
    <w:rsid w:val="3A212E0C"/>
    <w:rsid w:val="3BB75319"/>
    <w:rsid w:val="3FBB0422"/>
    <w:rsid w:val="3FD89B82"/>
    <w:rsid w:val="42ED4D97"/>
    <w:rsid w:val="45EE2D72"/>
    <w:rsid w:val="49B127EB"/>
    <w:rsid w:val="4E9A17C4"/>
    <w:rsid w:val="5EEF2D58"/>
    <w:rsid w:val="5F313284"/>
    <w:rsid w:val="62E42EC3"/>
    <w:rsid w:val="667E2026"/>
    <w:rsid w:val="6C900779"/>
    <w:rsid w:val="71BE39E7"/>
    <w:rsid w:val="728A227B"/>
    <w:rsid w:val="75EF084A"/>
    <w:rsid w:val="76D55E4D"/>
    <w:rsid w:val="783F7AE7"/>
    <w:rsid w:val="7F7FF4C7"/>
    <w:rsid w:val="FFF3D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Body Text Indent"/>
    <w:basedOn w:val="1"/>
    <w:next w:val="5"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oc 3"/>
    <w:basedOn w:val="1"/>
    <w:next w:val="1"/>
    <w:qFormat/>
    <w:uiPriority w:val="0"/>
    <w:pPr>
      <w:ind w:left="840" w:leftChars="400"/>
    </w:pPr>
    <w:rPr>
      <w:rFonts w:ascii="Times New Roman" w:hAnsi="Times New Roman"/>
    </w:rPr>
  </w:style>
  <w:style w:type="paragraph" w:styleId="7">
    <w:name w:val="Plain Text"/>
    <w:basedOn w:val="1"/>
    <w:qFormat/>
    <w:uiPriority w:val="0"/>
    <w:pPr>
      <w:spacing w:beforeLines="0" w:afterLines="0"/>
    </w:pPr>
    <w:rPr>
      <w:rFonts w:hint="eastAsia" w:ascii="宋体" w:hAnsi="Courier New" w:eastAsia="宋体"/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  <w:style w:type="paragraph" w:styleId="11">
    <w:name w:val="Body Text First Indent 2"/>
    <w:basedOn w:val="4"/>
    <w:unhideWhenUsed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2796</Words>
  <Characters>2912</Characters>
  <Paragraphs>416</Paragraphs>
  <TotalTime>0</TotalTime>
  <ScaleCrop>false</ScaleCrop>
  <LinksUpToDate>false</LinksUpToDate>
  <CharactersWithSpaces>2912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2025-01-15T19:18:00Z</dcterms:created>
  <dc:creator>林勇</dc:creator>
  <cp:lastModifiedBy>user</cp:lastModifiedBy>
  <cp:lastPrinted>2026-01-16T11:10:00Z</cp:lastPrinted>
  <dcterms:modified xsi:type="dcterms:W3CDTF">2026-01-19T17:51:47Z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14fca78c249647368ac59ef488f99463</vt:lpwstr>
  </property>
  <property fmtid="{D5CDD505-2E9C-101B-9397-08002B2CF9AE}" pid="4" name="KSOTemplateDocerSaveRecord">
    <vt:lpwstr>eyJoZGlkIjoiNmM4MmE2N2RlNzIzMGNiZjhmNjFhMWNjZjU3MjhmYjkiLCJ1c2VySWQiOiI0NDU4ODc5MTIifQ==</vt:lpwstr>
  </property>
</Properties>
</file>