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660" w:lineRule="exact"/>
        <w:jc w:val="center"/>
        <w:rPr>
          <w:rFonts w:hint="eastAsia" w:ascii="方正小标宋简体" w:hAnsi="方正小标宋简体" w:eastAsia="方正小标宋简体"/>
          <w:sz w:val="44"/>
        </w:rPr>
      </w:pPr>
      <w:bookmarkStart w:id="0" w:name="_GoBack"/>
      <w:bookmarkEnd w:id="0"/>
      <w:r>
        <w:rPr>
          <w:rFonts w:hint="eastAsia" w:ascii="方正小标宋简体" w:hAnsi="方正小标宋简体" w:eastAsia="方正小标宋简体"/>
          <w:sz w:val="44"/>
        </w:rPr>
        <w:t>北京市规划和自然资源委员会朝阳分局2024年政府信息公开工作年度报告</w:t>
      </w:r>
    </w:p>
    <w:p>
      <w:pPr>
        <w:spacing w:beforeLines="0" w:afterLines="0" w:line="560" w:lineRule="exact"/>
        <w:jc w:val="center"/>
        <w:rPr>
          <w:rFonts w:hint="default"/>
          <w:sz w:val="44"/>
        </w:rPr>
      </w:pPr>
    </w:p>
    <w:p>
      <w:pPr>
        <w:widowControl/>
        <w:spacing w:beforeLines="0" w:afterLines="0" w:line="560" w:lineRule="exact"/>
        <w:jc w:val="both"/>
        <w:rPr>
          <w:rFonts w:hint="eastAsia" w:ascii="仿宋_GB2312" w:hAnsi="宋体" w:eastAsia="仿宋_GB2312"/>
          <w:spacing w:val="8"/>
          <w:kern w:val="0"/>
          <w:sz w:val="32"/>
        </w:rPr>
      </w:pPr>
      <w:r>
        <w:rPr>
          <w:rFonts w:hint="eastAsia" w:ascii="微软雅黑" w:hAnsi="微软雅黑" w:eastAsia="微软雅黑"/>
          <w:color w:val="404040"/>
          <w:kern w:val="0"/>
          <w:sz w:val="24"/>
        </w:rPr>
        <w:t>　</w:t>
      </w:r>
      <w:r>
        <w:rPr>
          <w:rFonts w:hint="eastAsia" w:ascii="微软雅黑" w:hAnsi="微软雅黑" w:eastAsia="微软雅黑"/>
          <w:color w:val="404040"/>
          <w:kern w:val="0"/>
          <w:sz w:val="32"/>
        </w:rPr>
        <w:t xml:space="preserve">   </w:t>
      </w:r>
      <w:r>
        <w:rPr>
          <w:rFonts w:hint="eastAsia" w:ascii="仿宋_GB2312" w:hAnsi="宋体" w:eastAsia="仿宋_GB2312"/>
          <w:kern w:val="0"/>
          <w:sz w:val="32"/>
        </w:rPr>
        <w:t>依据《中华人民共和国政府信息公开条例》(以下简称《政府信息公开条例》)规定，编制本报告。</w:t>
      </w:r>
    </w:p>
    <w:p>
      <w:pPr>
        <w:widowControl w:val="0"/>
        <w:numPr>
          <w:ilvl w:val="0"/>
          <w:numId w:val="0"/>
        </w:numPr>
        <w:spacing w:before="157" w:beforeLines="50" w:after="157" w:afterLines="50" w:line="560" w:lineRule="exact"/>
        <w:ind w:firstLine="640" w:firstLineChars="200"/>
        <w:jc w:val="both"/>
        <w:outlineLvl w:val="9"/>
        <w:rPr>
          <w:rFonts w:hint="eastAsia" w:ascii="黑体" w:hAnsi="黑体" w:eastAsia="黑体" w:cs="黑体"/>
          <w:color w:val="232930"/>
          <w:spacing w:val="0"/>
          <w:kern w:val="2"/>
          <w:sz w:val="32"/>
          <w:szCs w:val="32"/>
          <w:lang w:eastAsia="zh-CN"/>
        </w:rPr>
      </w:pPr>
      <w:r>
        <w:rPr>
          <w:rFonts w:hint="eastAsia" w:ascii="黑体" w:hAnsi="黑体" w:eastAsia="黑体" w:cs="黑体"/>
          <w:color w:val="232930"/>
          <w:spacing w:val="0"/>
          <w:kern w:val="2"/>
          <w:sz w:val="32"/>
          <w:szCs w:val="32"/>
          <w:lang w:eastAsia="zh-CN"/>
        </w:rPr>
        <w:t>一、总体情况</w:t>
      </w:r>
    </w:p>
    <w:p>
      <w:pPr>
        <w:widowControl/>
        <w:spacing w:beforeLines="0" w:afterLines="0" w:line="560" w:lineRule="exact"/>
        <w:ind w:firstLine="640" w:firstLineChars="200"/>
        <w:jc w:val="both"/>
        <w:rPr>
          <w:rFonts w:hint="eastAsia" w:ascii="仿宋_GB2312" w:hAnsi="宋体" w:eastAsia="仿宋_GB2312"/>
          <w:kern w:val="0"/>
          <w:sz w:val="32"/>
        </w:rPr>
      </w:pPr>
      <w:r>
        <w:rPr>
          <w:rFonts w:hint="eastAsia" w:ascii="仿宋_GB2312" w:hAnsi="宋体" w:eastAsia="仿宋_GB2312"/>
          <w:kern w:val="0"/>
          <w:sz w:val="32"/>
        </w:rPr>
        <w:t>2024年，北京市规划和自然资源委员会朝阳分局坚持以习近平新时代中国特色社会主义思想为指导，全面贯彻党的二十大精神，深入贯彻习近平总书记对北京一系列重要讲话精神，在市委市政府坚强领导下，在北京市规划和自然资源委员会及朝阳区政府的指导下，认真落实《政府信息公开条例》和北京市及朝阳区《2024年政务公开工作要点》，结合工作实际，进一步规范政府信息公开工作，</w:t>
      </w:r>
      <w:r>
        <w:rPr>
          <w:rFonts w:hint="eastAsia" w:ascii="仿宋_GB2312" w:hAnsi="仿宋_GB2312" w:eastAsia="仿宋_GB2312"/>
          <w:spacing w:val="8"/>
          <w:kern w:val="0"/>
          <w:sz w:val="32"/>
        </w:rPr>
        <w:t>着力提升</w:t>
      </w:r>
      <w:r>
        <w:rPr>
          <w:rFonts w:hint="eastAsia" w:ascii="仿宋_GB2312" w:hAnsi="宋体" w:eastAsia="仿宋_GB2312"/>
          <w:kern w:val="0"/>
          <w:sz w:val="32"/>
        </w:rPr>
        <w:t>工作实效及信息</w:t>
      </w:r>
      <w:r>
        <w:rPr>
          <w:rFonts w:hint="eastAsia" w:ascii="仿宋_GB2312" w:hAnsi="仿宋_GB2312" w:eastAsia="仿宋_GB2312"/>
          <w:spacing w:val="8"/>
          <w:kern w:val="0"/>
          <w:sz w:val="32"/>
        </w:rPr>
        <w:t>公开质量</w:t>
      </w:r>
      <w:r>
        <w:rPr>
          <w:rFonts w:hint="eastAsia" w:ascii="仿宋_GB2312" w:hAnsi="宋体" w:eastAsia="仿宋_GB2312"/>
          <w:kern w:val="0"/>
          <w:sz w:val="32"/>
        </w:rPr>
        <w:t>。</w:t>
      </w:r>
    </w:p>
    <w:p>
      <w:pPr>
        <w:numPr>
          <w:ilvl w:val="0"/>
          <w:numId w:val="0"/>
        </w:numPr>
        <w:spacing w:beforeLines="0" w:afterLines="0"/>
        <w:ind w:firstLine="640"/>
        <w:jc w:val="both"/>
        <w:rPr>
          <w:rFonts w:hint="eastAsia" w:ascii="仿宋_GB2312" w:hAnsi="Times New Roman" w:eastAsia="仿宋_GB2312"/>
          <w:sz w:val="32"/>
        </w:rPr>
      </w:pPr>
      <w:r>
        <w:rPr>
          <w:rFonts w:hint="eastAsia" w:ascii="仿宋_GB2312" w:hAnsi="宋体" w:eastAsia="仿宋_GB2312"/>
          <w:kern w:val="0"/>
          <w:sz w:val="32"/>
        </w:rPr>
        <w:t>一是加强组织领导。</w:t>
      </w:r>
      <w:r>
        <w:rPr>
          <w:rFonts w:hint="eastAsia" w:ascii="仿宋_GB2312" w:hAnsi="Times New Roman" w:eastAsia="仿宋_GB2312"/>
          <w:sz w:val="32"/>
        </w:rPr>
        <w:t>分局高度重视信息公开工作，印发《北京市规划和自然资源委员</w:t>
      </w:r>
      <w:r>
        <w:rPr>
          <w:rFonts w:hint="eastAsia" w:ascii="仿宋_GB2312" w:eastAsia="仿宋_GB2312"/>
          <w:sz w:val="32"/>
          <w:lang w:eastAsia="zh-CN"/>
        </w:rPr>
        <w:t>会朝</w:t>
      </w:r>
      <w:r>
        <w:rPr>
          <w:rFonts w:hint="eastAsia" w:ascii="仿宋_GB2312" w:eastAsia="仿宋_GB2312"/>
          <w:sz w:val="32"/>
          <w:lang w:val="en-US" w:eastAsia="zh-CN"/>
        </w:rPr>
        <w:t>阳分局政府信息依申请公开工作指引</w:t>
      </w:r>
      <w:r>
        <w:rPr>
          <w:rFonts w:hint="eastAsia" w:ascii="仿宋_GB2312" w:hAnsi="Times New Roman" w:eastAsia="仿宋_GB2312"/>
          <w:sz w:val="32"/>
        </w:rPr>
        <w:t>》，细化信息公开工作要求，使信息公开工作井然有序推进。信息公开工作的答复均经</w:t>
      </w:r>
      <w:r>
        <w:rPr>
          <w:rFonts w:hint="eastAsia" w:ascii="仿宋_GB2312" w:eastAsia="仿宋_GB2312"/>
          <w:sz w:val="32"/>
          <w:lang w:eastAsia="zh-CN"/>
        </w:rPr>
        <w:t>局</w:t>
      </w:r>
      <w:r>
        <w:rPr>
          <w:rFonts w:hint="eastAsia" w:ascii="仿宋_GB2312" w:hAnsi="Times New Roman" w:eastAsia="仿宋_GB2312"/>
          <w:sz w:val="32"/>
        </w:rPr>
        <w:t>领导审核，确保答复内容全面，提升答复质量。</w:t>
      </w:r>
    </w:p>
    <w:p>
      <w:pPr>
        <w:pStyle w:val="6"/>
        <w:spacing w:beforeLines="0" w:afterLines="0"/>
        <w:ind w:firstLine="640" w:firstLineChars="200"/>
        <w:jc w:val="both"/>
        <w:rPr>
          <w:rFonts w:hint="eastAsia" w:ascii="仿宋_GB2312" w:hAnsi="宋体" w:eastAsia="仿宋_GB2312"/>
          <w:kern w:val="0"/>
          <w:sz w:val="32"/>
        </w:rPr>
      </w:pPr>
      <w:r>
        <w:rPr>
          <w:rFonts w:hint="eastAsia" w:ascii="仿宋_GB2312" w:hAnsi="宋体" w:eastAsia="仿宋_GB2312"/>
          <w:kern w:val="0"/>
          <w:sz w:val="32"/>
        </w:rPr>
        <w:t>二是做好主动公开。我分局坚持以公开为常态，以不公开为例外，进一步明确决策、执行、管理、服务、结果“五公开”的主体、内容、时限、方式等，不断提升主动公开的标准规范化水平。对照</w:t>
      </w:r>
      <w:r>
        <w:rPr>
          <w:rFonts w:hint="eastAsia" w:ascii="仿宋_GB2312" w:hAnsi="宋体" w:eastAsia="仿宋_GB2312"/>
          <w:spacing w:val="8"/>
          <w:kern w:val="0"/>
          <w:sz w:val="32"/>
        </w:rPr>
        <w:t>《政府信息公开条例》</w:t>
      </w:r>
      <w:r>
        <w:rPr>
          <w:rFonts w:hint="eastAsia" w:ascii="仿宋_GB2312" w:hAnsi="宋体" w:eastAsia="仿宋_GB2312"/>
          <w:kern w:val="0"/>
          <w:sz w:val="32"/>
        </w:rPr>
        <w:t>主动公开的要求，对分局机构职能、领导信箱、机构设置、财政预决算、法规文件、规划计划、行政许可、行政处罚等信息进行及时主动公开。</w:t>
      </w:r>
    </w:p>
    <w:p>
      <w:pPr>
        <w:pStyle w:val="6"/>
        <w:spacing w:beforeLines="0" w:afterLines="0"/>
        <w:ind w:firstLine="640" w:firstLineChars="200"/>
        <w:jc w:val="both"/>
        <w:rPr>
          <w:rFonts w:hint="eastAsia" w:ascii="仿宋_GB2312" w:hAnsi="宋体" w:eastAsia="仿宋_GB2312"/>
          <w:kern w:val="0"/>
          <w:sz w:val="32"/>
        </w:rPr>
      </w:pPr>
      <w:r>
        <w:rPr>
          <w:rFonts w:hint="eastAsia" w:ascii="仿宋_GB2312" w:hAnsi="宋体" w:eastAsia="仿宋_GB2312"/>
          <w:kern w:val="0"/>
          <w:sz w:val="32"/>
        </w:rPr>
        <w:t>三是继续做好依申请公开工作。我分局</w:t>
      </w:r>
      <w:r>
        <w:rPr>
          <w:rFonts w:hint="eastAsia" w:ascii="仿宋_GB2312" w:hAnsi="宋体" w:eastAsia="仿宋_GB2312"/>
          <w:kern w:val="0"/>
          <w:sz w:val="32"/>
          <w:lang w:eastAsia="zh-CN"/>
        </w:rPr>
        <w:t>设</w:t>
      </w:r>
      <w:r>
        <w:rPr>
          <w:rFonts w:hint="eastAsia" w:ascii="仿宋_GB2312" w:hAnsi="宋体" w:eastAsia="仿宋_GB2312"/>
          <w:kern w:val="0"/>
          <w:sz w:val="32"/>
        </w:rPr>
        <w:t>专人负责接待、受理政府信息公开业务，对于邮寄申请、网页在线申请做到及时处理，对于申请信息不明确的信息公开内容及时与申请人电话沟通。在日常工作中加强对《中华人民共和国政府信息公开条例》的学习研究，及时学习规划自然资源领域新的法规政策，不断加强信息公开相关规定与规划及自然资源业务工作的衔接融合，同时组织各科室工作人员不定期开展信息公开业务培训。2024年，我分局共收到政府信息公开申请2786件，完成答复2741件（含上2023年度结转的政府信息公开申请48件），均按时按规办结。</w:t>
      </w:r>
    </w:p>
    <w:p>
      <w:pPr>
        <w:spacing w:beforeLines="0" w:afterLines="0" w:line="600" w:lineRule="exact"/>
        <w:ind w:firstLine="640" w:firstLineChars="200"/>
        <w:jc w:val="both"/>
        <w:rPr>
          <w:rFonts w:hint="eastAsia" w:ascii="仿宋_GB2312" w:hAnsi="仿宋_GB2312" w:eastAsia="仿宋_GB2312"/>
          <w:color w:val="000000"/>
          <w:sz w:val="32"/>
        </w:rPr>
      </w:pPr>
      <w:r>
        <w:rPr>
          <w:rFonts w:hint="eastAsia" w:ascii="仿宋_GB2312" w:hAnsi="宋体" w:eastAsia="仿宋_GB2312"/>
          <w:kern w:val="0"/>
          <w:sz w:val="32"/>
        </w:rPr>
        <w:t>四是加强政府信息管理，推进</w:t>
      </w:r>
      <w:r>
        <w:rPr>
          <w:rFonts w:hint="eastAsia" w:ascii="仿宋_GB2312" w:hAnsi="仿宋_GB2312" w:eastAsia="仿宋_GB2312"/>
          <w:color w:val="000000"/>
          <w:sz w:val="32"/>
        </w:rPr>
        <w:t>政府信息公开平台建设。我分局已建立公文公开属性源头管理制度及保密审查制度，将公文公开属性管理纳入公文制作过程，严格落实政府信息公开保密审查任务。在办理政府信息公开申请时，承办部门及主管领导分别审核，确保公开属性无误。同时，及时完善更新政府信息公开指南，利用门户网站、公众号等渠道做好政府信息公开工作宣传。</w:t>
      </w:r>
    </w:p>
    <w:p>
      <w:pPr>
        <w:pStyle w:val="6"/>
        <w:spacing w:beforeLines="0" w:afterLines="0"/>
        <w:ind w:firstLine="640" w:firstLineChars="200"/>
        <w:jc w:val="both"/>
        <w:rPr>
          <w:rFonts w:hint="eastAsia" w:ascii="仿宋_GB2312" w:hAnsi="宋体" w:eastAsia="仿宋_GB2312"/>
          <w:kern w:val="0"/>
          <w:sz w:val="32"/>
        </w:rPr>
      </w:pPr>
      <w:r>
        <w:rPr>
          <w:rFonts w:hint="eastAsia" w:ascii="仿宋_GB2312" w:hAnsi="宋体" w:eastAsia="仿宋_GB2312"/>
          <w:kern w:val="0"/>
          <w:sz w:val="32"/>
        </w:rPr>
        <w:t>五是加强政府信息公开教育培训及监督保障。分局认真组织开展信息公开相关培训，深入研究并及时传达学习信息公开相关典型案例，切实提升工作人员信息公开水平，增强责任意识。定期对政府信息公开工作落实情况进行自查自纠，发现问题及时整改。</w:t>
      </w:r>
    </w:p>
    <w:p>
      <w:pPr>
        <w:widowControl w:val="0"/>
        <w:numPr>
          <w:ilvl w:val="0"/>
          <w:numId w:val="0"/>
        </w:numPr>
        <w:spacing w:before="157" w:beforeLines="50" w:after="157" w:afterLines="50" w:line="560" w:lineRule="exact"/>
        <w:ind w:firstLine="640" w:firstLineChars="200"/>
        <w:jc w:val="both"/>
        <w:outlineLvl w:val="9"/>
        <w:rPr>
          <w:rFonts w:hint="eastAsia" w:ascii="黑体" w:hAnsi="黑体" w:eastAsia="黑体" w:cs="黑体"/>
          <w:color w:val="232930"/>
          <w:kern w:val="2"/>
          <w:sz w:val="32"/>
          <w:szCs w:val="32"/>
          <w:lang w:eastAsia="zh-CN"/>
        </w:rPr>
      </w:pPr>
      <w:r>
        <w:rPr>
          <w:rFonts w:hint="eastAsia" w:ascii="黑体" w:hAnsi="黑体" w:eastAsia="黑体" w:cs="黑体"/>
          <w:color w:val="232930"/>
          <w:kern w:val="2"/>
          <w:sz w:val="32"/>
          <w:szCs w:val="32"/>
          <w:lang w:eastAsia="zh-CN"/>
        </w:rPr>
        <w:t>二、</w:t>
      </w:r>
      <w:r>
        <w:rPr>
          <w:rFonts w:hint="eastAsia" w:ascii="黑体" w:hAnsi="黑体" w:eastAsia="黑体" w:cs="黑体"/>
          <w:color w:val="232930"/>
          <w:kern w:val="2"/>
          <w:sz w:val="32"/>
          <w:szCs w:val="32"/>
          <w:lang w:eastAsia="zh-CN"/>
        </w:rPr>
        <w:t>主动公开政府信息情况</w:t>
      </w:r>
    </w:p>
    <w:p>
      <w:pPr>
        <w:pStyle w:val="6"/>
        <w:numPr>
          <w:ilvl w:val="0"/>
          <w:numId w:val="0"/>
        </w:numPr>
        <w:spacing w:beforeLines="0" w:afterLines="0"/>
        <w:jc w:val="both"/>
        <w:rPr>
          <w:rFonts w:hint="eastAsia"/>
          <w:sz w:val="21"/>
        </w:rPr>
      </w:pPr>
    </w:p>
    <w:tbl>
      <w:tblPr>
        <w:tblStyle w:val="10"/>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eastAsia" w:ascii="宋体" w:hAnsi="宋体" w:eastAsia="宋体"/>
                <w:color w:val="000000"/>
                <w:kern w:val="0"/>
                <w:sz w:val="20"/>
              </w:rPr>
            </w:pPr>
            <w:r>
              <w:rPr>
                <w:rFonts w:hint="eastAsia" w:ascii="宋体" w:hAnsi="宋体" w:eastAsia="宋体"/>
                <w:color w:val="000000"/>
                <w:kern w:val="0"/>
                <w:sz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信息内容</w:t>
            </w:r>
          </w:p>
        </w:tc>
        <w:tc>
          <w:tcPr>
            <w:tcW w:w="2435" w:type="dxa"/>
            <w:tcBorders>
              <w:top w:val="single" w:color="auto" w:sz="8" w:space="0"/>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eastAsia" w:ascii="宋体" w:hAnsi="宋体" w:eastAsia="宋体"/>
                <w:color w:val="000000"/>
                <w:kern w:val="0"/>
                <w:sz w:val="20"/>
              </w:rPr>
            </w:pPr>
            <w:r>
              <w:rPr>
                <w:rFonts w:hint="eastAsia" w:ascii="宋体" w:hAnsi="宋体" w:eastAsia="宋体"/>
                <w:color w:val="000000"/>
                <w:kern w:val="0"/>
                <w:sz w:val="20"/>
              </w:rPr>
              <w:t>本年制发件数</w:t>
            </w:r>
          </w:p>
        </w:tc>
        <w:tc>
          <w:tcPr>
            <w:tcW w:w="2435" w:type="dxa"/>
            <w:tcBorders>
              <w:top w:val="single" w:color="auto" w:sz="8" w:space="0"/>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本年废止件数</w:t>
            </w:r>
          </w:p>
        </w:tc>
        <w:tc>
          <w:tcPr>
            <w:tcW w:w="2435" w:type="dxa"/>
            <w:tcBorders>
              <w:top w:val="single" w:color="auto" w:sz="8" w:space="0"/>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现行有效件</w:t>
            </w:r>
            <w:r>
              <w:rPr>
                <w:rFonts w:hint="eastAsia" w:ascii="宋体" w:hAnsi="宋体" w:eastAsia="宋体"/>
                <w:kern w:val="0"/>
                <w:sz w:val="20"/>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规章</w:t>
            </w:r>
          </w:p>
        </w:tc>
        <w:tc>
          <w:tcPr>
            <w:tcW w:w="2435"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0</w:t>
            </w:r>
          </w:p>
        </w:tc>
        <w:tc>
          <w:tcPr>
            <w:tcW w:w="2435"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0</w:t>
            </w:r>
          </w:p>
        </w:tc>
        <w:tc>
          <w:tcPr>
            <w:tcW w:w="2435"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default"/>
                <w:sz w:val="21"/>
              </w:rPr>
            </w:pPr>
            <w:r>
              <w:rPr>
                <w:rFonts w:hint="eastAsia" w:ascii="Calibri" w:hAnsi="Calibri" w:eastAsia="宋体"/>
                <w:kern w:val="0"/>
                <w:sz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行政规范性文件</w:t>
            </w:r>
          </w:p>
        </w:tc>
        <w:tc>
          <w:tcPr>
            <w:tcW w:w="2435"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eastAsia" w:ascii="Times New Roman" w:hAnsi="Times New Roman" w:eastAsia="宋体"/>
                <w:sz w:val="21"/>
              </w:rPr>
            </w:pPr>
            <w:r>
              <w:rPr>
                <w:rFonts w:hint="default"/>
                <w:sz w:val="21"/>
              </w:rPr>
              <w:t>0</w:t>
            </w:r>
          </w:p>
        </w:tc>
        <w:tc>
          <w:tcPr>
            <w:tcW w:w="2435"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0</w:t>
            </w:r>
          </w:p>
        </w:tc>
        <w:tc>
          <w:tcPr>
            <w:tcW w:w="2435"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eastAsia" w:ascii="Times New Roman" w:hAnsi="Times New Roman" w:eastAsia="宋体"/>
                <w:sz w:val="21"/>
              </w:rPr>
            </w:pPr>
            <w:r>
              <w:rPr>
                <w:rFonts w:hint="default"/>
                <w:sz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信息内容</w:t>
            </w:r>
          </w:p>
        </w:tc>
        <w:tc>
          <w:tcPr>
            <w:tcW w:w="7305" w:type="dxa"/>
            <w:gridSpan w:val="3"/>
            <w:tcBorders>
              <w:top w:val="nil"/>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行政许可</w:t>
            </w:r>
          </w:p>
        </w:tc>
        <w:tc>
          <w:tcPr>
            <w:tcW w:w="7305" w:type="dxa"/>
            <w:gridSpan w:val="3"/>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default"/>
                <w:sz w:val="21"/>
              </w:rPr>
            </w:pPr>
            <w:r>
              <w:rPr>
                <w:rFonts w:hint="eastAsia" w:ascii="Calibri" w:hAnsi="Calibri" w:eastAsia="宋体"/>
                <w:kern w:val="0"/>
                <w:sz w:val="21"/>
              </w:rPr>
              <w:t>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信息内容</w:t>
            </w:r>
          </w:p>
        </w:tc>
        <w:tc>
          <w:tcPr>
            <w:tcW w:w="7305" w:type="dxa"/>
            <w:gridSpan w:val="3"/>
            <w:tcBorders>
              <w:top w:val="single" w:color="auto" w:sz="8" w:space="0"/>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行政处罚</w:t>
            </w:r>
          </w:p>
        </w:tc>
        <w:tc>
          <w:tcPr>
            <w:tcW w:w="7305" w:type="dxa"/>
            <w:gridSpan w:val="3"/>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default" w:ascii="Times New Roman" w:hAnsi="Times New Roman" w:eastAsia="宋体"/>
                <w:sz w:val="21"/>
              </w:rPr>
            </w:pPr>
            <w:r>
              <w:rPr>
                <w:rFonts w:hint="default"/>
                <w:sz w:val="21"/>
              </w:rPr>
              <w:t>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行政强制</w:t>
            </w:r>
          </w:p>
        </w:tc>
        <w:tc>
          <w:tcPr>
            <w:tcW w:w="7305" w:type="dxa"/>
            <w:gridSpan w:val="3"/>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信息内容</w:t>
            </w:r>
          </w:p>
        </w:tc>
        <w:tc>
          <w:tcPr>
            <w:tcW w:w="7305" w:type="dxa"/>
            <w:gridSpan w:val="3"/>
            <w:tcBorders>
              <w:top w:val="nil"/>
              <w:left w:val="nil"/>
              <w:bottom w:val="single" w:color="auto" w:sz="8" w:space="0"/>
              <w:right w:val="single" w:color="000000"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行政事业性收费</w:t>
            </w:r>
          </w:p>
        </w:tc>
        <w:tc>
          <w:tcPr>
            <w:tcW w:w="7305" w:type="dxa"/>
            <w:gridSpan w:val="3"/>
            <w:tcBorders>
              <w:top w:val="nil"/>
              <w:left w:val="nil"/>
              <w:bottom w:val="single" w:color="auto" w:sz="8" w:space="0"/>
              <w:right w:val="single" w:color="000000" w:sz="8" w:space="0"/>
              <w:tl2br w:val="nil"/>
              <w:tr2bl w:val="nil"/>
            </w:tcBorders>
            <w:tcMar>
              <w:left w:w="57" w:type="dxa"/>
              <w:right w:w="57" w:type="dxa"/>
            </w:tcMar>
            <w:vAlign w:val="center"/>
          </w:tcPr>
          <w:p>
            <w:pPr>
              <w:spacing w:beforeLines="0" w:afterLines="0"/>
              <w:jc w:val="both"/>
              <w:rPr>
                <w:rFonts w:hint="eastAsia" w:ascii="宋体" w:hAnsi="Times New Roman" w:eastAsia="宋体"/>
                <w:sz w:val="24"/>
              </w:rPr>
            </w:pPr>
            <w:r>
              <w:rPr>
                <w:rFonts w:hint="eastAsia" w:ascii="宋体" w:hAnsi="Times New Roman" w:eastAsia="宋体"/>
                <w:sz w:val="24"/>
              </w:rPr>
              <w:t>不动产登记费： 2002.9635</w:t>
            </w:r>
          </w:p>
        </w:tc>
      </w:tr>
    </w:tbl>
    <w:p>
      <w:pPr>
        <w:pStyle w:val="6"/>
        <w:numPr>
          <w:ilvl w:val="0"/>
          <w:numId w:val="0"/>
        </w:numPr>
        <w:spacing w:beforeLines="0" w:afterLines="0"/>
        <w:jc w:val="both"/>
        <w:rPr>
          <w:rFonts w:hint="eastAsia"/>
          <w:sz w:val="21"/>
        </w:rPr>
      </w:pPr>
    </w:p>
    <w:p>
      <w:pPr>
        <w:pStyle w:val="6"/>
        <w:numPr>
          <w:ilvl w:val="0"/>
          <w:numId w:val="0"/>
        </w:numPr>
        <w:spacing w:beforeLines="0" w:afterLines="0"/>
        <w:jc w:val="both"/>
        <w:rPr>
          <w:rFonts w:hint="eastAsia"/>
          <w:sz w:val="21"/>
        </w:rPr>
      </w:pPr>
    </w:p>
    <w:p>
      <w:pPr>
        <w:numPr>
          <w:ilvl w:val="0"/>
          <w:numId w:val="1"/>
        </w:numPr>
        <w:spacing w:beforeLines="0" w:afterLines="0" w:line="560" w:lineRule="exact"/>
        <w:ind w:firstLine="640" w:firstLineChars="200"/>
        <w:jc w:val="both"/>
        <w:rPr>
          <w:rFonts w:hint="eastAsia" w:ascii="黑体" w:hAnsi="黑体" w:eastAsia="黑体"/>
          <w:sz w:val="32"/>
        </w:rPr>
      </w:pPr>
      <w:r>
        <w:rPr>
          <w:rFonts w:hint="eastAsia" w:ascii="黑体" w:hAnsi="黑体" w:eastAsia="黑体"/>
          <w:sz w:val="32"/>
        </w:rPr>
        <w:t>收到和处理政府信息公开申请情况</w:t>
      </w:r>
    </w:p>
    <w:p>
      <w:pPr>
        <w:pStyle w:val="9"/>
        <w:widowControl/>
        <w:shd w:val="clear" w:color="auto" w:fill="FFFFFF"/>
        <w:spacing w:before="0" w:beforeLines="0" w:beforeAutospacing="0" w:after="0" w:afterLines="0" w:afterAutospacing="0"/>
        <w:ind w:firstLine="420"/>
        <w:jc w:val="both"/>
        <w:rPr>
          <w:rFonts w:hint="eastAsia" w:ascii="宋体" w:hAnsi="宋体" w:eastAsia="宋体"/>
          <w:color w:val="333333"/>
          <w:sz w:val="24"/>
        </w:rPr>
      </w:pPr>
    </w:p>
    <w:tbl>
      <w:tblPr>
        <w:tblStyle w:val="10"/>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l2br w:val="nil"/>
              <w:tr2bl w:val="nil"/>
            </w:tcBorders>
            <w:shd w:val="clear" w:color="auto" w:fill="9BC2E6"/>
            <w:tcMar>
              <w:left w:w="108" w:type="dxa"/>
              <w:right w:w="108" w:type="dxa"/>
            </w:tcMar>
            <w:vAlign w:val="center"/>
          </w:tcPr>
          <w:p>
            <w:pPr>
              <w:widowControl/>
              <w:spacing w:beforeLines="0" w:afterLines="0"/>
              <w:jc w:val="both"/>
              <w:rPr>
                <w:rFonts w:hint="default"/>
                <w:sz w:val="21"/>
              </w:rPr>
            </w:pPr>
            <w:r>
              <w:rPr>
                <w:rFonts w:hint="eastAsia" w:ascii="楷体" w:hAnsi="楷体" w:eastAsia="楷体"/>
                <w:kern w:val="0"/>
                <w:sz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l2br w:val="nil"/>
              <w:tr2bl w:val="nil"/>
            </w:tcBorders>
            <w:shd w:val="clear" w:color="auto" w:fill="9BC2E6"/>
            <w:tcMar>
              <w:left w:w="108" w:type="dxa"/>
              <w:right w:w="108" w:type="dxa"/>
            </w:tcMar>
            <w:vAlign w:val="center"/>
          </w:tcPr>
          <w:p>
            <w:pPr>
              <w:spacing w:beforeLines="0" w:afterLines="0"/>
              <w:jc w:val="both"/>
              <w:rPr>
                <w:rFonts w:hint="eastAsia" w:ascii="宋体" w:hAnsi="Times New Roman" w:eastAsia="宋体"/>
                <w:sz w:val="24"/>
              </w:rPr>
            </w:pPr>
          </w:p>
        </w:tc>
        <w:tc>
          <w:tcPr>
            <w:tcW w:w="688" w:type="dxa"/>
            <w:vMerge w:val="restart"/>
            <w:tcBorders>
              <w:top w:val="nil"/>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自然人</w:t>
            </w:r>
          </w:p>
        </w:tc>
        <w:tc>
          <w:tcPr>
            <w:tcW w:w="3440" w:type="dxa"/>
            <w:gridSpan w:val="5"/>
            <w:tcBorders>
              <w:top w:val="single" w:color="auto" w:sz="8" w:space="0"/>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法人或其他组织</w:t>
            </w:r>
          </w:p>
        </w:tc>
        <w:tc>
          <w:tcPr>
            <w:tcW w:w="689" w:type="dxa"/>
            <w:vMerge w:val="restart"/>
            <w:tcBorders>
              <w:top w:val="single" w:color="auto" w:sz="8" w:space="0"/>
              <w:left w:val="nil"/>
              <w:bottom w:val="outset"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l2br w:val="nil"/>
              <w:tr2bl w:val="nil"/>
            </w:tcBorders>
            <w:shd w:val="clear" w:color="auto" w:fill="9BC2E6"/>
            <w:tcMar>
              <w:left w:w="108" w:type="dxa"/>
              <w:right w:w="108" w:type="dxa"/>
            </w:tcMar>
            <w:vAlign w:val="center"/>
          </w:tcPr>
          <w:p>
            <w:pPr>
              <w:spacing w:beforeLines="0" w:afterLines="0"/>
              <w:jc w:val="both"/>
              <w:rPr>
                <w:rFonts w:hint="eastAsia" w:ascii="宋体" w:hAnsi="Times New Roman" w:eastAsia="宋体"/>
                <w:sz w:val="24"/>
              </w:rPr>
            </w:pPr>
          </w:p>
        </w:tc>
        <w:tc>
          <w:tcPr>
            <w:tcW w:w="688" w:type="dxa"/>
            <w:vMerge w:val="continue"/>
            <w:tcBorders>
              <w:top w:val="nil"/>
              <w:left w:val="nil"/>
              <w:bottom w:val="single" w:color="auto" w:sz="8" w:space="0"/>
              <w:right w:val="single" w:color="auto" w:sz="8" w:space="0"/>
              <w:tl2br w:val="nil"/>
              <w:tr2bl w:val="nil"/>
            </w:tcBorders>
            <w:shd w:val="clear" w:color="auto" w:fill="9BC2E6"/>
            <w:tcMar>
              <w:left w:w="57" w:type="dxa"/>
              <w:right w:w="57" w:type="dxa"/>
            </w:tcMar>
            <w:vAlign w:val="center"/>
          </w:tcPr>
          <w:p>
            <w:pPr>
              <w:spacing w:beforeLines="0" w:afterLines="0"/>
              <w:jc w:val="both"/>
              <w:rPr>
                <w:rFonts w:hint="eastAsia" w:ascii="宋体" w:hAnsi="Times New Roman" w:eastAsia="宋体"/>
                <w:sz w:val="24"/>
              </w:rPr>
            </w:pPr>
          </w:p>
        </w:tc>
        <w:tc>
          <w:tcPr>
            <w:tcW w:w="688" w:type="dxa"/>
            <w:tcBorders>
              <w:top w:val="nil"/>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商业</w:t>
            </w:r>
          </w:p>
          <w:p>
            <w:pPr>
              <w:widowControl/>
              <w:spacing w:beforeLines="0" w:afterLines="0"/>
              <w:jc w:val="both"/>
              <w:rPr>
                <w:rFonts w:hint="default"/>
                <w:sz w:val="21"/>
              </w:rPr>
            </w:pPr>
            <w:r>
              <w:rPr>
                <w:rFonts w:hint="eastAsia" w:ascii="宋体" w:hAnsi="宋体" w:eastAsia="宋体"/>
                <w:kern w:val="0"/>
                <w:sz w:val="20"/>
              </w:rPr>
              <w:t>企业</w:t>
            </w:r>
          </w:p>
        </w:tc>
        <w:tc>
          <w:tcPr>
            <w:tcW w:w="688" w:type="dxa"/>
            <w:tcBorders>
              <w:top w:val="nil"/>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科研</w:t>
            </w:r>
          </w:p>
          <w:p>
            <w:pPr>
              <w:widowControl/>
              <w:spacing w:beforeLines="0" w:afterLines="0"/>
              <w:jc w:val="both"/>
              <w:rPr>
                <w:rFonts w:hint="default"/>
                <w:sz w:val="21"/>
              </w:rPr>
            </w:pPr>
            <w:r>
              <w:rPr>
                <w:rFonts w:hint="eastAsia" w:ascii="宋体" w:hAnsi="宋体" w:eastAsia="宋体"/>
                <w:kern w:val="0"/>
                <w:sz w:val="20"/>
              </w:rPr>
              <w:t>机构</w:t>
            </w:r>
          </w:p>
        </w:tc>
        <w:tc>
          <w:tcPr>
            <w:tcW w:w="688" w:type="dxa"/>
            <w:tcBorders>
              <w:top w:val="single" w:color="auto" w:sz="8" w:space="0"/>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社会公益组织</w:t>
            </w:r>
          </w:p>
        </w:tc>
        <w:tc>
          <w:tcPr>
            <w:tcW w:w="688" w:type="dxa"/>
            <w:tcBorders>
              <w:top w:val="single" w:color="auto" w:sz="8" w:space="0"/>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法律服务机构</w:t>
            </w:r>
          </w:p>
        </w:tc>
        <w:tc>
          <w:tcPr>
            <w:tcW w:w="688" w:type="dxa"/>
            <w:tcBorders>
              <w:top w:val="single" w:color="auto" w:sz="8" w:space="0"/>
              <w:left w:val="nil"/>
              <w:bottom w:val="single" w:color="auto" w:sz="8" w:space="0"/>
              <w:right w:val="single" w:color="auto" w:sz="8" w:space="0"/>
              <w:tl2br w:val="nil"/>
              <w:tr2bl w:val="nil"/>
            </w:tcBorders>
            <w:shd w:val="clear" w:color="auto" w:fill="9BC2E6"/>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其他</w:t>
            </w:r>
          </w:p>
        </w:tc>
        <w:tc>
          <w:tcPr>
            <w:tcW w:w="689" w:type="dxa"/>
            <w:vMerge w:val="continue"/>
            <w:tcBorders>
              <w:top w:val="single" w:color="auto" w:sz="8" w:space="0"/>
              <w:left w:val="nil"/>
              <w:bottom w:val="outset" w:color="auto" w:sz="8" w:space="0"/>
              <w:right w:val="single" w:color="auto" w:sz="8" w:space="0"/>
              <w:tl2br w:val="nil"/>
              <w:tr2bl w:val="nil"/>
            </w:tcBorders>
            <w:shd w:val="clear" w:color="auto" w:fill="9BC2E6"/>
            <w:tcMar>
              <w:left w:w="57" w:type="dxa"/>
              <w:right w:w="57" w:type="dxa"/>
            </w:tcMar>
            <w:vAlign w:val="center"/>
          </w:tcPr>
          <w:p>
            <w:pPr>
              <w:spacing w:beforeLines="0" w:afterLines="0"/>
              <w:jc w:val="both"/>
              <w:rPr>
                <w:rFonts w:hint="eastAsia" w:ascii="宋体" w:hAnsi="Times New Roman" w:eastAsia="宋体"/>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一、本年新收政府信息公开申请数量</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2532</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199</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5</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2</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2738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二、上年结转政府信息公开申请数量</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46</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1</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1</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48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三、本年度办理结果</w:t>
            </w:r>
          </w:p>
        </w:tc>
        <w:tc>
          <w:tcPr>
            <w:tcW w:w="4163" w:type="dxa"/>
            <w:gridSpan w:val="2"/>
            <w:tcBorders>
              <w:top w:val="nil"/>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（一）予以公开</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ascii="等线" w:hAnsi="Calibri" w:eastAsia="等线"/>
                <w:color w:val="000000"/>
                <w:kern w:val="0"/>
                <w:sz w:val="20"/>
              </w:rPr>
              <w:t>1452</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123</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5</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3</w:t>
            </w:r>
          </w:p>
        </w:tc>
        <w:tc>
          <w:tcPr>
            <w:tcW w:w="689" w:type="dxa"/>
            <w:tcBorders>
              <w:top w:val="single" w:color="auto" w:sz="8" w:space="0"/>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1583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4163" w:type="dxa"/>
            <w:gridSpan w:val="2"/>
            <w:tcBorders>
              <w:top w:val="nil"/>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（二）部分公开</w:t>
            </w:r>
            <w:r>
              <w:rPr>
                <w:rFonts w:hint="eastAsia" w:ascii="楷体" w:hAnsi="楷体" w:eastAsia="楷体"/>
                <w:kern w:val="0"/>
                <w:sz w:val="20"/>
              </w:rPr>
              <w:t>（区分处理的，只计这一情形，不计其他情形）</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112</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eastAsia" w:ascii="Times New Roman" w:hAnsi="Times New Roman" w:eastAsia="宋体"/>
                <w:sz w:val="21"/>
              </w:rPr>
              <w:t>11</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123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restart"/>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（三）不予公开</w:t>
            </w: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1.属于国家秘密</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single" w:color="auto" w:sz="8" w:space="0"/>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2.其他法律行政法规禁止公开</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3.危及“三安全一稳定”</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4.保护第三方合法权益</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5.属于三类内部事务信息</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3</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6.属于四类过程性信息</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3</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7.属于行政执法案卷</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eastAsia" w:ascii="Times New Roman" w:hAnsi="Times New Roman" w:eastAsia="宋体"/>
                <w:sz w:val="21"/>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eastAsia" w:ascii="Times New Roman" w:hAnsi="Times New Roman" w:eastAsia="宋体"/>
                <w:sz w:val="21"/>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8.属于行政查询事项</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47</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47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restart"/>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（四）无法提供</w:t>
            </w: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1.本机关不掌握相关政府信息</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916</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66</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982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2.没有现成信息需要另行制作</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3.补正后申请内容仍不明确</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restart"/>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（五）不予处理</w:t>
            </w: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1.信访举报投诉类申请</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2.重复申请</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3.要求提供公开出版物</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tcPr>
          <w:p>
            <w:pPr>
              <w:widowControl/>
              <w:spacing w:beforeLines="0" w:afterLines="0"/>
              <w:jc w:val="both"/>
              <w:rPr>
                <w:rFonts w:hint="default"/>
                <w:sz w:val="21"/>
              </w:rPr>
            </w:pPr>
            <w:r>
              <w:rPr>
                <w:rFonts w:hint="eastAsia" w:ascii="宋体" w:hAnsi="宋体" w:eastAsia="宋体"/>
                <w:kern w:val="0"/>
                <w:sz w:val="20"/>
              </w:rPr>
              <w:t>4.无正当理由大量反复申请</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outset"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5.要求行政机关确认或重新出具已获取信息</w:t>
            </w:r>
          </w:p>
        </w:tc>
        <w:tc>
          <w:tcPr>
            <w:tcW w:w="688" w:type="dxa"/>
            <w:tcBorders>
              <w:top w:val="nil"/>
              <w:left w:val="nil"/>
              <w:bottom w:val="outset"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outset"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outset"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outset"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outset"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outset"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outset"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restart"/>
            <w:tcBorders>
              <w:top w:val="outset" w:color="auto" w:sz="8" w:space="0"/>
              <w:left w:val="nil"/>
              <w:bottom w:val="outset"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（六）其他处理</w:t>
            </w: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1.申请人无正当理由逾期不补正、行政机关不再处理其政府信息公开申请</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outset" w:color="auto" w:sz="8" w:space="0"/>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943" w:type="dxa"/>
            <w:vMerge w:val="continue"/>
            <w:tcBorders>
              <w:top w:val="outset" w:color="auto" w:sz="8" w:space="0"/>
              <w:left w:val="nil"/>
              <w:bottom w:val="outset" w:color="auto" w:sz="8" w:space="0"/>
              <w:right w:val="single" w:color="auto" w:sz="8" w:space="0"/>
              <w:tl2br w:val="nil"/>
              <w:tr2bl w:val="nil"/>
            </w:tcBorders>
            <w:shd w:val="clear" w:color="auto" w:fill="DDEBF7"/>
            <w:tcMar>
              <w:left w:w="57" w:type="dxa"/>
              <w:right w:w="57" w:type="dxa"/>
            </w:tcMar>
            <w:vAlign w:val="center"/>
          </w:tcPr>
          <w:p>
            <w:pPr>
              <w:spacing w:beforeLines="0" w:afterLines="0"/>
              <w:jc w:val="both"/>
              <w:rPr>
                <w:rFonts w:hint="eastAsia" w:ascii="宋体" w:hAnsi="Times New Roman" w:eastAsia="宋体"/>
                <w:sz w:val="24"/>
              </w:rPr>
            </w:pPr>
          </w:p>
        </w:tc>
        <w:tc>
          <w:tcPr>
            <w:tcW w:w="3220" w:type="dxa"/>
            <w:tcBorders>
              <w:top w:val="nil"/>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3.其他</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l2br w:val="nil"/>
              <w:tr2bl w:val="nil"/>
            </w:tcBorders>
            <w:shd w:val="clear" w:color="auto" w:fill="BDD7EE"/>
            <w:tcMar>
              <w:left w:w="57" w:type="dxa"/>
              <w:right w:w="57" w:type="dxa"/>
            </w:tcMar>
            <w:vAlign w:val="center"/>
          </w:tcPr>
          <w:p>
            <w:pPr>
              <w:spacing w:beforeLines="0" w:afterLines="0"/>
              <w:jc w:val="both"/>
              <w:rPr>
                <w:rFonts w:hint="eastAsia" w:ascii="宋体" w:hAnsi="Times New Roman" w:eastAsia="宋体"/>
                <w:sz w:val="24"/>
              </w:rPr>
            </w:pPr>
          </w:p>
        </w:tc>
        <w:tc>
          <w:tcPr>
            <w:tcW w:w="4163" w:type="dxa"/>
            <w:gridSpan w:val="2"/>
            <w:tcBorders>
              <w:top w:val="nil"/>
              <w:left w:val="nil"/>
              <w:bottom w:val="single" w:color="auto" w:sz="8" w:space="0"/>
              <w:right w:val="single" w:color="auto" w:sz="8" w:space="0"/>
              <w:tl2br w:val="nil"/>
              <w:tr2bl w:val="nil"/>
            </w:tcBorders>
            <w:shd w:val="clear" w:color="auto" w:fill="DDEBF7"/>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（七）总计</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2533</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ascii="Times New Roman" w:hAnsi="Times New Roman" w:eastAsia="宋体"/>
                <w:sz w:val="21"/>
              </w:rPr>
            </w:pPr>
            <w:r>
              <w:rPr>
                <w:rFonts w:hint="default"/>
                <w:sz w:val="21"/>
              </w:rPr>
              <w:t>200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eastAsia" w:ascii="Times New Roman" w:hAnsi="Times New Roman" w:eastAsia="宋体"/>
                <w:sz w:val="21"/>
              </w:rPr>
            </w:pPr>
            <w:r>
              <w:rPr>
                <w:rFonts w:hint="default"/>
                <w:sz w:val="21"/>
              </w:rPr>
              <w:t>5</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Calibri" w:hAnsi="Calibri" w:eastAsia="等线"/>
                <w:color w:val="000000"/>
                <w:kern w:val="0"/>
                <w:sz w:val="20"/>
              </w:rPr>
              <w:t>0</w:t>
            </w:r>
          </w:p>
        </w:tc>
        <w:tc>
          <w:tcPr>
            <w:tcW w:w="688"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3</w:t>
            </w:r>
          </w:p>
        </w:tc>
        <w:tc>
          <w:tcPr>
            <w:tcW w:w="689" w:type="dxa"/>
            <w:tcBorders>
              <w:top w:val="nil"/>
              <w:left w:val="nil"/>
              <w:bottom w:val="single" w:color="auto" w:sz="8" w:space="0"/>
              <w:right w:val="single" w:color="auto" w:sz="8" w:space="0"/>
              <w:tl2br w:val="nil"/>
              <w:tr2bl w:val="nil"/>
            </w:tcBorders>
            <w:tcMar>
              <w:left w:w="57" w:type="dxa"/>
              <w:right w:w="57" w:type="dxa"/>
            </w:tcMar>
            <w:vAlign w:val="center"/>
          </w:tcPr>
          <w:p>
            <w:pPr>
              <w:widowControl/>
              <w:spacing w:beforeLines="0" w:afterLines="0"/>
              <w:jc w:val="both"/>
              <w:textAlignment w:val="center"/>
              <w:rPr>
                <w:rFonts w:hint="default"/>
                <w:sz w:val="21"/>
              </w:rPr>
            </w:pPr>
            <w:r>
              <w:rPr>
                <w:rFonts w:hint="default" w:ascii="等线" w:hAnsi="Calibri" w:eastAsia="等线"/>
                <w:color w:val="000000"/>
                <w:kern w:val="0"/>
                <w:sz w:val="20"/>
              </w:rPr>
              <w:t>2741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l2br w:val="nil"/>
              <w:tr2bl w:val="nil"/>
            </w:tcBorders>
            <w:shd w:val="clear" w:color="auto" w:fill="BDD7EE"/>
            <w:tcMar>
              <w:left w:w="57" w:type="dxa"/>
              <w:right w:w="57" w:type="dxa"/>
            </w:tcMar>
            <w:vAlign w:val="center"/>
          </w:tcPr>
          <w:p>
            <w:pPr>
              <w:widowControl/>
              <w:spacing w:beforeLines="0" w:afterLines="0"/>
              <w:jc w:val="both"/>
              <w:rPr>
                <w:rFonts w:hint="default"/>
                <w:sz w:val="21"/>
              </w:rPr>
            </w:pPr>
            <w:r>
              <w:rPr>
                <w:rFonts w:hint="eastAsia" w:ascii="宋体" w:hAnsi="宋体" w:eastAsia="宋体"/>
                <w:kern w:val="0"/>
                <w:sz w:val="20"/>
              </w:rPr>
              <w:t>四、结转下年度继续办理</w:t>
            </w:r>
          </w:p>
        </w:tc>
        <w:tc>
          <w:tcPr>
            <w:tcW w:w="688" w:type="dxa"/>
            <w:tcBorders>
              <w:top w:val="outset" w:color="auto" w:sz="6" w:space="0"/>
              <w:left w:val="nil"/>
              <w:bottom w:val="outset" w:color="auto" w:sz="6" w:space="0"/>
              <w:right w:val="outset" w:color="auto" w:sz="6" w:space="0"/>
              <w:tl2br w:val="nil"/>
              <w:tr2bl w:val="nil"/>
            </w:tcBorders>
            <w:vAlign w:val="center"/>
          </w:tcPr>
          <w:p>
            <w:pPr>
              <w:widowControl/>
              <w:spacing w:beforeLines="0" w:afterLines="0"/>
              <w:jc w:val="both"/>
              <w:textAlignment w:val="center"/>
              <w:rPr>
                <w:rFonts w:hint="eastAsia" w:ascii="宋体" w:hAnsi="Times New Roman" w:eastAsia="宋体"/>
                <w:sz w:val="24"/>
              </w:rPr>
            </w:pPr>
            <w:r>
              <w:rPr>
                <w:rFonts w:hint="default" w:ascii="等线" w:hAnsi="Calibri" w:eastAsia="等线"/>
                <w:color w:val="000000"/>
                <w:kern w:val="0"/>
                <w:sz w:val="20"/>
              </w:rPr>
              <w:t>45</w:t>
            </w:r>
          </w:p>
        </w:tc>
        <w:tc>
          <w:tcPr>
            <w:tcW w:w="688" w:type="dxa"/>
            <w:tcBorders>
              <w:top w:val="outset" w:color="auto" w:sz="6" w:space="0"/>
              <w:left w:val="nil"/>
              <w:bottom w:val="outset" w:color="auto" w:sz="6" w:space="0"/>
              <w:right w:val="outset" w:color="auto" w:sz="6" w:space="0"/>
              <w:tl2br w:val="nil"/>
              <w:tr2bl w:val="nil"/>
            </w:tcBorders>
            <w:vAlign w:val="center"/>
          </w:tcPr>
          <w:p>
            <w:pPr>
              <w:widowControl/>
              <w:spacing w:beforeLines="0" w:afterLines="0"/>
              <w:jc w:val="both"/>
              <w:textAlignment w:val="center"/>
              <w:rPr>
                <w:rFonts w:hint="eastAsia" w:ascii="宋体" w:hAnsi="Times New Roman" w:eastAsia="宋体"/>
                <w:sz w:val="24"/>
              </w:rPr>
            </w:pPr>
            <w:r>
              <w:rPr>
                <w:rFonts w:hint="eastAsia" w:ascii="宋体" w:hAnsi="Times New Roman" w:eastAsia="宋体"/>
                <w:sz w:val="24"/>
              </w:rPr>
              <w:t>0</w:t>
            </w:r>
          </w:p>
        </w:tc>
        <w:tc>
          <w:tcPr>
            <w:tcW w:w="688" w:type="dxa"/>
            <w:tcBorders>
              <w:top w:val="outset" w:color="auto" w:sz="6" w:space="0"/>
              <w:left w:val="nil"/>
              <w:bottom w:val="outset" w:color="auto" w:sz="6" w:space="0"/>
              <w:right w:val="outset" w:color="auto" w:sz="6" w:space="0"/>
              <w:tl2br w:val="nil"/>
              <w:tr2bl w:val="nil"/>
            </w:tcBorders>
            <w:vAlign w:val="center"/>
          </w:tcPr>
          <w:p>
            <w:pPr>
              <w:widowControl/>
              <w:spacing w:beforeLines="0" w:afterLines="0"/>
              <w:jc w:val="both"/>
              <w:textAlignment w:val="center"/>
              <w:rPr>
                <w:rFonts w:hint="eastAsia" w:ascii="宋体" w:hAnsi="Times New Roman" w:eastAsia="宋体"/>
                <w:sz w:val="24"/>
              </w:rPr>
            </w:pPr>
            <w:r>
              <w:rPr>
                <w:rFonts w:hint="default" w:ascii="Calibri" w:hAnsi="Calibri" w:eastAsia="等线"/>
                <w:color w:val="000000"/>
                <w:kern w:val="0"/>
                <w:sz w:val="20"/>
              </w:rPr>
              <w:t>0</w:t>
            </w:r>
          </w:p>
        </w:tc>
        <w:tc>
          <w:tcPr>
            <w:tcW w:w="688" w:type="dxa"/>
            <w:tcBorders>
              <w:top w:val="outset" w:color="auto" w:sz="6" w:space="0"/>
              <w:left w:val="nil"/>
              <w:bottom w:val="outset" w:color="auto" w:sz="6" w:space="0"/>
              <w:right w:val="outset" w:color="auto" w:sz="6" w:space="0"/>
              <w:tl2br w:val="nil"/>
              <w:tr2bl w:val="nil"/>
            </w:tcBorders>
            <w:vAlign w:val="center"/>
          </w:tcPr>
          <w:p>
            <w:pPr>
              <w:widowControl/>
              <w:spacing w:beforeLines="0" w:afterLines="0"/>
              <w:jc w:val="both"/>
              <w:textAlignment w:val="center"/>
              <w:rPr>
                <w:rFonts w:hint="eastAsia" w:ascii="宋体" w:hAnsi="Times New Roman" w:eastAsia="宋体"/>
                <w:sz w:val="24"/>
              </w:rPr>
            </w:pPr>
            <w:r>
              <w:rPr>
                <w:rFonts w:hint="default" w:ascii="Calibri" w:hAnsi="Calibri" w:eastAsia="等线"/>
                <w:color w:val="000000"/>
                <w:kern w:val="0"/>
                <w:sz w:val="20"/>
              </w:rPr>
              <w:t>0</w:t>
            </w:r>
          </w:p>
        </w:tc>
        <w:tc>
          <w:tcPr>
            <w:tcW w:w="688" w:type="dxa"/>
            <w:tcBorders>
              <w:top w:val="outset" w:color="auto" w:sz="6" w:space="0"/>
              <w:left w:val="nil"/>
              <w:bottom w:val="outset" w:color="auto" w:sz="6" w:space="0"/>
              <w:right w:val="outset" w:color="auto" w:sz="6" w:space="0"/>
              <w:tl2br w:val="nil"/>
              <w:tr2bl w:val="nil"/>
            </w:tcBorders>
            <w:vAlign w:val="center"/>
          </w:tcPr>
          <w:p>
            <w:pPr>
              <w:widowControl/>
              <w:spacing w:beforeLines="0" w:afterLines="0"/>
              <w:jc w:val="both"/>
              <w:textAlignment w:val="center"/>
              <w:rPr>
                <w:rFonts w:hint="eastAsia" w:ascii="宋体" w:hAnsi="Times New Roman" w:eastAsia="宋体"/>
                <w:sz w:val="24"/>
              </w:rPr>
            </w:pPr>
            <w:r>
              <w:rPr>
                <w:rFonts w:hint="default" w:ascii="Calibri" w:hAnsi="Calibri" w:eastAsia="等线"/>
                <w:color w:val="000000"/>
                <w:kern w:val="0"/>
                <w:sz w:val="20"/>
              </w:rPr>
              <w:t>0</w:t>
            </w:r>
          </w:p>
        </w:tc>
        <w:tc>
          <w:tcPr>
            <w:tcW w:w="688" w:type="dxa"/>
            <w:tcBorders>
              <w:top w:val="outset" w:color="auto" w:sz="6" w:space="0"/>
              <w:left w:val="nil"/>
              <w:bottom w:val="outset" w:color="auto" w:sz="6" w:space="0"/>
              <w:right w:val="outset" w:color="auto" w:sz="6" w:space="0"/>
              <w:tl2br w:val="nil"/>
              <w:tr2bl w:val="nil"/>
            </w:tcBorders>
            <w:vAlign w:val="center"/>
          </w:tcPr>
          <w:p>
            <w:pPr>
              <w:widowControl/>
              <w:spacing w:beforeLines="0" w:afterLines="0"/>
              <w:jc w:val="both"/>
              <w:textAlignment w:val="center"/>
              <w:rPr>
                <w:rFonts w:hint="eastAsia" w:ascii="宋体" w:hAnsi="Times New Roman" w:eastAsia="宋体"/>
                <w:sz w:val="24"/>
              </w:rPr>
            </w:pPr>
            <w:r>
              <w:rPr>
                <w:rFonts w:hint="eastAsia" w:ascii="宋体" w:hAnsi="Times New Roman" w:eastAsia="宋体"/>
                <w:sz w:val="24"/>
              </w:rPr>
              <w:t>0</w:t>
            </w:r>
          </w:p>
        </w:tc>
        <w:tc>
          <w:tcPr>
            <w:tcW w:w="689" w:type="dxa"/>
            <w:tcBorders>
              <w:top w:val="outset" w:color="auto" w:sz="6" w:space="0"/>
              <w:left w:val="nil"/>
              <w:bottom w:val="outset" w:color="auto" w:sz="6" w:space="0"/>
              <w:right w:val="outset" w:color="auto" w:sz="6" w:space="0"/>
              <w:tl2br w:val="nil"/>
              <w:tr2bl w:val="nil"/>
            </w:tcBorders>
            <w:vAlign w:val="center"/>
          </w:tcPr>
          <w:p>
            <w:pPr>
              <w:widowControl/>
              <w:spacing w:beforeLines="0" w:afterLines="0"/>
              <w:jc w:val="both"/>
              <w:textAlignment w:val="center"/>
              <w:rPr>
                <w:rFonts w:hint="eastAsia" w:ascii="宋体" w:hAnsi="Times New Roman" w:eastAsia="宋体"/>
                <w:sz w:val="24"/>
              </w:rPr>
            </w:pPr>
            <w:r>
              <w:rPr>
                <w:rFonts w:hint="default" w:ascii="等线" w:hAnsi="Calibri" w:eastAsia="等线"/>
                <w:color w:val="000000"/>
                <w:kern w:val="0"/>
                <w:sz w:val="20"/>
              </w:rPr>
              <w:t>45</w:t>
            </w:r>
          </w:p>
        </w:tc>
      </w:tr>
    </w:tbl>
    <w:p>
      <w:pPr>
        <w:pStyle w:val="6"/>
        <w:numPr>
          <w:ilvl w:val="0"/>
          <w:numId w:val="0"/>
        </w:numPr>
        <w:spacing w:beforeLines="0" w:afterLines="0"/>
        <w:ind w:leftChars="200"/>
        <w:jc w:val="both"/>
        <w:rPr>
          <w:rFonts w:hint="eastAsia"/>
          <w:sz w:val="21"/>
        </w:rPr>
      </w:pPr>
    </w:p>
    <w:p>
      <w:pPr>
        <w:pStyle w:val="6"/>
        <w:numPr>
          <w:ilvl w:val="0"/>
          <w:numId w:val="0"/>
        </w:numPr>
        <w:spacing w:beforeLines="0" w:afterLines="0"/>
        <w:ind w:leftChars="200"/>
        <w:jc w:val="both"/>
        <w:rPr>
          <w:rFonts w:hint="eastAsia"/>
          <w:sz w:val="21"/>
        </w:rPr>
      </w:pPr>
    </w:p>
    <w:p>
      <w:pPr>
        <w:spacing w:beforeLines="0" w:afterLines="0" w:line="560" w:lineRule="exact"/>
        <w:ind w:firstLine="640" w:firstLineChars="200"/>
        <w:jc w:val="both"/>
        <w:rPr>
          <w:rFonts w:hint="eastAsia" w:ascii="黑体" w:hAnsi="黑体" w:eastAsia="黑体"/>
          <w:sz w:val="32"/>
        </w:rPr>
      </w:pPr>
      <w:r>
        <w:rPr>
          <w:rFonts w:hint="eastAsia" w:ascii="黑体" w:hAnsi="黑体" w:eastAsia="黑体"/>
          <w:sz w:val="32"/>
        </w:rPr>
        <w:t>四、政府信息公开行政复议、行政诉讼情况</w:t>
      </w:r>
    </w:p>
    <w:p>
      <w:pPr>
        <w:widowControl/>
        <w:spacing w:beforeLines="0" w:afterLines="0"/>
        <w:jc w:val="both"/>
        <w:rPr>
          <w:rFonts w:hint="default"/>
          <w:sz w:val="21"/>
        </w:rPr>
      </w:pPr>
    </w:p>
    <w:tbl>
      <w:tblPr>
        <w:tblStyle w:val="10"/>
        <w:tblW w:w="9748"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l2br w:val="nil"/>
              <w:tr2bl w:val="nil"/>
            </w:tcBorders>
            <w:shd w:val="clear" w:color="auto" w:fill="BDD7EE"/>
            <w:tcMar>
              <w:left w:w="108" w:type="dxa"/>
              <w:right w:w="108" w:type="dxa"/>
            </w:tcMar>
            <w:vAlign w:val="center"/>
          </w:tcPr>
          <w:p>
            <w:pPr>
              <w:widowControl/>
              <w:spacing w:beforeLines="0" w:afterLines="0"/>
              <w:jc w:val="both"/>
              <w:rPr>
                <w:rFonts w:hint="default"/>
                <w:sz w:val="21"/>
              </w:rPr>
            </w:pPr>
            <w:r>
              <w:rPr>
                <w:rFonts w:hint="eastAsia" w:ascii="宋体" w:hAnsi="宋体" w:eastAsia="宋体"/>
                <w:kern w:val="0"/>
                <w:sz w:val="20"/>
              </w:rPr>
              <w:t>行政复议</w:t>
            </w:r>
          </w:p>
        </w:tc>
        <w:tc>
          <w:tcPr>
            <w:tcW w:w="6503" w:type="dxa"/>
            <w:gridSpan w:val="10"/>
            <w:tcBorders>
              <w:top w:val="single" w:color="auto" w:sz="8" w:space="0"/>
              <w:left w:val="single" w:color="auto" w:sz="8" w:space="0"/>
              <w:bottom w:val="single" w:color="auto" w:sz="8" w:space="0"/>
              <w:right w:val="single" w:color="auto" w:sz="8" w:space="0"/>
              <w:tl2br w:val="nil"/>
              <w:tr2bl w:val="nil"/>
            </w:tcBorders>
            <w:shd w:val="clear" w:color="auto" w:fill="BDD7EE"/>
            <w:tcMar>
              <w:left w:w="108" w:type="dxa"/>
              <w:right w:w="108" w:type="dxa"/>
            </w:tcMar>
            <w:vAlign w:val="center"/>
          </w:tcPr>
          <w:p>
            <w:pPr>
              <w:widowControl/>
              <w:spacing w:beforeLines="0" w:afterLines="0"/>
              <w:jc w:val="both"/>
              <w:rPr>
                <w:rFonts w:hint="default"/>
                <w:sz w:val="21"/>
              </w:rPr>
            </w:pPr>
            <w:r>
              <w:rPr>
                <w:rFonts w:hint="eastAsia" w:ascii="宋体" w:hAnsi="宋体" w:eastAsia="宋体"/>
                <w:kern w:val="0"/>
                <w:sz w:val="20"/>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l2br w:val="nil"/>
              <w:tr2bl w:val="nil"/>
            </w:tcBorders>
            <w:shd w:val="clear" w:color="auto" w:fill="auto"/>
            <w:tcMar>
              <w:left w:w="108" w:type="dxa"/>
              <w:right w:w="108" w:type="dxa"/>
            </w:tcMar>
            <w:vAlign w:val="center"/>
          </w:tcPr>
          <w:p>
            <w:pPr>
              <w:widowControl/>
              <w:spacing w:beforeLines="0" w:afterLines="0"/>
              <w:jc w:val="both"/>
              <w:rPr>
                <w:rFonts w:hint="default"/>
                <w:sz w:val="21"/>
              </w:rPr>
            </w:pPr>
            <w:r>
              <w:rPr>
                <w:rFonts w:hint="eastAsia" w:ascii="宋体" w:hAnsi="宋体" w:eastAsia="宋体"/>
                <w:kern w:val="0"/>
                <w:sz w:val="20"/>
              </w:rPr>
              <w:t>结果维持</w:t>
            </w:r>
          </w:p>
        </w:tc>
        <w:tc>
          <w:tcPr>
            <w:tcW w:w="649" w:type="dxa"/>
            <w:vMerge w:val="restart"/>
            <w:tcBorders>
              <w:top w:val="nil"/>
              <w:left w:val="single" w:color="auto" w:sz="8" w:space="0"/>
              <w:bottom w:val="single" w:color="auto" w:sz="8" w:space="0"/>
              <w:right w:val="single" w:color="auto" w:sz="8" w:space="0"/>
              <w:tl2br w:val="nil"/>
              <w:tr2bl w:val="nil"/>
            </w:tcBorders>
            <w:shd w:val="clear" w:color="auto" w:fill="auto"/>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结果</w:t>
            </w:r>
          </w:p>
          <w:p>
            <w:pPr>
              <w:widowControl/>
              <w:spacing w:beforeLines="0" w:afterLines="0"/>
              <w:jc w:val="both"/>
              <w:rPr>
                <w:rFonts w:hint="default"/>
                <w:sz w:val="21"/>
              </w:rPr>
            </w:pPr>
            <w:r>
              <w:rPr>
                <w:rFonts w:hint="eastAsia" w:ascii="宋体" w:hAnsi="宋体" w:eastAsia="宋体"/>
                <w:kern w:val="0"/>
                <w:sz w:val="20"/>
              </w:rPr>
              <w:t>纠正</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其他</w:t>
            </w:r>
          </w:p>
          <w:p>
            <w:pPr>
              <w:widowControl/>
              <w:spacing w:beforeLines="0" w:afterLines="0"/>
              <w:jc w:val="both"/>
              <w:rPr>
                <w:rFonts w:hint="default"/>
                <w:sz w:val="21"/>
              </w:rPr>
            </w:pPr>
            <w:r>
              <w:rPr>
                <w:rFonts w:hint="eastAsia" w:ascii="宋体" w:hAnsi="宋体" w:eastAsia="宋体"/>
                <w:kern w:val="0"/>
                <w:sz w:val="20"/>
              </w:rPr>
              <w:t>结果</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尚未</w:t>
            </w:r>
          </w:p>
          <w:p>
            <w:pPr>
              <w:widowControl/>
              <w:spacing w:beforeLines="0" w:afterLines="0"/>
              <w:jc w:val="both"/>
              <w:rPr>
                <w:rFonts w:hint="default"/>
                <w:sz w:val="21"/>
              </w:rPr>
            </w:pPr>
            <w:r>
              <w:rPr>
                <w:rFonts w:hint="eastAsia" w:ascii="宋体" w:hAnsi="宋体" w:eastAsia="宋体"/>
                <w:kern w:val="0"/>
                <w:sz w:val="20"/>
              </w:rPr>
              <w:t>审结</w:t>
            </w:r>
          </w:p>
        </w:tc>
        <w:tc>
          <w:tcPr>
            <w:tcW w:w="649" w:type="dxa"/>
            <w:vMerge w:val="restart"/>
            <w:tcBorders>
              <w:top w:val="single" w:color="auto" w:sz="8" w:space="0"/>
              <w:left w:val="single" w:color="auto" w:sz="8" w:space="0"/>
              <w:bottom w:val="single" w:color="auto" w:sz="8" w:space="0"/>
              <w:right w:val="single" w:color="auto" w:sz="8" w:space="0"/>
              <w:tl2br w:val="nil"/>
              <w:tr2bl w:val="nil"/>
            </w:tcBorders>
            <w:shd w:val="clear" w:color="auto" w:fill="auto"/>
            <w:tcMar>
              <w:left w:w="108" w:type="dxa"/>
              <w:right w:w="108" w:type="dxa"/>
            </w:tcMar>
            <w:vAlign w:val="center"/>
          </w:tcPr>
          <w:p>
            <w:pPr>
              <w:widowControl/>
              <w:spacing w:beforeLines="0" w:afterLines="0"/>
              <w:jc w:val="both"/>
              <w:rPr>
                <w:rFonts w:hint="default"/>
                <w:sz w:val="21"/>
              </w:rPr>
            </w:pPr>
            <w:r>
              <w:rPr>
                <w:rFonts w:hint="eastAsia" w:ascii="宋体" w:hAnsi="宋体" w:eastAsia="宋体"/>
                <w:kern w:val="0"/>
                <w:sz w:val="20"/>
              </w:rPr>
              <w:t>总计</w:t>
            </w:r>
          </w:p>
        </w:tc>
        <w:tc>
          <w:tcPr>
            <w:tcW w:w="3248" w:type="dxa"/>
            <w:gridSpan w:val="5"/>
            <w:tcBorders>
              <w:top w:val="single" w:color="auto" w:sz="8" w:space="0"/>
              <w:left w:val="single" w:color="auto" w:sz="8" w:space="0"/>
              <w:bottom w:val="single" w:color="auto" w:sz="8" w:space="0"/>
              <w:right w:val="single" w:color="auto" w:sz="8" w:space="0"/>
              <w:tl2br w:val="nil"/>
              <w:tr2bl w:val="nil"/>
            </w:tcBorders>
            <w:shd w:val="clear" w:color="auto" w:fill="DDEBF7"/>
            <w:tcMar>
              <w:left w:w="108" w:type="dxa"/>
              <w:right w:w="108" w:type="dxa"/>
            </w:tcMar>
            <w:vAlign w:val="center"/>
          </w:tcPr>
          <w:p>
            <w:pPr>
              <w:widowControl/>
              <w:spacing w:beforeLines="0" w:afterLines="0"/>
              <w:jc w:val="both"/>
              <w:rPr>
                <w:rFonts w:hint="default"/>
                <w:sz w:val="21"/>
              </w:rPr>
            </w:pPr>
            <w:r>
              <w:rPr>
                <w:rFonts w:hint="eastAsia" w:ascii="宋体" w:hAnsi="宋体" w:eastAsia="宋体"/>
                <w:kern w:val="0"/>
                <w:sz w:val="20"/>
              </w:rPr>
              <w:t>未经复议直接起诉</w:t>
            </w:r>
          </w:p>
        </w:tc>
        <w:tc>
          <w:tcPr>
            <w:tcW w:w="3255" w:type="dxa"/>
            <w:gridSpan w:val="5"/>
            <w:tcBorders>
              <w:top w:val="single" w:color="auto" w:sz="8" w:space="0"/>
              <w:left w:val="single" w:color="auto" w:sz="8" w:space="0"/>
              <w:bottom w:val="single" w:color="auto" w:sz="8" w:space="0"/>
              <w:right w:val="single" w:color="auto" w:sz="8" w:space="0"/>
              <w:tl2br w:val="nil"/>
              <w:tr2bl w:val="nil"/>
            </w:tcBorders>
            <w:shd w:val="clear" w:color="auto" w:fill="DDEBF7"/>
            <w:tcMar>
              <w:left w:w="108" w:type="dxa"/>
              <w:right w:w="108" w:type="dxa"/>
            </w:tcMar>
            <w:vAlign w:val="center"/>
          </w:tcPr>
          <w:p>
            <w:pPr>
              <w:widowControl/>
              <w:spacing w:beforeLines="0" w:afterLines="0"/>
              <w:jc w:val="both"/>
              <w:rPr>
                <w:rFonts w:hint="default"/>
                <w:sz w:val="21"/>
              </w:rPr>
            </w:pPr>
            <w:r>
              <w:rPr>
                <w:rFonts w:hint="eastAsia" w:ascii="宋体" w:hAnsi="宋体" w:eastAsia="宋体"/>
                <w:kern w:val="0"/>
                <w:sz w:val="20"/>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spacing w:beforeLines="0" w:afterLines="0"/>
              <w:jc w:val="both"/>
              <w:rPr>
                <w:rFonts w:hint="eastAsia" w:ascii="宋体" w:hAnsi="Times New Roman" w:eastAsia="宋体"/>
                <w:sz w:val="24"/>
              </w:rPr>
            </w:pPr>
          </w:p>
        </w:tc>
        <w:tc>
          <w:tcPr>
            <w:tcW w:w="649" w:type="dxa"/>
            <w:vMerge w:val="continue"/>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spacing w:beforeLines="0" w:afterLines="0"/>
              <w:jc w:val="both"/>
              <w:rPr>
                <w:rFonts w:hint="eastAsia" w:ascii="宋体" w:hAnsi="Times New Roman" w:eastAsia="宋体"/>
                <w:sz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spacing w:beforeLines="0" w:afterLines="0"/>
              <w:jc w:val="both"/>
              <w:rPr>
                <w:rFonts w:hint="eastAsia" w:ascii="宋体" w:hAnsi="Times New Roman" w:eastAsia="宋体"/>
                <w:sz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spacing w:beforeLines="0" w:afterLines="0"/>
              <w:jc w:val="both"/>
              <w:rPr>
                <w:rFonts w:hint="eastAsia" w:ascii="宋体" w:hAnsi="Times New Roman" w:eastAsia="宋体"/>
                <w:sz w:val="24"/>
              </w:rPr>
            </w:pPr>
          </w:p>
        </w:tc>
        <w:tc>
          <w:tcPr>
            <w:tcW w:w="649" w:type="dxa"/>
            <w:vMerge w:val="continue"/>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spacing w:beforeLines="0" w:afterLines="0"/>
              <w:jc w:val="both"/>
              <w:rPr>
                <w:rFonts w:hint="eastAsia" w:ascii="宋体" w:hAnsi="Times New Roman" w:eastAsia="宋体"/>
                <w:sz w:val="24"/>
              </w:rPr>
            </w:pP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结果</w:t>
            </w:r>
          </w:p>
          <w:p>
            <w:pPr>
              <w:widowControl/>
              <w:spacing w:beforeLines="0" w:afterLines="0"/>
              <w:jc w:val="both"/>
              <w:rPr>
                <w:rFonts w:hint="default"/>
                <w:sz w:val="21"/>
              </w:rPr>
            </w:pPr>
            <w:r>
              <w:rPr>
                <w:rFonts w:hint="eastAsia" w:ascii="宋体" w:hAnsi="宋体" w:eastAsia="宋体"/>
                <w:kern w:val="0"/>
                <w:sz w:val="20"/>
              </w:rPr>
              <w:t>维持</w:t>
            </w: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结果</w:t>
            </w:r>
          </w:p>
          <w:p>
            <w:pPr>
              <w:widowControl/>
              <w:spacing w:beforeLines="0" w:afterLines="0"/>
              <w:jc w:val="both"/>
              <w:rPr>
                <w:rFonts w:hint="default"/>
                <w:sz w:val="21"/>
              </w:rPr>
            </w:pPr>
            <w:r>
              <w:rPr>
                <w:rFonts w:hint="eastAsia" w:ascii="宋体" w:hAnsi="宋体" w:eastAsia="宋体"/>
                <w:kern w:val="0"/>
                <w:sz w:val="20"/>
              </w:rPr>
              <w:t>纠正</w:t>
            </w:r>
          </w:p>
        </w:tc>
        <w:tc>
          <w:tcPr>
            <w:tcW w:w="650"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其他</w:t>
            </w:r>
          </w:p>
          <w:p>
            <w:pPr>
              <w:widowControl/>
              <w:spacing w:beforeLines="0" w:afterLines="0"/>
              <w:jc w:val="both"/>
              <w:rPr>
                <w:rFonts w:hint="default"/>
                <w:sz w:val="21"/>
              </w:rPr>
            </w:pPr>
            <w:r>
              <w:rPr>
                <w:rFonts w:hint="eastAsia" w:ascii="宋体" w:hAnsi="宋体" w:eastAsia="宋体"/>
                <w:kern w:val="0"/>
                <w:sz w:val="20"/>
              </w:rPr>
              <w:t>结果</w:t>
            </w:r>
          </w:p>
        </w:tc>
        <w:tc>
          <w:tcPr>
            <w:tcW w:w="650"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尚未</w:t>
            </w:r>
          </w:p>
          <w:p>
            <w:pPr>
              <w:widowControl/>
              <w:spacing w:beforeLines="0" w:afterLines="0"/>
              <w:jc w:val="both"/>
              <w:rPr>
                <w:rFonts w:hint="default"/>
                <w:sz w:val="21"/>
              </w:rPr>
            </w:pPr>
            <w:r>
              <w:rPr>
                <w:rFonts w:hint="eastAsia" w:ascii="宋体" w:hAnsi="宋体" w:eastAsia="宋体"/>
                <w:kern w:val="0"/>
                <w:sz w:val="20"/>
              </w:rPr>
              <w:t>审结</w:t>
            </w:r>
          </w:p>
        </w:tc>
        <w:tc>
          <w:tcPr>
            <w:tcW w:w="650"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总计</w:t>
            </w:r>
          </w:p>
        </w:tc>
        <w:tc>
          <w:tcPr>
            <w:tcW w:w="651"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结果</w:t>
            </w:r>
          </w:p>
          <w:p>
            <w:pPr>
              <w:widowControl/>
              <w:spacing w:beforeLines="0" w:afterLines="0"/>
              <w:jc w:val="both"/>
              <w:rPr>
                <w:rFonts w:hint="default"/>
                <w:sz w:val="21"/>
              </w:rPr>
            </w:pPr>
            <w:r>
              <w:rPr>
                <w:rFonts w:hint="eastAsia" w:ascii="宋体" w:hAnsi="宋体" w:eastAsia="宋体"/>
                <w:kern w:val="0"/>
                <w:sz w:val="20"/>
              </w:rPr>
              <w:t>维持</w:t>
            </w:r>
          </w:p>
        </w:tc>
        <w:tc>
          <w:tcPr>
            <w:tcW w:w="651"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结果</w:t>
            </w:r>
          </w:p>
          <w:p>
            <w:pPr>
              <w:widowControl/>
              <w:spacing w:beforeLines="0" w:afterLines="0"/>
              <w:jc w:val="both"/>
              <w:rPr>
                <w:rFonts w:hint="default"/>
                <w:sz w:val="21"/>
              </w:rPr>
            </w:pPr>
            <w:r>
              <w:rPr>
                <w:rFonts w:hint="eastAsia" w:ascii="宋体" w:hAnsi="宋体" w:eastAsia="宋体"/>
                <w:kern w:val="0"/>
                <w:sz w:val="20"/>
              </w:rPr>
              <w:t>纠正</w:t>
            </w:r>
          </w:p>
        </w:tc>
        <w:tc>
          <w:tcPr>
            <w:tcW w:w="651"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color w:val="000000"/>
                <w:kern w:val="0"/>
                <w:sz w:val="20"/>
              </w:rPr>
            </w:pPr>
            <w:r>
              <w:rPr>
                <w:rFonts w:hint="eastAsia" w:ascii="宋体" w:hAnsi="宋体" w:eastAsia="宋体"/>
                <w:color w:val="000000"/>
                <w:kern w:val="0"/>
                <w:sz w:val="20"/>
              </w:rPr>
              <w:t>其他</w:t>
            </w:r>
          </w:p>
          <w:p>
            <w:pPr>
              <w:widowControl/>
              <w:spacing w:beforeLines="0" w:afterLines="0"/>
              <w:jc w:val="both"/>
              <w:rPr>
                <w:rFonts w:hint="default"/>
                <w:sz w:val="21"/>
              </w:rPr>
            </w:pPr>
            <w:r>
              <w:rPr>
                <w:rFonts w:hint="eastAsia" w:ascii="宋体" w:hAnsi="宋体" w:eastAsia="宋体"/>
                <w:color w:val="000000"/>
                <w:kern w:val="0"/>
                <w:sz w:val="20"/>
              </w:rPr>
              <w:t>结果</w:t>
            </w:r>
          </w:p>
        </w:tc>
        <w:tc>
          <w:tcPr>
            <w:tcW w:w="651"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eastAsia" w:ascii="宋体" w:hAnsi="宋体" w:eastAsia="宋体"/>
                <w:kern w:val="0"/>
                <w:sz w:val="20"/>
              </w:rPr>
            </w:pPr>
            <w:r>
              <w:rPr>
                <w:rFonts w:hint="eastAsia" w:ascii="宋体" w:hAnsi="宋体" w:eastAsia="宋体"/>
                <w:kern w:val="0"/>
                <w:sz w:val="20"/>
              </w:rPr>
              <w:t>尚未</w:t>
            </w:r>
          </w:p>
          <w:p>
            <w:pPr>
              <w:widowControl/>
              <w:spacing w:beforeLines="0" w:afterLines="0"/>
              <w:jc w:val="both"/>
              <w:rPr>
                <w:rFonts w:hint="default"/>
                <w:sz w:val="21"/>
              </w:rPr>
            </w:pPr>
            <w:r>
              <w:rPr>
                <w:rFonts w:hint="eastAsia" w:ascii="宋体" w:hAnsi="宋体" w:eastAsia="宋体"/>
                <w:kern w:val="0"/>
                <w:sz w:val="20"/>
              </w:rPr>
              <w:t>审结</w:t>
            </w:r>
          </w:p>
        </w:tc>
        <w:tc>
          <w:tcPr>
            <w:tcW w:w="651" w:type="dxa"/>
            <w:tcBorders>
              <w:top w:val="single" w:color="auto" w:sz="8" w:space="0"/>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rPr>
                <w:rFonts w:hint="default"/>
                <w:sz w:val="21"/>
              </w:rPr>
            </w:pPr>
            <w:r>
              <w:rPr>
                <w:rFonts w:hint="eastAsia" w:ascii="宋体" w:hAnsi="宋体" w:eastAsia="宋体"/>
                <w:color w:val="000000"/>
                <w:kern w:val="0"/>
                <w:sz w:val="20"/>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lang w:val="en-US" w:eastAsia="zh-CN"/>
              </w:rPr>
              <w:t>12</w:t>
            </w: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lang w:val="en-US" w:eastAsia="zh-CN"/>
              </w:rPr>
              <w:t>0</w:t>
            </w: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0</w:t>
            </w: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5</w:t>
            </w: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17</w:t>
            </w: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1</w:t>
            </w:r>
          </w:p>
        </w:tc>
        <w:tc>
          <w:tcPr>
            <w:tcW w:w="649"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0</w:t>
            </w:r>
          </w:p>
        </w:tc>
        <w:tc>
          <w:tcPr>
            <w:tcW w:w="65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1</w:t>
            </w:r>
          </w:p>
        </w:tc>
        <w:tc>
          <w:tcPr>
            <w:tcW w:w="65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2</w:t>
            </w:r>
          </w:p>
        </w:tc>
        <w:tc>
          <w:tcPr>
            <w:tcW w:w="650"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4</w:t>
            </w:r>
          </w:p>
        </w:tc>
        <w:tc>
          <w:tcPr>
            <w:tcW w:w="651"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1</w:t>
            </w:r>
          </w:p>
        </w:tc>
        <w:tc>
          <w:tcPr>
            <w:tcW w:w="651"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0</w:t>
            </w:r>
          </w:p>
        </w:tc>
        <w:tc>
          <w:tcPr>
            <w:tcW w:w="651"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0</w:t>
            </w:r>
          </w:p>
        </w:tc>
        <w:tc>
          <w:tcPr>
            <w:tcW w:w="651"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default"/>
                <w:sz w:val="21"/>
              </w:rPr>
            </w:pPr>
            <w:r>
              <w:rPr>
                <w:rFonts w:hint="eastAsia" w:ascii="黑体" w:hAnsi="宋体" w:eastAsia="黑体"/>
                <w:color w:val="000000"/>
                <w:kern w:val="0"/>
                <w:sz w:val="20"/>
              </w:rPr>
              <w:t>5</w:t>
            </w:r>
          </w:p>
        </w:tc>
        <w:tc>
          <w:tcPr>
            <w:tcW w:w="651" w:type="dxa"/>
            <w:tcBorders>
              <w:top w:val="nil"/>
              <w:left w:val="single" w:color="auto" w:sz="8" w:space="0"/>
              <w:bottom w:val="single" w:color="auto" w:sz="8" w:space="0"/>
              <w:right w:val="single" w:color="auto" w:sz="8" w:space="0"/>
              <w:tl2br w:val="nil"/>
              <w:tr2bl w:val="nil"/>
            </w:tcBorders>
            <w:tcMar>
              <w:left w:w="108" w:type="dxa"/>
              <w:right w:w="108" w:type="dxa"/>
            </w:tcMar>
            <w:vAlign w:val="center"/>
          </w:tcPr>
          <w:p>
            <w:pPr>
              <w:widowControl/>
              <w:spacing w:beforeLines="0" w:afterLines="0"/>
              <w:jc w:val="both"/>
              <w:textAlignment w:val="center"/>
              <w:rPr>
                <w:rFonts w:hint="eastAsia" w:ascii="宋体" w:hAnsi="Times New Roman" w:eastAsia="宋体"/>
                <w:sz w:val="24"/>
              </w:rPr>
            </w:pPr>
            <w:r>
              <w:rPr>
                <w:rFonts w:hint="eastAsia" w:ascii="黑体" w:hAnsi="宋体" w:eastAsia="黑体"/>
                <w:color w:val="000000"/>
                <w:kern w:val="0"/>
                <w:sz w:val="20"/>
              </w:rPr>
              <w:t>6</w:t>
            </w:r>
          </w:p>
        </w:tc>
      </w:tr>
    </w:tbl>
    <w:p>
      <w:pPr>
        <w:widowControl/>
        <w:spacing w:beforeLines="0" w:afterLines="0"/>
        <w:jc w:val="both"/>
        <w:rPr>
          <w:rFonts w:hint="default"/>
          <w:sz w:val="21"/>
        </w:rPr>
      </w:pPr>
    </w:p>
    <w:p>
      <w:pPr>
        <w:widowControl w:val="0"/>
        <w:numPr>
          <w:ilvl w:val="0"/>
          <w:numId w:val="0"/>
        </w:numPr>
        <w:spacing w:before="157" w:beforeLines="50" w:after="157" w:afterLines="50" w:line="560" w:lineRule="exact"/>
        <w:ind w:firstLine="640" w:firstLineChars="200"/>
        <w:jc w:val="both"/>
        <w:outlineLvl w:val="9"/>
        <w:rPr>
          <w:rFonts w:hint="eastAsia" w:ascii="黑体" w:hAnsi="黑体" w:eastAsia="黑体" w:cs="黑体"/>
          <w:color w:val="232930"/>
          <w:spacing w:val="0"/>
          <w:kern w:val="2"/>
          <w:sz w:val="32"/>
          <w:szCs w:val="32"/>
          <w:lang w:eastAsia="zh-CN"/>
        </w:rPr>
      </w:pPr>
      <w:r>
        <w:rPr>
          <w:rFonts w:hint="eastAsia" w:ascii="黑体" w:hAnsi="黑体" w:eastAsia="黑体" w:cs="黑体"/>
          <w:color w:val="232930"/>
          <w:spacing w:val="0"/>
          <w:kern w:val="2"/>
          <w:sz w:val="32"/>
          <w:szCs w:val="32"/>
          <w:lang w:eastAsia="zh-CN"/>
        </w:rPr>
        <w:t>五、存在的主要问题及改进情况</w:t>
      </w:r>
    </w:p>
    <w:p>
      <w:pPr>
        <w:widowControl/>
        <w:spacing w:beforeLines="0" w:afterLines="0" w:line="560" w:lineRule="exact"/>
        <w:ind w:firstLine="640" w:firstLineChars="200"/>
        <w:jc w:val="both"/>
        <w:rPr>
          <w:rFonts w:hint="default"/>
          <w:sz w:val="21"/>
        </w:rPr>
      </w:pPr>
      <w:r>
        <w:rPr>
          <w:rFonts w:hint="eastAsia" w:ascii="仿宋_GB2312" w:hAnsi="仿宋_GB2312" w:eastAsia="仿宋_GB2312"/>
          <w:color w:val="000000"/>
          <w:sz w:val="32"/>
        </w:rPr>
        <w:t>2024年，我分局着力于解决目前信息公开工作中存在的问题，查找相关风险点，并不断完善改进，具体情况如下：一是存在事实认定有分歧、法律适用不恰当的问题。随着新修订的《</w:t>
      </w:r>
      <w:r>
        <w:rPr>
          <w:rFonts w:hint="eastAsia" w:ascii="仿宋_GB2312" w:hAnsi="仿宋_GB2312" w:eastAsia="仿宋_GB2312"/>
          <w:color w:val="000000"/>
          <w:sz w:val="32"/>
          <w:lang w:eastAsia="zh-CN"/>
        </w:rPr>
        <w:t>行政复议法</w:t>
      </w:r>
      <w:r>
        <w:rPr>
          <w:rFonts w:hint="eastAsia" w:ascii="仿宋_GB2312" w:hAnsi="仿宋_GB2312" w:eastAsia="仿宋_GB2312"/>
          <w:color w:val="000000"/>
          <w:sz w:val="32"/>
        </w:rPr>
        <w:t>》实施后，相关的答复思路随之改变，且至今年已有很多实际案例可以学习借鉴。针对此问题，我分局加强案例研究与学习，组织多次专题学习与研讨，并结合实际工作中遇到的问题，及时与法律顾问进行沟通探讨，不断改进思路，切实提升信息公开答复质量。二是信息公开内容不够详尽、全面，政策解读不够深入，导致公众理解困难。针对此问题，我分局明确规划、资源数据的公开标准，加强信息收集与整理，确保公开内容全面无遗漏。组建专业解读团队，向公众解读相关政策，以便理解。并在查找申请人所需信息时</w:t>
      </w:r>
      <w:r>
        <w:rPr>
          <w:rFonts w:hint="eastAsia" w:ascii="仿宋_GB2312" w:hAnsi="仿宋_GB2312" w:eastAsia="仿宋_GB2312"/>
          <w:color w:val="000000"/>
          <w:sz w:val="32"/>
          <w:lang w:eastAsia="zh-CN"/>
        </w:rPr>
        <w:t>穷尽</w:t>
      </w:r>
      <w:r>
        <w:rPr>
          <w:rFonts w:hint="eastAsia" w:ascii="仿宋_GB2312" w:hAnsi="仿宋_GB2312" w:eastAsia="仿宋_GB2312"/>
          <w:color w:val="000000"/>
          <w:sz w:val="32"/>
        </w:rPr>
        <w:t>查询</w:t>
      </w:r>
      <w:r>
        <w:rPr>
          <w:rFonts w:hint="eastAsia" w:ascii="仿宋_GB2312" w:hAnsi="仿宋_GB2312" w:eastAsia="仿宋_GB2312"/>
          <w:color w:val="000000"/>
          <w:sz w:val="32"/>
          <w:lang w:eastAsia="zh-CN"/>
        </w:rPr>
        <w:t>举措</w:t>
      </w:r>
      <w:r>
        <w:rPr>
          <w:rFonts w:hint="eastAsia" w:ascii="仿宋_GB2312" w:hAnsi="仿宋_GB2312" w:eastAsia="仿宋_GB2312"/>
          <w:color w:val="000000"/>
          <w:sz w:val="32"/>
        </w:rPr>
        <w:t>、扩大查询范围，不仅从申请内容本身存档进行查询，并结合工作的前后关联性，从相关环节内展开查询，确保答复的全面与准确。</w:t>
      </w:r>
    </w:p>
    <w:p>
      <w:pPr>
        <w:widowControl w:val="0"/>
        <w:numPr>
          <w:ilvl w:val="0"/>
          <w:numId w:val="0"/>
        </w:numPr>
        <w:spacing w:before="157" w:beforeLines="50" w:after="157" w:afterLines="50" w:line="560" w:lineRule="exact"/>
        <w:ind w:firstLine="640" w:firstLineChars="200"/>
        <w:jc w:val="both"/>
        <w:outlineLvl w:val="9"/>
        <w:rPr>
          <w:rFonts w:hint="eastAsia" w:ascii="黑体" w:hAnsi="黑体" w:eastAsia="黑体" w:cs="黑体"/>
          <w:color w:val="232930"/>
          <w:kern w:val="2"/>
          <w:sz w:val="32"/>
          <w:szCs w:val="32"/>
          <w:lang w:eastAsia="zh-CN"/>
        </w:rPr>
      </w:pPr>
      <w:r>
        <w:rPr>
          <w:rFonts w:hint="eastAsia" w:ascii="黑体" w:hAnsi="黑体" w:eastAsia="黑体" w:cs="黑体"/>
          <w:color w:val="232930"/>
          <w:spacing w:val="0"/>
          <w:kern w:val="2"/>
          <w:sz w:val="32"/>
          <w:szCs w:val="32"/>
          <w:lang w:eastAsia="zh-CN"/>
        </w:rPr>
        <w:t>六、其他需要报告的事项</w:t>
      </w:r>
    </w:p>
    <w:p>
      <w:pPr>
        <w:widowControl/>
        <w:spacing w:beforeLines="0" w:afterLines="0" w:line="560" w:lineRule="exact"/>
        <w:ind w:firstLine="640" w:firstLineChars="200"/>
        <w:jc w:val="both"/>
        <w:rPr>
          <w:rFonts w:hint="eastAsia" w:ascii="仿宋_GB2312" w:hAnsi="仿宋_GB2312" w:eastAsia="仿宋_GB2312"/>
          <w:color w:val="000000"/>
          <w:sz w:val="32"/>
        </w:rPr>
      </w:pPr>
      <w:r>
        <w:rPr>
          <w:rFonts w:hint="eastAsia" w:ascii="仿宋_GB2312" w:hAnsi="仿宋_GB2312" w:eastAsia="仿宋_GB2312"/>
          <w:color w:val="000000"/>
          <w:sz w:val="32"/>
        </w:rPr>
        <w:t>按照《政府信息公开信息处理费管理办法》(国办函〔2020〕109号)，2024年度我分局共收取信息处理费情况为：发出发出收费通知的件数为0件，总金额为0元，实际收取的总金额为0元。</w:t>
      </w:r>
    </w:p>
    <w:p>
      <w:pPr>
        <w:widowControl/>
        <w:spacing w:beforeLines="0" w:afterLines="0" w:line="560" w:lineRule="exact"/>
        <w:ind w:firstLine="640" w:firstLineChars="200"/>
        <w:jc w:val="both"/>
        <w:rPr>
          <w:rFonts w:hint="default"/>
          <w:sz w:val="21"/>
        </w:rPr>
      </w:pPr>
      <w:r>
        <w:rPr>
          <w:rFonts w:hint="eastAsia" w:ascii="Times New Roman" w:hAnsi="Times New Roman" w:eastAsia="仿宋_GB2312"/>
          <w:color w:val="000000"/>
          <w:kern w:val="0"/>
          <w:sz w:val="32"/>
        </w:rPr>
        <w:t>北京市规划和自然资源委员会朝阳分局门户网站网址为http://ghzrzyw.beijing.gov.cn/，如需了解更多政府信息，请登录查询。</w:t>
      </w:r>
    </w:p>
    <w:p>
      <w:pPr>
        <w:jc w:val="both"/>
      </w:pPr>
    </w:p>
    <w:sectPr>
      <w:footerReference r:id="rId4" w:type="first"/>
      <w:footerReference r:id="rId3" w:type="default"/>
      <w:pgSz w:w="11906" w:h="16838"/>
      <w:pgMar w:top="1440" w:right="1800" w:bottom="1440" w:left="1800" w:header="851" w:footer="992" w:gutter="0"/>
      <w:lnNumType w:countBy="0" w:distance="36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panose1 w:val="02000000000000000000"/>
    <w:charset w:val="7A"/>
    <w:family w:val="auto"/>
    <w:pitch w:val="default"/>
    <w:sig w:usb0="A00002BF" w:usb1="184F6CFA" w:usb2="00000012" w:usb3="00000000" w:csb0="00040001" w:csb1="00000000"/>
  </w:font>
  <w:font w:name="仿宋_GB2312">
    <w:panose1 w:val="02010609030101010101"/>
    <w:charset w:val="7A"/>
    <w:family w:val="modern"/>
    <w:pitch w:val="default"/>
    <w:sig w:usb0="00000001" w:usb1="080E0000" w:usb2="00000000" w:usb3="00000000" w:csb0="00040000" w:csb1="00000000"/>
  </w:font>
  <w:font w:name="微软雅黑">
    <w:panose1 w:val="020B0503020204020204"/>
    <w:charset w:val="7A"/>
    <w:family w:val="swiss"/>
    <w:pitch w:val="default"/>
    <w:sig w:usb0="80000287" w:usb1="2ACF3C50" w:usb2="00000016" w:usb3="00000000" w:csb0="0004001F" w:csb1="00000000"/>
  </w:font>
  <w:font w:name="楷体">
    <w:panose1 w:val="02010609060101010101"/>
    <w:charset w:val="7A"/>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spacing w:beforeLines="0" w:afterLines="0"/>
      <w:rPr>
        <w:rFonts w:hint="default"/>
        <w:sz w:val="18"/>
      </w:rPr>
    </w:pPr>
    <w:r>
      <w:rPr>
        <w:rFonts w:hint="default"/>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049"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7"/>
                            <w:tabs>
                              <w:tab w:val="clear" w:pos="4153"/>
                              <w:tab w:val="clear" w:pos="8306"/>
                            </w:tabs>
                            <w:spacing w:beforeLines="0" w:afterLines="0"/>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4</w:t>
                          </w:r>
                          <w:r>
                            <w:rPr>
                              <w:rFonts w:hint="default"/>
                              <w:sz w:val="18"/>
                            </w:rPr>
                            <w:fldChar w:fldCharType="end"/>
                          </w:r>
                        </w:p>
                      </w:txbxContent>
                    </wps:txbx>
                    <wps:bodyPr wrap="none" lIns="0" tIns="0" rIns="0" bIns="0" upright="1">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l1&#10;uVLQAAAABQEAAA8AAAAAAAAAAQAgAAAAIgAAAGRycy9kb3ducmV2LnhtbFBLAQIUABQAAAAIAIdO&#10;4kD233o6uQEAAG8DAAAOAAAAAAAAAAEAIAAAAB8BAABkcnMvZTJvRG9jLnhtbFBLBQYAAAAABgAG&#10;AFkBAABKBQAAAAA=&#10;">
              <v:fill on="f" focussize="0,0"/>
              <v:stroke on="f"/>
              <v:imagedata o:title=""/>
              <o:lock v:ext="edit" aspectratio="f"/>
              <v:textbox inset="0mm,0mm,0mm,0mm" style="mso-fit-shape-to-text:t;">
                <w:txbxContent>
                  <w:p>
                    <w:pPr>
                      <w:pStyle w:val="7"/>
                      <w:tabs>
                        <w:tab w:val="clear" w:pos="4153"/>
                        <w:tab w:val="clear" w:pos="8306"/>
                      </w:tabs>
                      <w:spacing w:beforeLines="0" w:afterLines="0"/>
                      <w:rPr>
                        <w:rFonts w:hint="default"/>
                        <w:sz w:val="18"/>
                      </w:rPr>
                    </w:pPr>
                    <w:r>
                      <w:rPr>
                        <w:rFonts w:hint="default"/>
                        <w:sz w:val="18"/>
                      </w:rPr>
                      <w:fldChar w:fldCharType="begin"/>
                    </w:r>
                    <w:r>
                      <w:rPr>
                        <w:rFonts w:hint="default"/>
                        <w:sz w:val="18"/>
                      </w:rPr>
                      <w:instrText xml:space="preserve"> PAGE  \* MERGEFORMAT </w:instrText>
                    </w:r>
                    <w:r>
                      <w:rPr>
                        <w:rFonts w:hint="default"/>
                        <w:sz w:val="18"/>
                      </w:rPr>
                      <w:fldChar w:fldCharType="separate"/>
                    </w:r>
                    <w:r>
                      <w:rPr>
                        <w:rFonts w:hint="default"/>
                        <w:sz w:val="18"/>
                      </w:rPr>
                      <w:t>4</w:t>
                    </w:r>
                    <w:r>
                      <w:rPr>
                        <w:rFonts w:hint="default"/>
                        <w:sz w:val="1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2"/>
      <w:numFmt w:val="chineseCounting"/>
      <w:suff w:val="nothing"/>
      <w:lvlText w:val="%1、"/>
      <w:lvlJc w:val="left"/>
      <w:rPr>
        <w:rFonts w:hint="default"/>
        <w:u w:color="auto"/>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NotTrackFormatting/>
  <w:trackRevisions w:val="1"/>
  <w:documentProtection w:enforcement="0"/>
  <w:defaultTabStop w:val="720"/>
  <w:displayHorizontalDrawingGridEvery w:val="1"/>
  <w:displayVerticalDrawingGridEvery w:val="1"/>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mUwMjliMjdkMGJhMzU3MjEyMmZmNjczMjVmOGFiOTAifQ=="/>
  </w:docVars>
  <w:rsids>
    <w:rsidRoot w:val="00000000"/>
    <w:rsid w:val="18C577AE"/>
    <w:rsid w:val="1FBB66D8"/>
    <w:rsid w:val="28B17ED0"/>
    <w:rsid w:val="5EEF2D58"/>
    <w:rsid w:val="5F3132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en-US" w:bidi="ar-SA"/>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after="120" w:line="360" w:lineRule="auto"/>
      <w:ind w:left="420" w:leftChars="200" w:firstLine="420" w:firstLineChars="200"/>
    </w:pPr>
    <w:rPr>
      <w:rFonts w:ascii="Times New Roman" w:eastAsia="Times New Roman"/>
      <w:sz w:val="21"/>
      <w:szCs w:val="22"/>
    </w:rPr>
  </w:style>
  <w:style w:type="paragraph" w:styleId="3">
    <w:name w:val="Body Text Indent"/>
    <w:basedOn w:val="1"/>
    <w:next w:val="4"/>
    <w:qFormat/>
    <w:uiPriority w:val="99"/>
    <w:pPr>
      <w:ind w:firstLine="645"/>
    </w:pPr>
    <w:rPr>
      <w:rFonts w:ascii="楷体_GB2312" w:eastAsia="楷体_GB2312"/>
      <w:sz w:val="32"/>
    </w:rPr>
  </w:style>
  <w:style w:type="paragraph" w:styleId="4">
    <w:name w:val="envelope return"/>
    <w:basedOn w:val="1"/>
    <w:qFormat/>
    <w:uiPriority w:val="0"/>
    <w:pPr>
      <w:snapToGrid w:val="0"/>
    </w:pPr>
    <w:rPr>
      <w:rFonts w:ascii="Arial" w:hAnsi="Arial"/>
    </w:rPr>
  </w:style>
  <w:style w:type="paragraph" w:styleId="5">
    <w:name w:val="Body Text"/>
    <w:basedOn w:val="1"/>
    <w:qFormat/>
    <w:uiPriority w:val="0"/>
    <w:pPr>
      <w:spacing w:beforeLines="0" w:after="120" w:afterLines="0"/>
    </w:pPr>
    <w:rPr>
      <w:rFonts w:hint="default"/>
      <w:sz w:val="21"/>
    </w:rPr>
  </w:style>
  <w:style w:type="paragraph" w:styleId="6">
    <w:name w:val="Plain Text"/>
    <w:basedOn w:val="1"/>
    <w:qFormat/>
    <w:uiPriority w:val="0"/>
    <w:pPr>
      <w:spacing w:beforeLines="0" w:afterLines="0"/>
    </w:pPr>
    <w:rPr>
      <w:rFonts w:hint="eastAsia" w:ascii="宋体" w:hAnsi="Courier New" w:eastAsia="宋体"/>
      <w:sz w:val="21"/>
    </w:rPr>
  </w:style>
  <w:style w:type="paragraph" w:styleId="7">
    <w:name w:val="footer"/>
    <w:basedOn w:val="1"/>
    <w:qFormat/>
    <w:uiPriority w:val="0"/>
    <w:pPr>
      <w:tabs>
        <w:tab w:val="center" w:pos="4153"/>
        <w:tab w:val="right" w:pos="8306"/>
      </w:tabs>
      <w:snapToGrid w:val="0"/>
      <w:spacing w:beforeLines="0" w:afterLines="0"/>
      <w:jc w:val="left"/>
    </w:pPr>
    <w:rPr>
      <w:rFonts w:hint="default"/>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Lines="0" w:beforeAutospacing="1" w:after="100" w:afterLines="0" w:afterAutospacing="1"/>
      <w:jc w:val="left"/>
    </w:pPr>
    <w:rPr>
      <w:rFonts w:hint="default"/>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2484</Words>
  <Characters>2618</Characters>
  <Paragraphs>416</Paragraphs>
  <TotalTime>3</TotalTime>
  <ScaleCrop>false</ScaleCrop>
  <LinksUpToDate>false</LinksUpToDate>
  <CharactersWithSpaces>2623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2025-01-15T11:18:00Z</dcterms:created>
  <dc:creator>林勇</dc:creator>
  <cp:lastModifiedBy>辛文洁</cp:lastModifiedBy>
  <dcterms:modified xsi:type="dcterms:W3CDTF">2025-01-21T07:57:03Z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14fca78c249647368ac59ef488f99463</vt:lpwstr>
  </property>
</Properties>
</file>