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北京市规划和自然委员会大兴分局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bookmarkStart w:id="0" w:name="_GoBack"/>
      <w:bookmarkEnd w:id="0"/>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numPr>
          <w:ilvl w:val="0"/>
          <w:numId w:val="0"/>
        </w:numPr>
        <w:spacing w:line="560" w:lineRule="exact"/>
        <w:ind w:firstLine="672" w:firstLineChars="200"/>
        <w:jc w:val="left"/>
        <w:rPr>
          <w:sz w:val="32"/>
          <w:szCs w:val="32"/>
        </w:rPr>
      </w:pPr>
      <w:r>
        <w:rPr>
          <w:rFonts w:hint="eastAsia" w:ascii="黑体" w:hAnsi="黑体" w:eastAsia="黑体" w:cs="宋体"/>
          <w:spacing w:val="8"/>
          <w:kern w:val="0"/>
          <w:sz w:val="32"/>
          <w:szCs w:val="32"/>
          <w:lang w:eastAsia="zh-CN"/>
        </w:rPr>
        <w:t>一、</w:t>
      </w:r>
      <w:r>
        <w:rPr>
          <w:rFonts w:ascii="黑体" w:hAnsi="黑体" w:eastAsia="黑体" w:cs="宋体"/>
          <w:spacing w:val="8"/>
          <w:kern w:val="0"/>
          <w:sz w:val="32"/>
          <w:szCs w:val="32"/>
        </w:rPr>
        <w:t>总体情况</w:t>
      </w:r>
    </w:p>
    <w:p>
      <w:pPr>
        <w:pStyle w:val="2"/>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我分局严格按照政务公开相关法规规定和文件精神，认真贯彻落实政府信息公开工作有关要求，突出公开重点，规范政务服务，深入推进“优化营商环境”改革，不断提高政务服务质量和水平，取得了一定成效。对社会关注的热点、难点、焦点问题，能够通过多种形式、多种方法，比较全面、及时、准确地进行公开，为社会公众提供了高质量的政府信息公开工作。</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（一）主动公开情况</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年，我分局通过市规划自然资源委官网主动公开政府信息共</w:t>
      </w:r>
      <w:r>
        <w:rPr>
          <w:rFonts w:hint="eastAsia" w:ascii="仿宋_GB2312" w:hAnsi="仿宋_GB2312" w:eastAsia="仿宋_GB2312" w:cs="仿宋_GB2312"/>
          <w:sz w:val="32"/>
          <w:szCs w:val="32"/>
          <w:lang w:val="en-US" w:eastAsia="zh-CN"/>
        </w:rPr>
        <w:t>1893</w:t>
      </w:r>
      <w:r>
        <w:rPr>
          <w:rFonts w:hint="eastAsia" w:ascii="仿宋_GB2312" w:hAnsi="仿宋_GB2312" w:eastAsia="仿宋_GB2312" w:cs="仿宋_GB2312"/>
          <w:sz w:val="32"/>
          <w:szCs w:val="32"/>
        </w:rPr>
        <w:t>条,其中工作动态、人事信息、通知公告、不动产登记等政务信息共</w:t>
      </w:r>
      <w:r>
        <w:rPr>
          <w:rFonts w:hint="eastAsia" w:ascii="仿宋_GB2312" w:hAnsi="仿宋_GB2312" w:eastAsia="仿宋_GB2312" w:cs="仿宋_GB2312"/>
          <w:sz w:val="32"/>
          <w:szCs w:val="32"/>
          <w:lang w:val="en-US" w:eastAsia="zh-CN"/>
        </w:rPr>
        <w:t>1331</w:t>
      </w:r>
      <w:r>
        <w:rPr>
          <w:rFonts w:hint="eastAsia" w:ascii="仿宋_GB2312" w:hAnsi="仿宋_GB2312" w:eastAsia="仿宋_GB2312" w:cs="仿宋_GB2312"/>
          <w:sz w:val="32"/>
          <w:szCs w:val="32"/>
        </w:rPr>
        <w:t>条。</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（二）依申请公开办理情况</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1.申请情况：我分局202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年共受理政府信息公开申请</w:t>
      </w:r>
      <w:r>
        <w:rPr>
          <w:rFonts w:hint="eastAsia" w:ascii="仿宋_GB2312" w:hAnsi="仿宋_GB2312" w:eastAsia="仿宋_GB2312" w:cs="仿宋_GB2312"/>
          <w:sz w:val="32"/>
          <w:szCs w:val="32"/>
          <w:lang w:val="en-US" w:eastAsia="zh-CN"/>
        </w:rPr>
        <w:t>347</w:t>
      </w:r>
      <w:r>
        <w:rPr>
          <w:rFonts w:hint="eastAsia" w:ascii="仿宋_GB2312" w:hAnsi="仿宋_GB2312" w:eastAsia="仿宋_GB2312" w:cs="仿宋_GB2312"/>
          <w:sz w:val="32"/>
          <w:szCs w:val="32"/>
        </w:rPr>
        <w:t>件，较上一年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件。其中当面申请</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件，邮寄申请</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件，网页申请</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件。</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2.答复情况：已全部按期答复，答复率100%。其中：予以公开</w:t>
      </w:r>
      <w:r>
        <w:rPr>
          <w:rFonts w:hint="eastAsia" w:ascii="仿宋_GB2312" w:hAnsi="仿宋_GB2312" w:eastAsia="仿宋_GB2312" w:cs="仿宋_GB2312"/>
          <w:sz w:val="32"/>
          <w:szCs w:val="32"/>
          <w:lang w:val="en-US" w:eastAsia="zh-CN"/>
        </w:rPr>
        <w:t>235</w:t>
      </w:r>
      <w:r>
        <w:rPr>
          <w:rFonts w:hint="eastAsia" w:ascii="仿宋_GB2312" w:hAnsi="仿宋_GB2312" w:eastAsia="仿宋_GB2312" w:cs="仿宋_GB2312"/>
          <w:sz w:val="32"/>
          <w:szCs w:val="32"/>
        </w:rPr>
        <w:t>件，占受理总数的</w:t>
      </w:r>
      <w:r>
        <w:rPr>
          <w:rFonts w:hint="eastAsia" w:ascii="仿宋_GB2312" w:hAnsi="仿宋_GB2312" w:eastAsia="仿宋_GB2312" w:cs="仿宋_GB2312"/>
          <w:sz w:val="32"/>
          <w:szCs w:val="32"/>
          <w:lang w:val="en-US" w:eastAsia="zh-CN"/>
        </w:rPr>
        <w:t>72.91</w:t>
      </w:r>
      <w:r>
        <w:rPr>
          <w:rFonts w:hint="eastAsia" w:ascii="仿宋_GB2312" w:hAnsi="仿宋_GB2312" w:eastAsia="仿宋_GB2312" w:cs="仿宋_GB2312"/>
          <w:sz w:val="32"/>
          <w:szCs w:val="32"/>
        </w:rPr>
        <w:t>%；不予公</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件，占受理总数的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%；无法提供的</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件，占受理总数的</w:t>
      </w:r>
      <w:r>
        <w:rPr>
          <w:rFonts w:hint="eastAsia" w:ascii="仿宋_GB2312" w:hAnsi="仿宋_GB2312" w:eastAsia="仿宋_GB2312" w:cs="仿宋_GB2312"/>
          <w:sz w:val="32"/>
          <w:szCs w:val="32"/>
          <w:lang w:val="en-US" w:eastAsia="zh-CN"/>
        </w:rPr>
        <w:t>28.82</w:t>
      </w:r>
      <w:r>
        <w:rPr>
          <w:rFonts w:hint="eastAsia" w:ascii="仿宋_GB2312" w:hAnsi="仿宋_GB2312" w:eastAsia="仿宋_GB2312" w:cs="仿宋_GB2312"/>
          <w:sz w:val="32"/>
          <w:szCs w:val="32"/>
        </w:rPr>
        <w:t>%，其他处理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件，结转下年度继续办理</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件。</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3.政府信息公开收费情况</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年我分局依申请提供政府信息共收取检索、复印等成本费用共计0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4.转办信息公开件办理情况 </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年我分局共办理各类转办依申请信息公开</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件，其中区政务服务局转办2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件、市政府转办6件、市规自委转办</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件。</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pStyle w:val="2"/>
        <w:rPr>
          <w:rFonts w:hint="eastAsia"/>
        </w:rPr>
      </w:pPr>
    </w:p>
    <w:tbl>
      <w:tblPr>
        <w:tblStyle w:val="6"/>
        <w:tblpPr w:leftFromText="180" w:rightFromText="180" w:vertAnchor="text" w:horzAnchor="page" w:tblpXSpec="center" w:tblpY="289"/>
        <w:tblOverlap w:val="never"/>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0"/>
        </w:numPr>
        <w:spacing w:line="560" w:lineRule="exact"/>
        <w:ind w:left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jc w:val="cente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jc w:val="cente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jc w:val="cente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jc w:val="cente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297</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center" w:pos="347"/>
                <w:tab w:val="left" w:pos="541"/>
              </w:tabs>
              <w:spacing w:before="0" w:beforeAutospacing="0" w:after="0" w:afterAutospacing="0"/>
              <w:ind w:left="0" w:right="0"/>
              <w:jc w:val="left"/>
              <w:rPr>
                <w:rFonts w:hint="default"/>
                <w:lang w:val="en-US"/>
              </w:rPr>
            </w:pPr>
            <w:r>
              <w:rPr>
                <w:rFonts w:hint="eastAsia" w:cs="Calibri"/>
                <w:kern w:val="0"/>
                <w:sz w:val="20"/>
                <w:szCs w:val="20"/>
                <w:lang w:val="en-US" w:eastAsia="zh-CN" w:bidi="ar"/>
              </w:rPr>
              <w:tab/>
            </w:r>
            <w:r>
              <w:rPr>
                <w:rFonts w:hint="eastAsia" w:cs="Calibri"/>
                <w:kern w:val="0"/>
                <w:sz w:val="20"/>
                <w:szCs w:val="20"/>
                <w:lang w:val="en-US" w:eastAsia="zh-CN" w:bidi="ar"/>
              </w:rPr>
              <w:t>46</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4</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347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33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223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27</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3</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253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86</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14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0"/>
                <w:szCs w:val="20"/>
                <w:lang w:val="en-US" w:eastAsia="zh-CN" w:bidi="ar"/>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jc w:val="cente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lang w:val="en-US"/>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lang w:val="en-US"/>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lang w:val="en-US"/>
              </w:rPr>
            </w:pPr>
            <w:r>
              <w:rPr>
                <w:rFonts w:hint="eastAsia" w:cs="Calibri"/>
                <w:kern w:val="0"/>
                <w:sz w:val="20"/>
                <w:szCs w:val="20"/>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cente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lang w:val="en-US"/>
              </w:rPr>
            </w:pPr>
            <w:r>
              <w:rPr>
                <w:rFonts w:hint="eastAsia" w:cs="Calibri"/>
                <w:kern w:val="0"/>
                <w:sz w:val="20"/>
                <w:szCs w:val="20"/>
                <w:lang w:val="en-US" w:eastAsia="zh-CN" w:bidi="ar"/>
              </w:rPr>
              <w:t>320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lang w:val="en-US"/>
              </w:rPr>
            </w:pPr>
            <w:r>
              <w:rPr>
                <w:rFonts w:hint="eastAsia" w:cs="Calibri"/>
                <w:kern w:val="0"/>
                <w:sz w:val="20"/>
                <w:szCs w:val="20"/>
                <w:lang w:val="en-US" w:eastAsia="zh-CN" w:bidi="ar"/>
              </w:rPr>
              <w:t>43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lang w:val="en-US"/>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lang w:val="en-US"/>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lang w:val="en-US"/>
              </w:rPr>
            </w:pPr>
            <w:r>
              <w:rPr>
                <w:rFonts w:hint="eastAsia" w:cs="Calibri"/>
                <w:kern w:val="0"/>
                <w:sz w:val="20"/>
                <w:szCs w:val="20"/>
                <w:lang w:val="en-US" w:eastAsia="zh-CN" w:bidi="ar"/>
              </w:rPr>
              <w:t>3</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lang w:val="en-US" w:eastAsia="zh-CN"/>
              </w:rPr>
            </w:pPr>
            <w:r>
              <w:rPr>
                <w:rFonts w:hint="eastAsia" w:cs="Calibri"/>
                <w:lang w:val="en-US" w:eastAsia="zh-CN"/>
              </w:rPr>
              <w:t>366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default" w:ascii="Calibri" w:hAnsi="Calibri" w:eastAsia="宋体" w:cs="Calibri"/>
                <w:sz w:val="24"/>
                <w:szCs w:val="24"/>
                <w:lang w:val="en-US" w:eastAsia="zh-CN"/>
              </w:rPr>
            </w:pPr>
            <w:r>
              <w:rPr>
                <w:rFonts w:hint="eastAsia" w:cs="Calibri"/>
                <w:sz w:val="24"/>
                <w:szCs w:val="24"/>
                <w:lang w:val="en-US" w:eastAsia="zh-CN"/>
              </w:rPr>
              <w:t>10</w:t>
            </w:r>
          </w:p>
        </w:tc>
        <w:tc>
          <w:tcPr>
            <w:tcW w:w="688" w:type="dxa"/>
            <w:tcBorders>
              <w:top w:val="outset" w:color="auto" w:sz="6" w:space="0"/>
              <w:left w:val="nil"/>
              <w:bottom w:val="outset" w:color="auto" w:sz="6" w:space="0"/>
              <w:right w:val="outset" w:color="auto" w:sz="6" w:space="0"/>
            </w:tcBorders>
            <w:vAlign w:val="center"/>
          </w:tcPr>
          <w:p>
            <w:pPr>
              <w:jc w:val="center"/>
              <w:rPr>
                <w:rFonts w:hint="default" w:ascii="Calibri" w:hAnsi="Calibri" w:eastAsia="宋体" w:cs="Calibri"/>
                <w:sz w:val="24"/>
                <w:szCs w:val="24"/>
                <w:lang w:val="en-US" w:eastAsia="zh-CN"/>
              </w:rPr>
            </w:pPr>
            <w:r>
              <w:rPr>
                <w:rFonts w:hint="eastAsia" w:cs="Calibri"/>
                <w:sz w:val="24"/>
                <w:szCs w:val="24"/>
                <w:lang w:val="en-US" w:eastAsia="zh-CN"/>
              </w:rPr>
              <w:t>5</w:t>
            </w:r>
          </w:p>
        </w:tc>
        <w:tc>
          <w:tcPr>
            <w:tcW w:w="688" w:type="dxa"/>
            <w:tcBorders>
              <w:top w:val="outset" w:color="auto" w:sz="6" w:space="0"/>
              <w:left w:val="nil"/>
              <w:bottom w:val="outset" w:color="auto" w:sz="6" w:space="0"/>
              <w:right w:val="outset" w:color="auto" w:sz="6" w:space="0"/>
            </w:tcBorders>
            <w:vAlign w:val="center"/>
          </w:tcPr>
          <w:p>
            <w:pPr>
              <w:jc w:val="center"/>
              <w:rPr>
                <w:rFonts w:hint="default" w:ascii="Calibri" w:hAnsi="Calibri" w:eastAsia="宋体" w:cs="Calibri"/>
                <w:sz w:val="24"/>
                <w:szCs w:val="24"/>
                <w:lang w:val="en-US" w:eastAsia="zh-CN"/>
              </w:rPr>
            </w:pPr>
            <w:r>
              <w:rPr>
                <w:rFonts w:hint="default" w:ascii="Calibri" w:hAnsi="Calibri" w:cs="Calibri"/>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default" w:ascii="Calibri" w:hAnsi="Calibri" w:eastAsia="宋体" w:cs="Calibri"/>
                <w:sz w:val="24"/>
                <w:szCs w:val="24"/>
                <w:lang w:val="en-US" w:eastAsia="zh-CN"/>
              </w:rPr>
            </w:pPr>
            <w:r>
              <w:rPr>
                <w:rFonts w:hint="default" w:ascii="Calibri" w:hAnsi="Calibri" w:cs="Calibri"/>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default" w:ascii="Calibri" w:hAnsi="Calibri" w:eastAsia="宋体" w:cs="Calibri"/>
                <w:sz w:val="24"/>
                <w:szCs w:val="24"/>
                <w:lang w:val="en-US" w:eastAsia="zh-CN"/>
              </w:rPr>
            </w:pPr>
            <w:r>
              <w:rPr>
                <w:rFonts w:hint="default" w:ascii="Calibri" w:hAnsi="Calibri" w:cs="Calibri"/>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default" w:ascii="Calibri" w:hAnsi="Calibri" w:eastAsia="宋体" w:cs="Calibri"/>
                <w:sz w:val="24"/>
                <w:szCs w:val="24"/>
                <w:lang w:val="en-US" w:eastAsia="zh-CN"/>
              </w:rPr>
            </w:pPr>
            <w:r>
              <w:rPr>
                <w:rFonts w:hint="eastAsia" w:cs="Calibri"/>
                <w:sz w:val="24"/>
                <w:szCs w:val="24"/>
                <w:lang w:val="en-US" w:eastAsia="zh-CN"/>
              </w:rPr>
              <w:t>1</w:t>
            </w:r>
          </w:p>
        </w:tc>
        <w:tc>
          <w:tcPr>
            <w:tcW w:w="689" w:type="dxa"/>
            <w:tcBorders>
              <w:top w:val="outset" w:color="auto" w:sz="6" w:space="0"/>
              <w:left w:val="nil"/>
              <w:bottom w:val="outset" w:color="auto" w:sz="6" w:space="0"/>
              <w:right w:val="outset" w:color="auto" w:sz="6" w:space="0"/>
            </w:tcBorders>
            <w:vAlign w:val="center"/>
          </w:tcPr>
          <w:p>
            <w:pPr>
              <w:jc w:val="center"/>
              <w:rPr>
                <w:rFonts w:hint="default" w:ascii="Calibri" w:hAnsi="Calibri" w:eastAsia="宋体" w:cs="Calibri"/>
                <w:sz w:val="24"/>
                <w:szCs w:val="24"/>
                <w:lang w:val="en-US" w:eastAsia="zh-CN"/>
              </w:rPr>
            </w:pPr>
            <w:r>
              <w:rPr>
                <w:rFonts w:hint="eastAsia" w:cs="Calibri"/>
                <w:sz w:val="24"/>
                <w:szCs w:val="24"/>
                <w:lang w:val="en-US" w:eastAsia="zh-CN"/>
              </w:rPr>
              <w:t>17</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4</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4</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2</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default" w:ascii="宋体" w:eastAsia="宋体"/>
                <w:sz w:val="24"/>
                <w:szCs w:val="24"/>
                <w:lang w:val="en-US" w:eastAsia="zh-CN"/>
              </w:rPr>
            </w:pPr>
            <w:r>
              <w:rPr>
                <w:rFonts w:hint="eastAsia" w:ascii="宋体"/>
                <w:sz w:val="24"/>
                <w:szCs w:val="24"/>
                <w:lang w:val="en-US" w:eastAsia="zh-CN"/>
              </w:rPr>
              <w:t>2</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2022年政府信息公开工作还存在一定不足：一是公开不够。政府信息公开工作机制方面不够完善，发布信息量较少，依法主动公开意识有待增强。对政府信息公开工作的重要性认识依然不足，影响到主动公开工作的落实。二是互动交流不够。主要表现在门户网站开展网上调查、民意征集不够，网上平台互动使用不够充分。三是普及不够，政府信息公开面对社会宣传力度不够。</w:t>
      </w:r>
    </w:p>
    <w:p>
      <w:pPr>
        <w:pStyle w:val="2"/>
        <w:ind w:firstLine="672" w:firstLineChars="200"/>
        <w:rPr>
          <w:rFonts w:hint="eastAsia"/>
          <w:lang w:val="en-US" w:eastAsia="zh-CN"/>
        </w:rPr>
      </w:pPr>
      <w:r>
        <w:rPr>
          <w:rFonts w:hint="eastAsia" w:ascii="仿宋_GB2312" w:hAnsi="宋体" w:eastAsia="仿宋_GB2312" w:cs="宋体"/>
          <w:spacing w:val="8"/>
          <w:kern w:val="0"/>
          <w:sz w:val="32"/>
          <w:szCs w:val="32"/>
          <w:lang w:val="en-US" w:eastAsia="zh-CN"/>
        </w:rPr>
        <w:t>改进措施：一是提升主动公开意识和能力加强对分局干部在网站内容编辑及日常维护等方面进行培训，重视干部职工理论知识学习和业务技能培训，提升专业素养。严格执行相关政策文件规定的主动公开范围和事项，进一步拓展和深化政府信息公开的内容和范围，努力提高信息公开的质量，进一步适应新常态、新思路，不断提升分局政府信息公开工作整体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仿宋_GB2312" w:cs="宋体"/>
          <w:spacing w:val="8"/>
          <w:kern w:val="0"/>
          <w:sz w:val="32"/>
          <w:szCs w:val="32"/>
          <w:lang w:val="en-US"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rPr>
        <w:t>北京市规划和自然资源委员会大兴分局，门户网站网址为</w:t>
      </w:r>
      <w:r>
        <w:rPr>
          <w:rFonts w:hint="eastAsia" w:ascii="仿宋_GB2312" w:hAnsi="宋体" w:eastAsia="仿宋_GB2312" w:cs="宋体"/>
          <w:spacing w:val="8"/>
          <w:kern w:val="0"/>
          <w:sz w:val="32"/>
          <w:szCs w:val="32"/>
          <w:lang w:val="en-US" w:eastAsia="zh-CN"/>
        </w:rPr>
        <w:fldChar w:fldCharType="begin"/>
      </w:r>
      <w:r>
        <w:rPr>
          <w:rFonts w:hint="eastAsia" w:ascii="仿宋_GB2312" w:hAnsi="宋体" w:eastAsia="仿宋_GB2312" w:cs="宋体"/>
          <w:spacing w:val="8"/>
          <w:kern w:val="0"/>
          <w:sz w:val="32"/>
          <w:szCs w:val="32"/>
          <w:lang w:val="en-US" w:eastAsia="zh-CN"/>
        </w:rPr>
        <w:instrText xml:space="preserve"> HYPERLINK "http://ghzrzyw.beijing.gov.cn" </w:instrText>
      </w:r>
      <w:r>
        <w:rPr>
          <w:rFonts w:hint="eastAsia" w:ascii="仿宋_GB2312" w:hAnsi="宋体" w:eastAsia="仿宋_GB2312" w:cs="宋体"/>
          <w:spacing w:val="8"/>
          <w:kern w:val="0"/>
          <w:sz w:val="32"/>
          <w:szCs w:val="32"/>
          <w:lang w:val="en-US" w:eastAsia="zh-CN"/>
        </w:rPr>
        <w:fldChar w:fldCharType="separate"/>
      </w:r>
      <w:r>
        <w:rPr>
          <w:rStyle w:val="8"/>
          <w:rFonts w:hint="eastAsia" w:ascii="仿宋_GB2312" w:hAnsi="宋体" w:eastAsia="仿宋_GB2312" w:cs="宋体"/>
          <w:spacing w:val="8"/>
          <w:kern w:val="0"/>
          <w:sz w:val="32"/>
          <w:szCs w:val="32"/>
          <w:lang w:val="en-US" w:eastAsia="zh-CN"/>
        </w:rPr>
        <w:t>http://ghzrzyw.beijing.gov.cn</w:t>
      </w:r>
      <w:r>
        <w:rPr>
          <w:rFonts w:hint="eastAsia" w:ascii="仿宋_GB2312" w:hAnsi="宋体" w:eastAsia="仿宋_GB2312" w:cs="宋体"/>
          <w:spacing w:val="8"/>
          <w:kern w:val="0"/>
          <w:sz w:val="32"/>
          <w:szCs w:val="32"/>
          <w:lang w:val="en-US" w:eastAsia="zh-CN"/>
        </w:rPr>
        <w:fldChar w:fldCharType="end"/>
      </w:r>
      <w:r>
        <w:rPr>
          <w:rFonts w:hint="eastAsia" w:ascii="仿宋_GB2312" w:hAnsi="宋体" w:eastAsia="仿宋_GB2312" w:cs="宋体"/>
          <w:spacing w:val="8"/>
          <w:kern w:val="0"/>
          <w:sz w:val="32"/>
          <w:szCs w:val="32"/>
          <w:lang w:val="en-US" w:eastAsia="zh-CN"/>
        </w:rPr>
        <w:t>，如需了解更多政府信息请登录查询。</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sectPr>
      <w:footerReference r:id="rId3" w:type="default"/>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542F2CB-270A-441A-8B50-9723CD01F5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4E0817B-65E3-4A55-9E87-EE703A864F16}"/>
  </w:font>
  <w:font w:name="方正小标宋简体">
    <w:panose1 w:val="02000000000000000000"/>
    <w:charset w:val="86"/>
    <w:family w:val="auto"/>
    <w:pitch w:val="default"/>
    <w:sig w:usb0="00000001" w:usb1="08000000" w:usb2="00000000" w:usb3="00000000" w:csb0="00040000" w:csb1="00000000"/>
    <w:embedRegular r:id="rId3" w:fontKey="{F063E87F-06A0-4B7D-A3E7-6750FB1F4799}"/>
  </w:font>
  <w:font w:name="仿宋_GB2312">
    <w:panose1 w:val="02010609030101010101"/>
    <w:charset w:val="86"/>
    <w:family w:val="modern"/>
    <w:pitch w:val="default"/>
    <w:sig w:usb0="00000001" w:usb1="080E0000" w:usb2="00000000" w:usb3="00000000" w:csb0="00040000" w:csb1="00000000"/>
    <w:embedRegular r:id="rId4" w:fontKey="{37D57461-D729-4C69-9CE9-027CE177F021}"/>
  </w:font>
  <w:font w:name="微软雅黑">
    <w:panose1 w:val="020B0503020204020204"/>
    <w:charset w:val="86"/>
    <w:family w:val="swiss"/>
    <w:pitch w:val="default"/>
    <w:sig w:usb0="80000287" w:usb1="280F3C52" w:usb2="00000016" w:usb3="00000000" w:csb0="0004001F" w:csb1="00000000"/>
    <w:embedRegular r:id="rId5" w:fontKey="{7F742E86-1E61-45AD-88AC-E78624BA0B3A}"/>
  </w:font>
  <w:font w:name="楷体">
    <w:panose1 w:val="02010609060101010101"/>
    <w:charset w:val="86"/>
    <w:family w:val="modern"/>
    <w:pitch w:val="default"/>
    <w:sig w:usb0="800002BF" w:usb1="38CF7CFA" w:usb2="00000016" w:usb3="00000000" w:csb0="00040001" w:csb1="00000000"/>
    <w:embedRegular r:id="rId6" w:fontKey="{848D4011-8A7D-4396-8B14-BF7CBA7AD5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ZjYxNDc1NzMyMGIxNWM5MDFlMDZkZmM0YWNkYjMifQ=="/>
  </w:docVars>
  <w:rsids>
    <w:rsidRoot w:val="00000000"/>
    <w:rsid w:val="00856419"/>
    <w:rsid w:val="02B020BD"/>
    <w:rsid w:val="04C02C0F"/>
    <w:rsid w:val="08022217"/>
    <w:rsid w:val="088A441F"/>
    <w:rsid w:val="0A7A741F"/>
    <w:rsid w:val="0DC04B2C"/>
    <w:rsid w:val="0EE235CF"/>
    <w:rsid w:val="10056068"/>
    <w:rsid w:val="14CA25C1"/>
    <w:rsid w:val="182E60D6"/>
    <w:rsid w:val="1AFE1FD3"/>
    <w:rsid w:val="1C9779D4"/>
    <w:rsid w:val="2193526F"/>
    <w:rsid w:val="21CA58DF"/>
    <w:rsid w:val="2372445B"/>
    <w:rsid w:val="24686614"/>
    <w:rsid w:val="25EE65CD"/>
    <w:rsid w:val="28407EC4"/>
    <w:rsid w:val="29764416"/>
    <w:rsid w:val="2B981FC8"/>
    <w:rsid w:val="2BAB6B35"/>
    <w:rsid w:val="323F4C46"/>
    <w:rsid w:val="3FC71A5F"/>
    <w:rsid w:val="40AE654B"/>
    <w:rsid w:val="42DA0AAA"/>
    <w:rsid w:val="4AB77E7B"/>
    <w:rsid w:val="4B29631D"/>
    <w:rsid w:val="4D8408B0"/>
    <w:rsid w:val="51040CDC"/>
    <w:rsid w:val="52CC7767"/>
    <w:rsid w:val="544E2BF4"/>
    <w:rsid w:val="56C74FBE"/>
    <w:rsid w:val="573F3AED"/>
    <w:rsid w:val="57B90A35"/>
    <w:rsid w:val="58557843"/>
    <w:rsid w:val="5DB62775"/>
    <w:rsid w:val="5F061441"/>
    <w:rsid w:val="652B5679"/>
    <w:rsid w:val="6A863A16"/>
    <w:rsid w:val="6B8C2E25"/>
    <w:rsid w:val="70CD2142"/>
    <w:rsid w:val="735110F4"/>
    <w:rsid w:val="746461D2"/>
    <w:rsid w:val="767F2DF0"/>
    <w:rsid w:val="77974400"/>
    <w:rsid w:val="79885A75"/>
    <w:rsid w:val="79CD038B"/>
    <w:rsid w:val="7B1E224A"/>
    <w:rsid w:val="7D15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1861</Words>
  <Characters>1998</Characters>
  <Lines>0</Lines>
  <Paragraphs>0</Paragraphs>
  <TotalTime>23</TotalTime>
  <ScaleCrop>false</ScaleCrop>
  <LinksUpToDate>false</LinksUpToDate>
  <CharactersWithSpaces>2010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2021-12-29T02:32:00Z</dcterms:created>
  <dc:creator>Administrator</dc:creator>
  <cp:lastModifiedBy>一页漠寒</cp:lastModifiedBy>
  <dcterms:modified xsi:type="dcterms:W3CDTF">2023-05-31T09:20:14Z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23BF56C0DA924AD5B4E77FBFDCE4D3C2_12</vt:lpwstr>
  </property>
</Properties>
</file>