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北京市规划和国土资源管理委员会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东城分局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政府信息公开工作年度报告</w:t>
      </w:r>
    </w:p>
    <w:p>
      <w:pPr>
        <w:widowControl/>
        <w:jc w:val="center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(2019年3月)</w:t>
      </w:r>
    </w:p>
    <w:p>
      <w:pPr>
        <w:widowControl/>
        <w:jc w:val="left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引言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根据《中华人民共和国政府信息公开条例》（以下简称《条例》）和《北京市政府信息公开规定》（以下简称《规定》）要求，我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编制了201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年政府信息公开工作年度报告。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报告全文包括概述，主动公开、依申请公开情况，行政诉讼、行政复议和投诉情况，以及存在不足和改进措施等。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本报告所列数据的统计期限自201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年1月1日起，至201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年12月31日止。本报告的电子版在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北京市规划和自然资源委员会</w:t>
      </w:r>
      <w:r>
        <w:rPr>
          <w:rFonts w:hint="eastAsia" w:ascii="仿宋" w:hAnsi="仿宋" w:eastAsia="仿宋" w:cs="宋体"/>
          <w:kern w:val="0"/>
          <w:sz w:val="32"/>
          <w:szCs w:val="32"/>
        </w:rPr>
        <w:t>网站www.g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hgt</w:t>
      </w:r>
      <w:r>
        <w:rPr>
          <w:rFonts w:hint="eastAsia" w:ascii="仿宋" w:hAnsi="仿宋" w:eastAsia="仿宋" w:cs="宋体"/>
          <w:kern w:val="0"/>
          <w:sz w:val="32"/>
          <w:szCs w:val="32"/>
        </w:rPr>
        <w:t>w.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beijing.</w:t>
      </w:r>
      <w:r>
        <w:rPr>
          <w:rFonts w:hint="eastAsia" w:ascii="仿宋" w:hAnsi="仿宋" w:eastAsia="仿宋" w:cs="宋体"/>
          <w:kern w:val="0"/>
          <w:sz w:val="32"/>
          <w:szCs w:val="32"/>
        </w:rPr>
        <w:t>gov.cn政府信息公开专栏上可下载。如对本报告有任何疑问，请联系北京市规划和国土资源管理委员会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东城分局法制科（</w:t>
      </w:r>
      <w:r>
        <w:rPr>
          <w:rFonts w:hint="eastAsia" w:ascii="仿宋" w:hAnsi="仿宋" w:eastAsia="仿宋" w:cs="宋体"/>
          <w:kern w:val="0"/>
          <w:sz w:val="32"/>
          <w:szCs w:val="32"/>
        </w:rPr>
        <w:t>信访与信息公开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科）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；地址：北京市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东</w:t>
      </w:r>
      <w:r>
        <w:rPr>
          <w:rFonts w:hint="eastAsia" w:ascii="仿宋" w:hAnsi="仿宋" w:eastAsia="仿宋" w:cs="宋体"/>
          <w:kern w:val="0"/>
          <w:sz w:val="32"/>
          <w:szCs w:val="32"/>
        </w:rPr>
        <w:t>城区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和平里五区甲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32"/>
          <w:szCs w:val="32"/>
        </w:rPr>
        <w:t>号；邮政编码：1000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</w:rPr>
        <w:t>；联系电话：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84079830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0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一、概述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年，我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根据《条例》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宋体"/>
          <w:kern w:val="0"/>
          <w:sz w:val="32"/>
          <w:szCs w:val="32"/>
        </w:rPr>
        <w:t>《规定》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kern w:val="0"/>
          <w:sz w:val="32"/>
          <w:szCs w:val="32"/>
        </w:rPr>
        <w:t>相关工作要求，充分利用网站，主动公开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东城区</w:t>
      </w:r>
      <w:r>
        <w:rPr>
          <w:rFonts w:hint="eastAsia" w:ascii="仿宋" w:hAnsi="仿宋" w:eastAsia="仿宋" w:cs="宋体"/>
          <w:kern w:val="0"/>
          <w:sz w:val="32"/>
          <w:szCs w:val="32"/>
        </w:rPr>
        <w:t>城市规划和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东城区</w:t>
      </w:r>
      <w:r>
        <w:rPr>
          <w:rFonts w:hint="eastAsia" w:ascii="仿宋" w:hAnsi="仿宋" w:eastAsia="仿宋" w:cs="宋体"/>
          <w:kern w:val="0"/>
          <w:sz w:val="32"/>
          <w:szCs w:val="32"/>
        </w:rPr>
        <w:t>国土资源管理信息。认真做好依申请公开工作，注重做好业务培训，不断提高政府信息公开工作水平。</w:t>
      </w:r>
    </w:p>
    <w:p>
      <w:pPr>
        <w:widowControl/>
        <w:spacing w:line="50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二、政府信息主动公开情况</w:t>
      </w:r>
    </w:p>
    <w:p>
      <w:pPr>
        <w:widowControl/>
        <w:spacing w:line="500" w:lineRule="exact"/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（一）公开情况</w:t>
      </w:r>
    </w:p>
    <w:p>
      <w:pPr>
        <w:widowControl/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年，我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通过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北京市规划和自然资源委员会网站和</w:t>
      </w:r>
      <w:r>
        <w:rPr>
          <w:rFonts w:hint="eastAsia" w:ascii="仿宋" w:hAnsi="仿宋" w:eastAsia="仿宋" w:cs="宋体"/>
          <w:kern w:val="0"/>
          <w:sz w:val="32"/>
          <w:szCs w:val="32"/>
        </w:rPr>
        <w:t>政府信息公开专栏主动公</w:t>
      </w:r>
      <w:r>
        <w:rPr>
          <w:rFonts w:hint="eastAsia" w:eastAsia="仿宋"/>
          <w:sz w:val="32"/>
          <w:szCs w:val="32"/>
        </w:rPr>
        <w:t>开信息</w:t>
      </w:r>
      <w:r>
        <w:rPr>
          <w:rFonts w:hint="eastAsia" w:eastAsia="仿宋"/>
          <w:sz w:val="32"/>
          <w:szCs w:val="32"/>
          <w:lang w:val="en-US" w:eastAsia="zh-CN"/>
        </w:rPr>
        <w:t>1334</w:t>
      </w:r>
      <w:r>
        <w:rPr>
          <w:rFonts w:hint="eastAsia" w:eastAsia="仿宋"/>
          <w:sz w:val="32"/>
          <w:szCs w:val="32"/>
        </w:rPr>
        <w:t>条（含原</w:t>
      </w:r>
      <w:r>
        <w:rPr>
          <w:rFonts w:hint="eastAsia" w:eastAsia="仿宋"/>
          <w:sz w:val="32"/>
          <w:szCs w:val="32"/>
          <w:lang w:eastAsia="zh-CN"/>
        </w:rPr>
        <w:t>东城</w:t>
      </w:r>
      <w:r>
        <w:rPr>
          <w:rFonts w:hint="eastAsia" w:eastAsia="仿宋"/>
          <w:sz w:val="32"/>
          <w:szCs w:val="32"/>
        </w:rPr>
        <w:t>规划</w:t>
      </w:r>
      <w:r>
        <w:rPr>
          <w:rFonts w:hint="eastAsia" w:eastAsia="仿宋"/>
          <w:sz w:val="32"/>
          <w:szCs w:val="32"/>
          <w:lang w:eastAsia="zh-CN"/>
        </w:rPr>
        <w:t>分局</w:t>
      </w:r>
      <w:r>
        <w:rPr>
          <w:rFonts w:hint="eastAsia" w:eastAsia="仿宋"/>
          <w:sz w:val="32"/>
          <w:szCs w:val="32"/>
        </w:rPr>
        <w:t>、原</w:t>
      </w:r>
      <w:r>
        <w:rPr>
          <w:rFonts w:hint="eastAsia" w:eastAsia="仿宋"/>
          <w:sz w:val="32"/>
          <w:szCs w:val="32"/>
          <w:lang w:eastAsia="zh-CN"/>
        </w:rPr>
        <w:t>东城</w:t>
      </w:r>
      <w:r>
        <w:rPr>
          <w:rFonts w:hint="eastAsia" w:eastAsia="仿宋"/>
          <w:sz w:val="32"/>
          <w:szCs w:val="32"/>
        </w:rPr>
        <w:t>国土</w:t>
      </w:r>
      <w:r>
        <w:rPr>
          <w:rFonts w:hint="eastAsia" w:eastAsia="仿宋"/>
          <w:sz w:val="32"/>
          <w:szCs w:val="32"/>
          <w:lang w:eastAsia="zh-CN"/>
        </w:rPr>
        <w:t>分</w:t>
      </w:r>
      <w:r>
        <w:rPr>
          <w:rFonts w:hint="eastAsia" w:eastAsia="仿宋"/>
          <w:sz w:val="32"/>
          <w:szCs w:val="32"/>
        </w:rPr>
        <w:t>局）。</w:t>
      </w:r>
    </w:p>
    <w:p>
      <w:pPr>
        <w:widowControl/>
        <w:spacing w:line="500" w:lineRule="exact"/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（二）公开渠道及重点内容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年，我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通过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宋体"/>
          <w:kern w:val="0"/>
          <w:sz w:val="32"/>
          <w:szCs w:val="32"/>
        </w:rPr>
        <w:t>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宋体"/>
          <w:kern w:val="0"/>
          <w:sz w:val="32"/>
          <w:szCs w:val="32"/>
        </w:rPr>
        <w:t>和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政府信息公开专栏，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优化栏目结构，扩大主动公开的内容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及时发布更新信息。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两个单位合并后，重新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修订了《政府信息公开指南》，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及时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在分局门户网站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、政府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信息公开专栏更新了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办公场所、地址、咨询电话等信息，方便申请人办理有关事项。</w:t>
      </w:r>
    </w:p>
    <w:p>
      <w:pPr>
        <w:widowControl/>
        <w:spacing w:line="500" w:lineRule="exact"/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（三）咨询情况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2018年，共接受公民、法人及其他组织政府信息公开方面的咨询2493人次。其中，现场咨询1450人次，占总数的58.2%；电话咨询1043人次，占总数的41.8%。</w:t>
      </w:r>
    </w:p>
    <w:p>
      <w:pPr>
        <w:widowControl/>
        <w:spacing w:line="50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三、政府信息依申请公开情况</w:t>
      </w:r>
    </w:p>
    <w:p>
      <w:pPr>
        <w:widowControl/>
        <w:spacing w:line="500" w:lineRule="exact"/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（一）申请情况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我分局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共收到信息公开申请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宋体"/>
          <w:kern w:val="0"/>
          <w:sz w:val="32"/>
          <w:szCs w:val="32"/>
        </w:rPr>
        <w:t>件。其中，当面申请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238</w:t>
      </w:r>
      <w:r>
        <w:rPr>
          <w:rFonts w:hint="eastAsia" w:ascii="仿宋" w:hAnsi="仿宋" w:eastAsia="仿宋" w:cs="宋体"/>
          <w:kern w:val="0"/>
          <w:sz w:val="32"/>
          <w:szCs w:val="32"/>
        </w:rPr>
        <w:t>件，以信函形式申请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宋体"/>
          <w:kern w:val="0"/>
          <w:sz w:val="32"/>
          <w:szCs w:val="32"/>
        </w:rPr>
        <w:t>件。</w:t>
      </w:r>
    </w:p>
    <w:p>
      <w:pPr>
        <w:widowControl/>
        <w:spacing w:line="500" w:lineRule="exact"/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（二）答复情况</w:t>
      </w:r>
    </w:p>
    <w:p>
      <w:pPr>
        <w:widowControl/>
        <w:spacing w:line="5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共制作答复信息公开告知书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296</w:t>
      </w:r>
      <w:r>
        <w:rPr>
          <w:rFonts w:hint="eastAsia" w:ascii="仿宋" w:hAnsi="仿宋" w:eastAsia="仿宋" w:cs="宋体"/>
          <w:kern w:val="0"/>
          <w:sz w:val="32"/>
          <w:szCs w:val="32"/>
        </w:rPr>
        <w:t>件。其中，“同意公开”的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134</w:t>
      </w:r>
      <w:r>
        <w:rPr>
          <w:rFonts w:hint="eastAsia" w:ascii="仿宋" w:hAnsi="仿宋" w:eastAsia="仿宋" w:cs="宋体"/>
          <w:kern w:val="0"/>
          <w:sz w:val="32"/>
          <w:szCs w:val="32"/>
        </w:rPr>
        <w:t>件，占总数的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%，“信息不存在”的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宋体"/>
          <w:kern w:val="0"/>
          <w:sz w:val="32"/>
          <w:szCs w:val="32"/>
        </w:rPr>
        <w:t>件，占总数的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%，其他类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 w:cs="宋体"/>
          <w:kern w:val="0"/>
          <w:sz w:val="32"/>
          <w:szCs w:val="32"/>
        </w:rPr>
        <w:t>件，占总数的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宋体"/>
          <w:kern w:val="0"/>
          <w:sz w:val="32"/>
          <w:szCs w:val="32"/>
        </w:rPr>
        <w:t>%。其他类包括“已主动公开”的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件，“非本机关掌握”的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kern w:val="0"/>
          <w:sz w:val="32"/>
          <w:szCs w:val="32"/>
        </w:rPr>
        <w:t>件“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不属于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公开”的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宋体"/>
          <w:kern w:val="0"/>
          <w:sz w:val="32"/>
          <w:szCs w:val="32"/>
        </w:rPr>
        <w:t>件。</w:t>
      </w:r>
    </w:p>
    <w:p>
      <w:pPr>
        <w:widowControl/>
        <w:spacing w:line="50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、行政诉讼、行政复议、投诉等情况</w:t>
      </w:r>
    </w:p>
    <w:p>
      <w:pPr>
        <w:widowControl/>
        <w:spacing w:line="50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年,我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因政府信息公开行为引发行政诉讼案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件；因政府信息公开行为引发行政复议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件。全年没有出现信息公开被投诉。</w:t>
      </w:r>
    </w:p>
    <w:p>
      <w:pPr>
        <w:widowControl/>
        <w:spacing w:line="50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、存在不足和改进措施</w:t>
      </w:r>
    </w:p>
    <w:p>
      <w:pPr>
        <w:widowControl/>
        <w:spacing w:line="50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总结分析我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去年工作情况，主要存在以下不足：一是主动公开内容还需全面，公开意识及内容需要进一步深化。二是依申请公开答复内容还需进一步严谨、规范。三是在信息公开答复告知的送达环节上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应更加</w:t>
      </w:r>
      <w:r>
        <w:rPr>
          <w:rFonts w:hint="eastAsia" w:ascii="仿宋" w:hAnsi="仿宋" w:eastAsia="仿宋" w:cs="宋体"/>
          <w:kern w:val="0"/>
          <w:sz w:val="32"/>
          <w:szCs w:val="32"/>
        </w:rPr>
        <w:t>及时。</w:t>
      </w:r>
    </w:p>
    <w:p>
      <w:pPr>
        <w:widowControl/>
        <w:spacing w:line="500" w:lineRule="exact"/>
        <w:ind w:left="0" w:leftChars="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针对工作中存在的问题，在新的一年里，我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将重点做好以下工作：一是坚持“以公开为原则，不公开为例外”的原则，</w:t>
      </w:r>
      <w:r>
        <w:rPr>
          <w:rFonts w:hint="eastAsia" w:eastAsia="仿宋_GB2312"/>
          <w:sz w:val="32"/>
          <w:szCs w:val="32"/>
        </w:rPr>
        <w:t>突出工作重点，进一步提高主动公开实效性。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二是</w:t>
      </w:r>
      <w:r>
        <w:rPr>
          <w:rFonts w:hint="eastAsia" w:eastAsia="仿宋_GB2312"/>
          <w:sz w:val="32"/>
          <w:szCs w:val="32"/>
        </w:rPr>
        <w:t>规范办理程序，</w:t>
      </w:r>
      <w:r>
        <w:rPr>
          <w:rFonts w:hint="eastAsia" w:eastAsia="仿宋_GB2312"/>
          <w:sz w:val="32"/>
          <w:szCs w:val="32"/>
          <w:lang w:eastAsia="zh-CN"/>
        </w:rPr>
        <w:t>确保</w:t>
      </w:r>
      <w:r>
        <w:rPr>
          <w:rFonts w:hint="eastAsia" w:eastAsia="仿宋_GB2312"/>
          <w:sz w:val="32"/>
          <w:szCs w:val="32"/>
        </w:rPr>
        <w:t>依申请公开的客观准确性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有效降低行政复议和行政诉讼率。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三是加强政府信息公开内容、程序的培训，提高每一位工作人员的思想认识和工作技能，不断增强政府信息公开工作的能力。</w:t>
      </w:r>
    </w:p>
    <w:p>
      <w:pPr>
        <w:widowControl/>
        <w:spacing w:line="50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32"/>
        </w:rPr>
        <w:t>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北京市规划和国土资源管理委员会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东城分局</w:t>
      </w:r>
    </w:p>
    <w:p>
      <w:pPr>
        <w:widowControl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2019年3月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6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2" o:spid="_x0000_s1025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rPr>
                    <w:rFonts w:hint="eastAsia"/>
                    <w:lang w:eastAsia="zh-CN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51D13"/>
    <w:rsid w:val="000101B4"/>
    <w:rsid w:val="000279C9"/>
    <w:rsid w:val="00052654"/>
    <w:rsid w:val="00064803"/>
    <w:rsid w:val="00074244"/>
    <w:rsid w:val="001416DA"/>
    <w:rsid w:val="00177452"/>
    <w:rsid w:val="00184342"/>
    <w:rsid w:val="001A454C"/>
    <w:rsid w:val="00233918"/>
    <w:rsid w:val="00277F16"/>
    <w:rsid w:val="002A2A0F"/>
    <w:rsid w:val="002E5DD8"/>
    <w:rsid w:val="0033246D"/>
    <w:rsid w:val="00375186"/>
    <w:rsid w:val="00382E80"/>
    <w:rsid w:val="00395239"/>
    <w:rsid w:val="003D561B"/>
    <w:rsid w:val="00424D21"/>
    <w:rsid w:val="00432340"/>
    <w:rsid w:val="0046395A"/>
    <w:rsid w:val="004C5410"/>
    <w:rsid w:val="004D164F"/>
    <w:rsid w:val="0053295F"/>
    <w:rsid w:val="005626FF"/>
    <w:rsid w:val="0059277C"/>
    <w:rsid w:val="00674F94"/>
    <w:rsid w:val="00676045"/>
    <w:rsid w:val="00766605"/>
    <w:rsid w:val="00782191"/>
    <w:rsid w:val="0079663A"/>
    <w:rsid w:val="007A0E79"/>
    <w:rsid w:val="007D5B53"/>
    <w:rsid w:val="00870219"/>
    <w:rsid w:val="008B712B"/>
    <w:rsid w:val="008D1BFF"/>
    <w:rsid w:val="00902D21"/>
    <w:rsid w:val="009207A7"/>
    <w:rsid w:val="00967DD5"/>
    <w:rsid w:val="00983309"/>
    <w:rsid w:val="009931C0"/>
    <w:rsid w:val="009A6B64"/>
    <w:rsid w:val="009C750E"/>
    <w:rsid w:val="009E6E74"/>
    <w:rsid w:val="00A003E8"/>
    <w:rsid w:val="00A039C6"/>
    <w:rsid w:val="00A04DE5"/>
    <w:rsid w:val="00A33E8B"/>
    <w:rsid w:val="00A73254"/>
    <w:rsid w:val="00AA262C"/>
    <w:rsid w:val="00AB2B4E"/>
    <w:rsid w:val="00AC1A71"/>
    <w:rsid w:val="00AF00AB"/>
    <w:rsid w:val="00C52568"/>
    <w:rsid w:val="00C977A9"/>
    <w:rsid w:val="00CA2EA4"/>
    <w:rsid w:val="00CB612B"/>
    <w:rsid w:val="00D425D4"/>
    <w:rsid w:val="00D44BB3"/>
    <w:rsid w:val="00D455BD"/>
    <w:rsid w:val="00D51D13"/>
    <w:rsid w:val="00E32FE1"/>
    <w:rsid w:val="00E77B87"/>
    <w:rsid w:val="00E81969"/>
    <w:rsid w:val="00EF5291"/>
    <w:rsid w:val="00F23DC8"/>
    <w:rsid w:val="00F94CAA"/>
    <w:rsid w:val="00FD14DF"/>
    <w:rsid w:val="00FD42C0"/>
    <w:rsid w:val="00FF7A2F"/>
    <w:rsid w:val="03BD58AF"/>
    <w:rsid w:val="08926E25"/>
    <w:rsid w:val="0AFE373C"/>
    <w:rsid w:val="0B66333B"/>
    <w:rsid w:val="108B39B5"/>
    <w:rsid w:val="138A0E4D"/>
    <w:rsid w:val="15B13CA7"/>
    <w:rsid w:val="16757268"/>
    <w:rsid w:val="176D19FF"/>
    <w:rsid w:val="178E6D4B"/>
    <w:rsid w:val="17D426A8"/>
    <w:rsid w:val="19BE5ECC"/>
    <w:rsid w:val="19D40F01"/>
    <w:rsid w:val="1A82320B"/>
    <w:rsid w:val="1C1A58AA"/>
    <w:rsid w:val="22444146"/>
    <w:rsid w:val="2AD369D3"/>
    <w:rsid w:val="2DA30FC1"/>
    <w:rsid w:val="2FDF2898"/>
    <w:rsid w:val="315C5288"/>
    <w:rsid w:val="3224724F"/>
    <w:rsid w:val="34DC54B1"/>
    <w:rsid w:val="356B5DB2"/>
    <w:rsid w:val="378828AA"/>
    <w:rsid w:val="3D325373"/>
    <w:rsid w:val="3DEC38A8"/>
    <w:rsid w:val="3E5776D4"/>
    <w:rsid w:val="3FC41E29"/>
    <w:rsid w:val="4111449E"/>
    <w:rsid w:val="41F72149"/>
    <w:rsid w:val="44911A8D"/>
    <w:rsid w:val="46282E28"/>
    <w:rsid w:val="47C737CE"/>
    <w:rsid w:val="493914B1"/>
    <w:rsid w:val="4E137126"/>
    <w:rsid w:val="4FB07E4C"/>
    <w:rsid w:val="514327E1"/>
    <w:rsid w:val="525358DD"/>
    <w:rsid w:val="54FF3501"/>
    <w:rsid w:val="55FA4A1E"/>
    <w:rsid w:val="5604532D"/>
    <w:rsid w:val="56A62938"/>
    <w:rsid w:val="5CB57C8F"/>
    <w:rsid w:val="5D1645B0"/>
    <w:rsid w:val="5E972897"/>
    <w:rsid w:val="60093B2A"/>
    <w:rsid w:val="6ABA33D7"/>
    <w:rsid w:val="6BDD0B9B"/>
    <w:rsid w:val="6DD2313B"/>
    <w:rsid w:val="6E460EFB"/>
    <w:rsid w:val="6ED3075F"/>
    <w:rsid w:val="6FA66539"/>
    <w:rsid w:val="70006060"/>
    <w:rsid w:val="70562E59"/>
    <w:rsid w:val="74F841F7"/>
    <w:rsid w:val="75843DDB"/>
    <w:rsid w:val="76660140"/>
    <w:rsid w:val="7840676B"/>
    <w:rsid w:val="785446A3"/>
    <w:rsid w:val="7CAB4B18"/>
    <w:rsid w:val="7E6A37F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0"/>
    <w:qFormat/>
    <w:uiPriority w:val="0"/>
    <w:pPr>
      <w:widowControl/>
      <w:spacing w:before="100" w:beforeAutospacing="1" w:after="100" w:afterAutospacing="1" w:line="360" w:lineRule="auto"/>
      <w:jc w:val="left"/>
      <w:outlineLvl w:val="1"/>
    </w:pPr>
    <w:rPr>
      <w:rFonts w:ascii="宋体" w:hAnsi="宋体" w:cs="宋体"/>
      <w:b/>
      <w:bCs/>
      <w:color w:val="052B74"/>
      <w:kern w:val="0"/>
      <w:szCs w:val="21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 Indent"/>
    <w:basedOn w:val="1"/>
    <w:link w:val="14"/>
    <w:uiPriority w:val="0"/>
    <w:pPr>
      <w:ind w:firstLine="640" w:firstLineChars="200"/>
    </w:pPr>
    <w:rPr>
      <w:rFonts w:ascii="仿宋_GB2312" w:eastAsia="仿宋_GB2312"/>
      <w:color w:val="000000"/>
      <w:sz w:val="32"/>
      <w:szCs w:val="20"/>
    </w:r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0"/>
    <w:rPr/>
  </w:style>
  <w:style w:type="character" w:customStyle="1" w:styleId="10">
    <w:name w:val="标题 2 Char"/>
    <w:basedOn w:val="7"/>
    <w:link w:val="2"/>
    <w:uiPriority w:val="0"/>
    <w:rPr>
      <w:rFonts w:ascii="宋体" w:hAnsi="宋体" w:eastAsia="宋体" w:cs="宋体"/>
      <w:b/>
      <w:bCs/>
      <w:color w:val="052B74"/>
      <w:kern w:val="0"/>
      <w:szCs w:val="21"/>
    </w:rPr>
  </w:style>
  <w:style w:type="character" w:customStyle="1" w:styleId="11">
    <w:name w:val="批注框文本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Char"/>
    <w:basedOn w:val="7"/>
    <w:link w:val="3"/>
    <w:uiPriority w:val="0"/>
    <w:rPr>
      <w:rFonts w:ascii="仿宋_GB2312" w:hAnsi="Times New Roman" w:eastAsia="仿宋_GB2312" w:cs="Times New Roman"/>
      <w:color w:val="00000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648</Words>
  <Characters>3698</Characters>
  <Lines>30</Lines>
  <Paragraphs>8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2018-03-19T09:06:00Z</dcterms:created>
  <dc:creator>user</dc:creator>
  <cp:lastModifiedBy>CYY-PC</cp:lastModifiedBy>
  <dcterms:modified xsi:type="dcterms:W3CDTF">2019-02-28T08:48:57Z</dcterms:modified>
  <dc:title>2017年北京市规划和国土资源管理委员会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