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Style w:val="5"/>
          <w:rFonts w:hint="eastAsia" w:ascii="黑体" w:hAnsi="黑体" w:eastAsia="黑体" w:cs="黑体"/>
          <w:sz w:val="44"/>
          <w:szCs w:val="44"/>
        </w:rPr>
        <w:t>不动产登记信息查询管理规定</w:t>
      </w:r>
    </w:p>
    <w:bookmarkEnd w:id="0"/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一、不动产登记信息查询整体要求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1.通过“金融专网”开展不动产登记信息查询的，各银 行应建立查询管理制度，制定业务操作管理规定；建立技术 管理体系，制定科技安全保障措施。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2.各银行仅能受理拟在或已在本行申请相关贷款的客 户之查询委托，查询针对的不动产应为拟抵押或已抵押给本 行的不动产，查询委托的委托人应该是不动产之产权人。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3.各银行应在查询授权书明确的有效期间、查询范围内 开展查询工作。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4.各银行应严格管理，经两名工作人员审核后方可启动 查询，如发现违规查询情况，将取消该银行有关权限，对当 事人按照有关规定处理。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二、不动产登记信息查询授权书内容要求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各银行应本着优化营商环境、尽量减少申请材料的原 则，结合本行业务开展实际，规划授权书签署形式、内容， 授权书内容应至少包含以下方面：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1.查询授权有效期：自授权书签署之日到抵押权结束之 日止；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2.授权查询范围：为主债权提供担保的不动产，委托人 为不动产所有权人，查询范围为该不动产自然状况信息、权 利状况信息、其他状况信息；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3.授权查询方式：通过“金融专网”开展登记信息查询;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4.委托人：产权人本人直接委托，不能转委托；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5.受托人：受托人只能为贷款银行及其工作人员，不能 委托受托银行工作人员以外的人员查询。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三、不动产登记信息查询范围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经过委托人授权后，在授权有效期及授权范围内，银行 可根据业务需要查询如下不动产登记信息：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1.不动产产权人姓名或者名称、证件号码等身份信息。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2.不动产坐落、不动产权属证书号、不动产单元号等不 动产登记信息。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3.不动产是否存在抵押权登记，预告登记或者异议登记 情形；若存在，可查询相关信息的具体登记信息。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4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4.不动产是否存在查封登记或者其他行政限制情形；若 存在，可查询相关信息的具体登记信息。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58E3"/>
    <w:rsid w:val="3780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2024-05-23T02:51:00Z</dcterms:created>
  <dc:creator>QJZX</dc:creator>
  <cp:lastModifiedBy>QJZX</cp:lastModifiedBy>
  <dcterms:modified xsi:type="dcterms:W3CDTF">2024-05-23T02:52:16Z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C283D0C1619F450997C6A9202AF885C5</vt:lpwstr>
  </property>
</Properties>
</file>