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49D24" w14:textId="77777777" w:rsidR="001A1E24" w:rsidRPr="00B228A3" w:rsidRDefault="00000000" w:rsidP="00B228A3">
      <w:pPr>
        <w:autoSpaceDE w:val="0"/>
        <w:autoSpaceDN w:val="0"/>
        <w:adjustRightInd w:val="0"/>
        <w:spacing w:line="560" w:lineRule="exact"/>
        <w:ind w:leftChars="83" w:left="199"/>
        <w:jc w:val="both"/>
        <w:rPr>
          <w:rFonts w:ascii="黑体" w:eastAsia="黑体" w:hAnsi="黑体" w:cs="黑体"/>
          <w:sz w:val="32"/>
          <w:szCs w:val="32"/>
        </w:rPr>
      </w:pPr>
      <w:r w:rsidRPr="00B228A3">
        <w:rPr>
          <w:rFonts w:ascii="黑体" w:eastAsia="黑体" w:hAnsi="黑体" w:cs="黑体" w:hint="eastAsia"/>
          <w:sz w:val="32"/>
          <w:szCs w:val="32"/>
          <w:lang w:val="en"/>
        </w:rPr>
        <w:t>附件</w:t>
      </w:r>
      <w:r w:rsidRPr="00B228A3">
        <w:rPr>
          <w:rFonts w:ascii="黑体" w:eastAsia="黑体" w:hAnsi="黑体" w:cs="黑体"/>
          <w:sz w:val="32"/>
          <w:szCs w:val="32"/>
        </w:rPr>
        <w:t>2</w:t>
      </w:r>
    </w:p>
    <w:p w14:paraId="496D5DCC" w14:textId="77777777" w:rsidR="001A1E24" w:rsidRDefault="001A1E24" w:rsidP="00B228A3">
      <w:pPr>
        <w:autoSpaceDE w:val="0"/>
        <w:autoSpaceDN w:val="0"/>
        <w:adjustRightInd w:val="0"/>
        <w:spacing w:line="560" w:lineRule="exact"/>
        <w:ind w:leftChars="83" w:left="199"/>
        <w:jc w:val="both"/>
        <w:rPr>
          <w:rFonts w:ascii="文星标宋" w:eastAsia="文星标宋" w:hAnsi="文星标宋" w:cs="文星标宋"/>
          <w:sz w:val="44"/>
          <w:szCs w:val="44"/>
        </w:rPr>
      </w:pPr>
    </w:p>
    <w:p w14:paraId="03B42E49" w14:textId="77777777" w:rsidR="001A1E24" w:rsidRDefault="00000000">
      <w:pPr>
        <w:autoSpaceDE w:val="0"/>
        <w:autoSpaceDN w:val="0"/>
        <w:adjustRightInd w:val="0"/>
        <w:spacing w:line="560" w:lineRule="exact"/>
        <w:ind w:leftChars="83" w:left="199"/>
        <w:jc w:val="center"/>
        <w:rPr>
          <w:rFonts w:ascii="文星标宋" w:eastAsia="文星标宋" w:hAnsi="文星标宋" w:cs="文星标宋"/>
          <w:sz w:val="44"/>
          <w:szCs w:val="44"/>
          <w:lang w:val="en"/>
        </w:rPr>
      </w:pPr>
      <w:r>
        <w:rPr>
          <w:rFonts w:ascii="文星标宋" w:eastAsia="文星标宋" w:hAnsi="文星标宋" w:cs="文星标宋" w:hint="eastAsia"/>
          <w:sz w:val="44"/>
          <w:szCs w:val="44"/>
          <w:lang w:val="en"/>
        </w:rPr>
        <w:t>《电动自行车停放场所防火设计标准》</w:t>
      </w:r>
    </w:p>
    <w:p w14:paraId="32604B76" w14:textId="77777777" w:rsidR="001A1E24" w:rsidRDefault="00000000">
      <w:pPr>
        <w:autoSpaceDE w:val="0"/>
        <w:autoSpaceDN w:val="0"/>
        <w:adjustRightInd w:val="0"/>
        <w:spacing w:line="560" w:lineRule="exact"/>
        <w:ind w:leftChars="83" w:left="199"/>
        <w:jc w:val="center"/>
        <w:rPr>
          <w:rFonts w:ascii="文星标宋" w:eastAsia="文星标宋" w:hAnsi="文星标宋" w:cs="文星标宋"/>
          <w:sz w:val="44"/>
          <w:szCs w:val="44"/>
          <w:lang w:val="en"/>
        </w:rPr>
      </w:pPr>
      <w:r>
        <w:rPr>
          <w:rFonts w:ascii="文星标宋" w:eastAsia="文星标宋" w:hAnsi="文星标宋" w:cs="文星标宋" w:hint="eastAsia"/>
          <w:sz w:val="44"/>
          <w:szCs w:val="44"/>
          <w:lang w:val="en"/>
        </w:rPr>
        <w:t>相关条款摘编</w:t>
      </w:r>
    </w:p>
    <w:p w14:paraId="333BB666" w14:textId="77777777" w:rsidR="001A1E24" w:rsidRDefault="001A1E24">
      <w:pPr>
        <w:autoSpaceDE w:val="0"/>
        <w:autoSpaceDN w:val="0"/>
        <w:adjustRightInd w:val="0"/>
        <w:spacing w:line="560" w:lineRule="exact"/>
        <w:ind w:leftChars="83" w:left="199"/>
        <w:jc w:val="both"/>
        <w:rPr>
          <w:rFonts w:ascii="文星标宋" w:eastAsia="文星标宋" w:hAnsi="文星标宋" w:cs="文星标宋"/>
          <w:sz w:val="44"/>
          <w:szCs w:val="44"/>
          <w:lang w:val="en"/>
        </w:rPr>
      </w:pPr>
    </w:p>
    <w:p w14:paraId="14D13A4E" w14:textId="4EAEC369" w:rsidR="001A1E24" w:rsidRDefault="00000000">
      <w:pPr>
        <w:autoSpaceDE w:val="0"/>
        <w:autoSpaceDN w:val="0"/>
        <w:adjustRightInd w:val="0"/>
        <w:spacing w:line="560" w:lineRule="exact"/>
        <w:ind w:leftChars="83" w:left="199"/>
        <w:jc w:val="both"/>
        <w:rPr>
          <w:rFonts w:ascii="仿宋_GB2312" w:eastAsia="仿宋_GB2312" w:hAnsi="仿宋_GB2312" w:cs="仿宋_GB2312"/>
          <w:color w:val="221E1F"/>
          <w:sz w:val="32"/>
          <w:szCs w:val="32"/>
        </w:rPr>
      </w:pPr>
      <w:r>
        <w:rPr>
          <w:rFonts w:ascii="仿宋_GB2312" w:eastAsia="仿宋_GB2312" w:hAnsi="仿宋_GB2312" w:cs="仿宋_GB2312" w:hint="eastAsia"/>
          <w:color w:val="221E1F"/>
          <w:sz w:val="32"/>
          <w:szCs w:val="32"/>
        </w:rPr>
        <w:t>3.0.1　电动自行车停放场所种类可分为电动自行车停车场、电动自行车库。电动自行车库种类按照围护结构是否封闭可划分为封闭式电动自行车库和敞开式电动自行车库；按照建造方式可划分为独立式电动自行车库和附建式电动自行车库；按照室内地坪高度不同可划分为地上电动自行车库、半地下电动自行车库、地下电动自行车库。</w:t>
      </w:r>
    </w:p>
    <w:p w14:paraId="39B66E3F" w14:textId="77777777" w:rsidR="001A1E24" w:rsidRDefault="00000000">
      <w:pPr>
        <w:autoSpaceDE w:val="0"/>
        <w:autoSpaceDN w:val="0"/>
        <w:adjustRightInd w:val="0"/>
        <w:spacing w:line="560" w:lineRule="exact"/>
        <w:ind w:leftChars="83" w:left="199"/>
        <w:jc w:val="both"/>
        <w:rPr>
          <w:rFonts w:ascii="仿宋_GB2312" w:eastAsia="仿宋_GB2312" w:hAnsi="仿宋_GB2312" w:cs="仿宋_GB2312"/>
          <w:color w:val="221E1F"/>
          <w:sz w:val="32"/>
          <w:szCs w:val="32"/>
        </w:rPr>
      </w:pPr>
      <w:r>
        <w:rPr>
          <w:rFonts w:ascii="仿宋_GB2312" w:eastAsia="仿宋_GB2312" w:hAnsi="仿宋_GB2312" w:cs="仿宋_GB2312" w:hint="eastAsia"/>
          <w:color w:val="221E1F"/>
          <w:sz w:val="32"/>
          <w:szCs w:val="32"/>
        </w:rPr>
        <w:t>4.0.1　电动自行车停放场所的选址和总平面设计，应根据城市规划要求，结合“存自行车处”设置的相关规定，合理确定电动自行车停放场所的位置、防火间距、消防车道和消防水源等。</w:t>
      </w:r>
    </w:p>
    <w:p w14:paraId="26B02B4C" w14:textId="77777777" w:rsidR="001A1E24" w:rsidRDefault="00000000">
      <w:pPr>
        <w:autoSpaceDE w:val="0"/>
        <w:autoSpaceDN w:val="0"/>
        <w:adjustRightInd w:val="0"/>
        <w:spacing w:line="560" w:lineRule="exact"/>
        <w:ind w:leftChars="83" w:left="199"/>
        <w:jc w:val="both"/>
        <w:rPr>
          <w:rFonts w:ascii="仿宋_GB2312" w:eastAsia="仿宋_GB2312" w:hAnsi="仿宋_GB2312" w:cs="仿宋_GB2312"/>
          <w:color w:val="221E1F"/>
          <w:sz w:val="32"/>
          <w:szCs w:val="32"/>
        </w:rPr>
      </w:pPr>
      <w:r>
        <w:rPr>
          <w:rFonts w:ascii="仿宋_GB2312" w:eastAsia="仿宋_GB2312" w:hAnsi="仿宋_GB2312" w:cs="仿宋_GB2312" w:hint="eastAsia"/>
          <w:color w:val="221E1F"/>
          <w:sz w:val="32"/>
          <w:szCs w:val="32"/>
        </w:rPr>
        <w:t>4.0.4　电动自行车停放场所不应与火灾危险性为甲、乙类的厂房、仓库贴邻设置。</w:t>
      </w:r>
    </w:p>
    <w:p w14:paraId="4F79D63B" w14:textId="77777777" w:rsidR="001A1E24" w:rsidRDefault="00000000">
      <w:pPr>
        <w:autoSpaceDE w:val="0"/>
        <w:autoSpaceDN w:val="0"/>
        <w:adjustRightInd w:val="0"/>
        <w:spacing w:line="560" w:lineRule="exact"/>
        <w:ind w:leftChars="83" w:left="199"/>
        <w:jc w:val="both"/>
        <w:rPr>
          <w:rFonts w:ascii="仿宋_GB2312" w:eastAsia="仿宋_GB2312" w:hAnsi="仿宋_GB2312" w:cs="仿宋_GB2312"/>
          <w:color w:val="221E1F"/>
          <w:sz w:val="32"/>
          <w:szCs w:val="32"/>
        </w:rPr>
      </w:pPr>
      <w:r>
        <w:rPr>
          <w:rFonts w:ascii="仿宋_GB2312" w:eastAsia="仿宋_GB2312" w:hAnsi="仿宋_GB2312" w:cs="仿宋_GB2312" w:hint="eastAsia"/>
          <w:color w:val="221E1F"/>
          <w:sz w:val="32"/>
          <w:szCs w:val="32"/>
        </w:rPr>
        <w:t>4.0.5　地上电动自行车库不应与托儿所、幼儿园及其活动场所，老年人照料设施及其活动场所，学校教学</w:t>
      </w:r>
      <w:proofErr w:type="gramStart"/>
      <w:r>
        <w:rPr>
          <w:rFonts w:ascii="仿宋_GB2312" w:eastAsia="仿宋_GB2312" w:hAnsi="仿宋_GB2312" w:cs="仿宋_GB2312" w:hint="eastAsia"/>
          <w:color w:val="221E1F"/>
          <w:sz w:val="32"/>
          <w:szCs w:val="32"/>
        </w:rPr>
        <w:t>楼及其</w:t>
      </w:r>
      <w:proofErr w:type="gramEnd"/>
      <w:r>
        <w:rPr>
          <w:rFonts w:ascii="仿宋_GB2312" w:eastAsia="仿宋_GB2312" w:hAnsi="仿宋_GB2312" w:cs="仿宋_GB2312" w:hint="eastAsia"/>
          <w:color w:val="221E1F"/>
          <w:sz w:val="32"/>
          <w:szCs w:val="32"/>
        </w:rPr>
        <w:t>集体宿舍，医院病房楼、门诊楼等贴邻设置。</w:t>
      </w:r>
    </w:p>
    <w:p w14:paraId="101C6430" w14:textId="5AD6EE82" w:rsidR="001A1E24" w:rsidRDefault="00000000">
      <w:pPr>
        <w:autoSpaceDE w:val="0"/>
        <w:autoSpaceDN w:val="0"/>
        <w:adjustRightInd w:val="0"/>
        <w:spacing w:line="560" w:lineRule="exact"/>
        <w:ind w:leftChars="83" w:left="199"/>
        <w:jc w:val="both"/>
        <w:rPr>
          <w:rFonts w:ascii="仿宋_GB2312" w:eastAsia="仿宋_GB2312" w:hAnsi="仿宋_GB2312" w:cs="仿宋_GB2312"/>
          <w:color w:val="221E1F"/>
          <w:sz w:val="32"/>
          <w:szCs w:val="32"/>
        </w:rPr>
      </w:pPr>
      <w:r>
        <w:rPr>
          <w:rFonts w:ascii="仿宋_GB2312" w:eastAsia="仿宋_GB2312" w:hAnsi="仿宋_GB2312" w:cs="仿宋_GB2312" w:hint="eastAsia"/>
          <w:color w:val="221E1F"/>
          <w:sz w:val="32"/>
          <w:szCs w:val="32"/>
        </w:rPr>
        <w:t>4.0.6　电动自行车停车场与其他建筑物之间的防火间距不应小于6m。地上电动自行车库与其他多层民用建筑物之间的防火间距不应小于6m；与其他高层民用建筑物之间的</w:t>
      </w:r>
      <w:r>
        <w:rPr>
          <w:rFonts w:ascii="仿宋_GB2312" w:eastAsia="仿宋_GB2312" w:hAnsi="仿宋_GB2312" w:cs="仿宋_GB2312" w:hint="eastAsia"/>
          <w:color w:val="221E1F"/>
          <w:sz w:val="32"/>
          <w:szCs w:val="32"/>
        </w:rPr>
        <w:lastRenderedPageBreak/>
        <w:t>防火间距不应小于9m；与厂房、仓库之间的防火间距不应小于12m。</w:t>
      </w:r>
    </w:p>
    <w:p w14:paraId="2C3C353E" w14:textId="0288CDEB" w:rsidR="001A1E24" w:rsidRDefault="00000000">
      <w:pPr>
        <w:autoSpaceDE w:val="0"/>
        <w:autoSpaceDN w:val="0"/>
        <w:adjustRightInd w:val="0"/>
        <w:spacing w:line="560" w:lineRule="exact"/>
        <w:ind w:leftChars="83" w:left="199"/>
        <w:jc w:val="both"/>
        <w:rPr>
          <w:rFonts w:ascii="仿宋_GB2312" w:eastAsia="仿宋_GB2312" w:hAnsi="仿宋_GB2312" w:cs="仿宋_GB2312"/>
          <w:color w:val="221E1F"/>
          <w:sz w:val="32"/>
          <w:szCs w:val="32"/>
        </w:rPr>
      </w:pPr>
      <w:r>
        <w:rPr>
          <w:rFonts w:ascii="仿宋_GB2312" w:eastAsia="仿宋_GB2312" w:hAnsi="仿宋_GB2312" w:cs="仿宋_GB2312" w:hint="eastAsia"/>
          <w:color w:val="221E1F"/>
          <w:sz w:val="32"/>
          <w:szCs w:val="32"/>
        </w:rPr>
        <w:t>4.0.7　电动自行车停车场停车位数量大于250辆时，应设置两个场地出入口，且出入口净宽不应小于1.8m。</w:t>
      </w:r>
    </w:p>
    <w:p w14:paraId="1CD36105" w14:textId="77777777" w:rsidR="001A1E24" w:rsidRDefault="00000000">
      <w:pPr>
        <w:autoSpaceDE w:val="0"/>
        <w:autoSpaceDN w:val="0"/>
        <w:adjustRightInd w:val="0"/>
        <w:spacing w:line="560" w:lineRule="exact"/>
        <w:ind w:leftChars="83" w:left="199"/>
        <w:jc w:val="both"/>
        <w:rPr>
          <w:rFonts w:ascii="仿宋_GB2312" w:eastAsia="仿宋_GB2312" w:hAnsi="仿宋_GB2312" w:cs="仿宋_GB2312"/>
          <w:color w:val="221E1F"/>
          <w:sz w:val="32"/>
          <w:szCs w:val="32"/>
        </w:rPr>
      </w:pPr>
      <w:r>
        <w:rPr>
          <w:rFonts w:ascii="仿宋_GB2312" w:eastAsia="仿宋_GB2312" w:hAnsi="仿宋_GB2312" w:cs="仿宋_GB2312" w:hint="eastAsia"/>
          <w:color w:val="221E1F"/>
          <w:sz w:val="32"/>
          <w:szCs w:val="32"/>
        </w:rPr>
        <w:t>5.0.2　地下电动自行车库应设置在地下一层，不得设置在地下二层及以下楼层。</w:t>
      </w:r>
    </w:p>
    <w:p w14:paraId="743DB9F4" w14:textId="77777777" w:rsidR="001A1E24" w:rsidRDefault="00000000">
      <w:pPr>
        <w:autoSpaceDE w:val="0"/>
        <w:autoSpaceDN w:val="0"/>
        <w:adjustRightInd w:val="0"/>
        <w:spacing w:line="560" w:lineRule="exact"/>
        <w:ind w:leftChars="83" w:left="199"/>
        <w:jc w:val="both"/>
        <w:rPr>
          <w:rFonts w:ascii="仿宋_GB2312" w:eastAsia="仿宋_GB2312" w:hAnsi="仿宋_GB2312" w:cs="仿宋_GB2312"/>
          <w:color w:val="221E1F"/>
          <w:sz w:val="32"/>
          <w:szCs w:val="32"/>
        </w:rPr>
      </w:pPr>
      <w:r>
        <w:rPr>
          <w:rFonts w:ascii="仿宋_GB2312" w:eastAsia="仿宋_GB2312" w:hAnsi="仿宋_GB2312" w:cs="仿宋_GB2312" w:hint="eastAsia"/>
          <w:color w:val="221E1F"/>
          <w:sz w:val="32"/>
          <w:szCs w:val="32"/>
        </w:rPr>
        <w:t>5.0.4　电动自行车库应划分集中充电区域，充电设施应采用充电柜。</w:t>
      </w:r>
    </w:p>
    <w:p w14:paraId="7F13CE3B" w14:textId="064A4213" w:rsidR="001A1E24" w:rsidRDefault="00000000">
      <w:pPr>
        <w:autoSpaceDE w:val="0"/>
        <w:autoSpaceDN w:val="0"/>
        <w:adjustRightInd w:val="0"/>
        <w:spacing w:line="560" w:lineRule="exact"/>
        <w:ind w:leftChars="83" w:left="199"/>
        <w:jc w:val="both"/>
        <w:rPr>
          <w:rFonts w:ascii="仿宋_GB2312" w:eastAsia="仿宋_GB2312" w:hAnsi="仿宋_GB2312" w:cs="仿宋_GB2312"/>
          <w:color w:val="221E1F"/>
          <w:sz w:val="32"/>
          <w:szCs w:val="32"/>
        </w:rPr>
      </w:pPr>
      <w:r>
        <w:rPr>
          <w:rFonts w:ascii="仿宋_GB2312" w:eastAsia="仿宋_GB2312" w:hAnsi="仿宋_GB2312" w:cs="仿宋_GB2312" w:hint="eastAsia"/>
          <w:color w:val="221E1F"/>
          <w:sz w:val="32"/>
          <w:szCs w:val="32"/>
        </w:rPr>
        <w:t>5.0.6　设于公共场所和公共建筑的电动自行车停车场，宜结合实际需求，分组设置适量充电柜, 充电</w:t>
      </w:r>
      <w:proofErr w:type="gramStart"/>
      <w:r>
        <w:rPr>
          <w:rFonts w:ascii="仿宋_GB2312" w:eastAsia="仿宋_GB2312" w:hAnsi="仿宋_GB2312" w:cs="仿宋_GB2312" w:hint="eastAsia"/>
          <w:color w:val="221E1F"/>
          <w:sz w:val="32"/>
          <w:szCs w:val="32"/>
        </w:rPr>
        <w:t>柜设置</w:t>
      </w:r>
      <w:proofErr w:type="gramEnd"/>
      <w:r>
        <w:rPr>
          <w:rFonts w:ascii="仿宋_GB2312" w:eastAsia="仿宋_GB2312" w:hAnsi="仿宋_GB2312" w:cs="仿宋_GB2312" w:hint="eastAsia"/>
          <w:color w:val="221E1F"/>
          <w:sz w:val="32"/>
          <w:szCs w:val="32"/>
        </w:rPr>
        <w:t>区域距离建筑的安全出口距离不应小于6m。</w:t>
      </w:r>
    </w:p>
    <w:p w14:paraId="35DBB2BB" w14:textId="77777777" w:rsidR="001A1E24" w:rsidRDefault="00000000">
      <w:pPr>
        <w:autoSpaceDE w:val="0"/>
        <w:autoSpaceDN w:val="0"/>
        <w:adjustRightInd w:val="0"/>
        <w:spacing w:line="560" w:lineRule="exact"/>
        <w:ind w:leftChars="83" w:left="199"/>
        <w:jc w:val="both"/>
        <w:rPr>
          <w:rFonts w:ascii="仿宋_GB2312" w:eastAsia="仿宋_GB2312" w:hAnsi="仿宋_GB2312" w:cs="仿宋_GB2312"/>
          <w:color w:val="221E1F"/>
          <w:sz w:val="32"/>
          <w:szCs w:val="32"/>
        </w:rPr>
      </w:pPr>
      <w:r>
        <w:rPr>
          <w:rFonts w:ascii="仿宋_GB2312" w:eastAsia="仿宋_GB2312" w:hAnsi="仿宋_GB2312" w:cs="仿宋_GB2312" w:hint="eastAsia"/>
          <w:color w:val="221E1F"/>
          <w:sz w:val="32"/>
          <w:szCs w:val="32"/>
        </w:rPr>
        <w:t xml:space="preserve">6.0.1　电动自行车库应设置火灾自动报警系统和自动喷水灭火系统。 </w:t>
      </w:r>
    </w:p>
    <w:p w14:paraId="48648F2B" w14:textId="69D579A3" w:rsidR="001A1E24" w:rsidRDefault="00000000">
      <w:pPr>
        <w:autoSpaceDE w:val="0"/>
        <w:autoSpaceDN w:val="0"/>
        <w:adjustRightInd w:val="0"/>
        <w:spacing w:line="560" w:lineRule="exact"/>
        <w:ind w:leftChars="83" w:left="199"/>
        <w:jc w:val="both"/>
        <w:rPr>
          <w:rFonts w:ascii="仿宋_GB2312" w:eastAsia="仿宋_GB2312" w:hAnsi="仿宋_GB2312" w:cs="仿宋_GB2312"/>
          <w:color w:val="221E1F"/>
          <w:sz w:val="32"/>
          <w:szCs w:val="32"/>
        </w:rPr>
      </w:pPr>
      <w:r>
        <w:rPr>
          <w:rFonts w:ascii="仿宋_GB2312" w:eastAsia="仿宋_GB2312" w:hAnsi="仿宋_GB2312" w:cs="仿宋_GB2312" w:hint="eastAsia"/>
          <w:color w:val="221E1F"/>
          <w:sz w:val="32"/>
          <w:szCs w:val="32"/>
        </w:rPr>
        <w:t xml:space="preserve">6.0.2　电动自行车库防火分区的最大允许建筑面积应符合以下规定： </w:t>
      </w:r>
    </w:p>
    <w:p w14:paraId="54D5394A" w14:textId="559A6106" w:rsidR="001A1E24" w:rsidRDefault="00000000">
      <w:pPr>
        <w:autoSpaceDE w:val="0"/>
        <w:autoSpaceDN w:val="0"/>
        <w:adjustRightInd w:val="0"/>
        <w:spacing w:line="560" w:lineRule="exact"/>
        <w:ind w:leftChars="83" w:left="199"/>
        <w:jc w:val="both"/>
        <w:rPr>
          <w:rFonts w:ascii="仿宋_GB2312" w:eastAsia="仿宋_GB2312" w:hAnsi="仿宋_GB2312" w:cs="仿宋_GB2312"/>
          <w:color w:val="221E1F"/>
          <w:sz w:val="32"/>
          <w:szCs w:val="32"/>
        </w:rPr>
      </w:pPr>
      <w:r>
        <w:rPr>
          <w:rFonts w:ascii="仿宋_GB2312" w:eastAsia="仿宋_GB2312" w:hAnsi="仿宋_GB2312" w:cs="仿宋_GB2312" w:hint="eastAsia"/>
          <w:color w:val="221E1F"/>
          <w:sz w:val="32"/>
          <w:szCs w:val="32"/>
        </w:rPr>
        <w:t>1　设置在地面的独立建造的电动自行车库，每个防火分区的面积不应大于1000㎡；</w:t>
      </w:r>
    </w:p>
    <w:p w14:paraId="1303AF77" w14:textId="09C3EA75" w:rsidR="001A1E24" w:rsidRDefault="00000000">
      <w:pPr>
        <w:autoSpaceDE w:val="0"/>
        <w:autoSpaceDN w:val="0"/>
        <w:adjustRightInd w:val="0"/>
        <w:spacing w:line="560" w:lineRule="exact"/>
        <w:ind w:leftChars="83" w:left="199"/>
        <w:jc w:val="both"/>
        <w:rPr>
          <w:rFonts w:ascii="仿宋_GB2312" w:eastAsia="仿宋_GB2312" w:hAnsi="仿宋_GB2312" w:cs="仿宋_GB2312"/>
          <w:color w:val="221E1F"/>
          <w:sz w:val="32"/>
          <w:szCs w:val="32"/>
        </w:rPr>
      </w:pPr>
      <w:r>
        <w:rPr>
          <w:rFonts w:ascii="仿宋_GB2312" w:eastAsia="仿宋_GB2312" w:hAnsi="仿宋_GB2312" w:cs="仿宋_GB2312" w:hint="eastAsia"/>
          <w:color w:val="221E1F"/>
          <w:sz w:val="32"/>
          <w:szCs w:val="32"/>
        </w:rPr>
        <w:t>2　设置在地下或半地下的电动自行车库，每个防火分区的面积不应大于500㎡。</w:t>
      </w:r>
    </w:p>
    <w:p w14:paraId="0F6F2B12" w14:textId="549BEDD7" w:rsidR="001A1E24" w:rsidRDefault="00000000">
      <w:pPr>
        <w:autoSpaceDE w:val="0"/>
        <w:autoSpaceDN w:val="0"/>
        <w:adjustRightInd w:val="0"/>
        <w:spacing w:line="560" w:lineRule="exact"/>
        <w:ind w:leftChars="83" w:left="199"/>
        <w:jc w:val="both"/>
        <w:rPr>
          <w:rFonts w:ascii="仿宋_GB2312" w:eastAsia="仿宋_GB2312" w:hAnsi="仿宋_GB2312" w:cs="仿宋_GB2312"/>
          <w:color w:val="221E1F"/>
          <w:sz w:val="32"/>
          <w:szCs w:val="32"/>
        </w:rPr>
      </w:pPr>
      <w:r>
        <w:rPr>
          <w:rFonts w:ascii="仿宋_GB2312" w:eastAsia="仿宋_GB2312" w:hAnsi="仿宋_GB2312" w:cs="仿宋_GB2312" w:hint="eastAsia"/>
          <w:color w:val="221E1F"/>
          <w:sz w:val="32"/>
          <w:szCs w:val="32"/>
        </w:rPr>
        <w:t>6.0.3　当电动自行车库设置在地下或半地下时，应采用防火墙、甲级防火门、耐火极限不小于1.50h的楼板与建筑内的其他区域完全隔开。</w:t>
      </w:r>
    </w:p>
    <w:sectPr w:rsidR="001A1E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FE1F" w14:textId="77777777" w:rsidR="00F61243" w:rsidRDefault="00F61243" w:rsidP="00B228A3">
      <w:r>
        <w:separator/>
      </w:r>
    </w:p>
  </w:endnote>
  <w:endnote w:type="continuationSeparator" w:id="0">
    <w:p w14:paraId="3DA351A3" w14:textId="77777777" w:rsidR="00F61243" w:rsidRDefault="00F61243" w:rsidP="00B2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x0003_.夈.">
    <w:altName w:val="黑体"/>
    <w:charset w:val="86"/>
    <w:family w:val="swiss"/>
    <w:pitch w:val="default"/>
    <w:sig w:usb0="00000000" w:usb1="00000000" w:usb2="0000000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文星标宋">
    <w:altName w:val="微软雅黑"/>
    <w:charset w:val="86"/>
    <w:family w:val="auto"/>
    <w:pitch w:val="default"/>
    <w:sig w:usb0="00000001" w:usb1="080E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A14C2" w14:textId="77777777" w:rsidR="00F61243" w:rsidRDefault="00F61243" w:rsidP="00B228A3">
      <w:r>
        <w:separator/>
      </w:r>
    </w:p>
  </w:footnote>
  <w:footnote w:type="continuationSeparator" w:id="0">
    <w:p w14:paraId="72EAF530" w14:textId="77777777" w:rsidR="00F61243" w:rsidRDefault="00F61243" w:rsidP="00B228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trackRevision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172A27"/>
    <w:rsid w:val="001A1E24"/>
    <w:rsid w:val="00B228A3"/>
    <w:rsid w:val="00F61243"/>
    <w:rsid w:val="4F072A72"/>
    <w:rsid w:val="52786F25"/>
    <w:rsid w:val="5C063C3B"/>
    <w:rsid w:val="63204FE4"/>
    <w:rsid w:val="6EA86277"/>
    <w:rsid w:val="7166138B"/>
    <w:rsid w:val="7FDBB7EF"/>
    <w:rsid w:val="BFEAB53B"/>
    <w:rsid w:val="C52BB99F"/>
    <w:rsid w:val="D7CA3765"/>
    <w:rsid w:val="EDFF8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C0074"/>
  <w15:docId w15:val="{C914FD02-A754-4321-BF70-097372174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unhideWhenUsed/>
    <w:qFormat/>
    <w:pPr>
      <w:widowControl w:val="0"/>
      <w:autoSpaceDE w:val="0"/>
      <w:autoSpaceDN w:val="0"/>
      <w:adjustRightInd w:val="0"/>
    </w:pPr>
    <w:rPr>
      <w:rFonts w:ascii="方正黑体_x0003_.夈." w:eastAsia="方正黑体_x0003_.夈." w:hAnsi="方正黑体_x0003_.夈." w:cstheme="minorBidi" w:hint="eastAsia"/>
      <w:color w:val="000000"/>
      <w:sz w:val="24"/>
      <w:szCs w:val="24"/>
    </w:rPr>
  </w:style>
  <w:style w:type="paragraph" w:customStyle="1" w:styleId="Pa5">
    <w:name w:val="Pa5"/>
    <w:basedOn w:val="Default"/>
    <w:next w:val="Default"/>
    <w:uiPriority w:val="99"/>
    <w:unhideWhenUsed/>
    <w:qFormat/>
    <w:pPr>
      <w:spacing w:line="201" w:lineRule="atLeast"/>
    </w:pPr>
    <w:rPr>
      <w:rFonts w:hint="default"/>
    </w:rPr>
  </w:style>
  <w:style w:type="paragraph" w:styleId="a3">
    <w:name w:val="Revision"/>
    <w:hidden/>
    <w:uiPriority w:val="99"/>
    <w:semiHidden/>
    <w:rsid w:val="00B228A3"/>
    <w:rPr>
      <w:rFonts w:ascii="宋体" w:hAnsi="宋体" w:cs="宋体"/>
      <w:sz w:val="24"/>
      <w:szCs w:val="24"/>
    </w:rPr>
  </w:style>
  <w:style w:type="paragraph" w:styleId="a4">
    <w:name w:val="header"/>
    <w:basedOn w:val="a"/>
    <w:link w:val="a5"/>
    <w:rsid w:val="00B228A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B228A3"/>
    <w:rPr>
      <w:rFonts w:ascii="宋体" w:hAnsi="宋体" w:cs="宋体"/>
      <w:sz w:val="18"/>
      <w:szCs w:val="18"/>
    </w:rPr>
  </w:style>
  <w:style w:type="paragraph" w:styleId="a6">
    <w:name w:val="footer"/>
    <w:basedOn w:val="a"/>
    <w:link w:val="a7"/>
    <w:rsid w:val="00B228A3"/>
    <w:pPr>
      <w:tabs>
        <w:tab w:val="center" w:pos="4153"/>
        <w:tab w:val="right" w:pos="8306"/>
      </w:tabs>
      <w:snapToGrid w:val="0"/>
    </w:pPr>
    <w:rPr>
      <w:sz w:val="18"/>
      <w:szCs w:val="18"/>
    </w:rPr>
  </w:style>
  <w:style w:type="character" w:customStyle="1" w:styleId="a7">
    <w:name w:val="页脚 字符"/>
    <w:basedOn w:val="a0"/>
    <w:link w:val="a6"/>
    <w:rsid w:val="00B228A3"/>
    <w:rPr>
      <w:rFonts w:ascii="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律师 国浩</cp:lastModifiedBy>
  <cp:revision>2</cp:revision>
  <dcterms:created xsi:type="dcterms:W3CDTF">2022-08-27T09:51:00Z</dcterms:created>
  <dcterms:modified xsi:type="dcterms:W3CDTF">2023-01-11T09:44:00Z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27D77D3478604E27B651EA534795D4FD</vt:lpwstr>
  </property>
</Properties>
</file>