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93F13" w14:textId="77777777" w:rsidR="006E4E46" w:rsidRDefault="00000000">
      <w:pPr>
        <w:pStyle w:val="3"/>
        <w:ind w:firstLineChars="0" w:firstLine="0"/>
        <w:rPr>
          <w:sz w:val="28"/>
          <w:szCs w:val="28"/>
        </w:rPr>
      </w:pPr>
      <w:r>
        <w:rPr>
          <w:rFonts w:hint="eastAsia"/>
          <w:sz w:val="28"/>
          <w:szCs w:val="28"/>
        </w:rPr>
        <w:t>附件</w:t>
      </w:r>
      <w:bookmarkStart w:id="0" w:name="_Toc375152475"/>
      <w:r>
        <w:rPr>
          <w:rFonts w:hint="eastAsia"/>
          <w:sz w:val="28"/>
          <w:szCs w:val="28"/>
        </w:rPr>
        <w:t>4</w:t>
      </w:r>
    </w:p>
    <w:p w14:paraId="4D658F5F" w14:textId="77777777" w:rsidR="006E4E46" w:rsidRDefault="00000000">
      <w:pPr>
        <w:pStyle w:val="3"/>
        <w:ind w:firstLineChars="0" w:firstLine="0"/>
        <w:jc w:val="center"/>
      </w:pPr>
      <w:r>
        <w:rPr>
          <w:rFonts w:hint="eastAsia"/>
        </w:rPr>
        <w:t>北京市绿色生态示范区评</w:t>
      </w:r>
      <w:bookmarkEnd w:id="0"/>
      <w:r>
        <w:rPr>
          <w:rFonts w:hint="eastAsia"/>
        </w:rPr>
        <w:t>分表（居住区类）</w:t>
      </w:r>
    </w:p>
    <w:p w14:paraId="4C3A16B0" w14:textId="6873BF9A" w:rsidR="006E4E46" w:rsidRDefault="00000000">
      <w:pPr>
        <w:spacing w:line="360" w:lineRule="auto"/>
        <w:ind w:firstLineChars="0" w:firstLine="0"/>
        <w:rPr>
          <w:rFonts w:asciiTheme="minorEastAsia" w:eastAsiaTheme="minorEastAsia" w:hAnsiTheme="minorEastAsia" w:hint="eastAsia"/>
          <w:b/>
          <w:szCs w:val="21"/>
        </w:rPr>
      </w:pPr>
      <w:r>
        <w:rPr>
          <w:rFonts w:asciiTheme="minorEastAsia" w:eastAsiaTheme="minorEastAsia" w:hAnsiTheme="minorEastAsia" w:hint="eastAsia"/>
          <w:b/>
          <w:szCs w:val="21"/>
        </w:rPr>
        <w:t>计分标准：</w:t>
      </w:r>
      <w:r>
        <w:rPr>
          <w:rFonts w:asciiTheme="minorEastAsia" w:eastAsiaTheme="minorEastAsia" w:hAnsiTheme="minorEastAsia" w:hint="eastAsia"/>
          <w:szCs w:val="21"/>
        </w:rPr>
        <w:t>各功能区或园区的最终得分按评分项实际得分值除以适用于该</w:t>
      </w:r>
      <w:r w:rsidR="00A4106A">
        <w:rPr>
          <w:rFonts w:asciiTheme="minorEastAsia" w:eastAsiaTheme="minorEastAsia" w:hAnsiTheme="minorEastAsia" w:hint="eastAsia"/>
          <w:szCs w:val="21"/>
        </w:rPr>
        <w:t>功能区</w:t>
      </w:r>
      <w:r>
        <w:rPr>
          <w:rFonts w:asciiTheme="minorEastAsia" w:eastAsiaTheme="minorEastAsia" w:hAnsiTheme="minorEastAsia" w:hint="eastAsia"/>
          <w:szCs w:val="21"/>
        </w:rPr>
        <w:t>的评分项总分值再乘以100分计算。</w:t>
      </w:r>
    </w:p>
    <w:p w14:paraId="6B853C58" w14:textId="77777777" w:rsidR="006E4E46" w:rsidRDefault="006E4E46">
      <w:pPr>
        <w:ind w:firstLineChars="0" w:firstLine="0"/>
        <w:rPr>
          <w:rFonts w:asciiTheme="minorEastAsia" w:eastAsiaTheme="minorEastAsia" w:hAnsiTheme="minorEastAsia" w:hint="eastAsia"/>
        </w:rPr>
      </w:pPr>
    </w:p>
    <w:p w14:paraId="7168F713" w14:textId="77777777" w:rsidR="006E4E46" w:rsidRDefault="00000000">
      <w:pPr>
        <w:spacing w:line="360" w:lineRule="auto"/>
        <w:ind w:firstLineChars="0" w:firstLine="0"/>
        <w:rPr>
          <w:rFonts w:asciiTheme="minorEastAsia" w:eastAsiaTheme="minorEastAsia" w:hAnsiTheme="minorEastAsia" w:hint="eastAsia"/>
          <w:sz w:val="24"/>
          <w:szCs w:val="24"/>
          <w:u w:val="single"/>
        </w:rPr>
      </w:pPr>
      <w:r>
        <w:rPr>
          <w:rFonts w:asciiTheme="minorEastAsia" w:eastAsiaTheme="minorEastAsia" w:hAnsiTheme="minorEastAsia" w:hint="eastAsia"/>
          <w:szCs w:val="21"/>
        </w:rPr>
        <w:t>居住区名称：</w:t>
      </w:r>
      <w:r>
        <w:rPr>
          <w:rFonts w:asciiTheme="minorEastAsia" w:eastAsiaTheme="minorEastAsia" w:hAnsiTheme="minorEastAsia" w:hint="eastAsia"/>
          <w:szCs w:val="21"/>
          <w:u w:val="single"/>
        </w:rPr>
        <w:t xml:space="preserve">                                                                    </w:t>
      </w:r>
    </w:p>
    <w:p w14:paraId="62DB7E86" w14:textId="77777777" w:rsidR="006E4E46" w:rsidRDefault="006E4E46">
      <w:pPr>
        <w:spacing w:line="360" w:lineRule="auto"/>
        <w:ind w:firstLineChars="0" w:firstLine="0"/>
        <w:rPr>
          <w:sz w:val="24"/>
          <w:szCs w:val="24"/>
        </w:rPr>
      </w:pPr>
    </w:p>
    <w:tbl>
      <w:tblPr>
        <w:tblW w:w="988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7"/>
        <w:gridCol w:w="1485"/>
        <w:gridCol w:w="1559"/>
        <w:gridCol w:w="1559"/>
        <w:gridCol w:w="756"/>
        <w:gridCol w:w="1938"/>
        <w:gridCol w:w="708"/>
        <w:gridCol w:w="709"/>
        <w:gridCol w:w="709"/>
      </w:tblGrid>
      <w:tr w:rsidR="006E4E46" w14:paraId="0409D88F" w14:textId="77777777">
        <w:trPr>
          <w:trHeight w:val="675"/>
        </w:trPr>
        <w:tc>
          <w:tcPr>
            <w:tcW w:w="457" w:type="dxa"/>
            <w:shd w:val="clear" w:color="auto" w:fill="D9D9D9" w:themeFill="background1" w:themeFillShade="D9"/>
            <w:vAlign w:val="center"/>
          </w:tcPr>
          <w:p w14:paraId="1991C6CE" w14:textId="77777777" w:rsidR="006E4E46" w:rsidRDefault="00000000">
            <w:pPr>
              <w:widowControl/>
              <w:ind w:firstLineChars="0" w:firstLine="0"/>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类别</w:t>
            </w:r>
          </w:p>
        </w:tc>
        <w:tc>
          <w:tcPr>
            <w:tcW w:w="1485" w:type="dxa"/>
            <w:shd w:val="clear" w:color="auto" w:fill="D9D9D9" w:themeFill="background1" w:themeFillShade="D9"/>
            <w:vAlign w:val="center"/>
          </w:tcPr>
          <w:p w14:paraId="08848470" w14:textId="77777777" w:rsidR="006E4E46" w:rsidRDefault="00000000">
            <w:pPr>
              <w:widowControl/>
              <w:ind w:firstLineChars="0" w:firstLine="0"/>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编号</w:t>
            </w:r>
          </w:p>
        </w:tc>
        <w:tc>
          <w:tcPr>
            <w:tcW w:w="1559" w:type="dxa"/>
            <w:shd w:val="clear" w:color="auto" w:fill="D9D9D9" w:themeFill="background1" w:themeFillShade="D9"/>
            <w:vAlign w:val="center"/>
          </w:tcPr>
          <w:p w14:paraId="5ED9679F" w14:textId="77777777" w:rsidR="006E4E46" w:rsidRDefault="00000000">
            <w:pPr>
              <w:widowControl/>
              <w:ind w:firstLineChars="0" w:firstLine="0"/>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评价条目</w:t>
            </w:r>
          </w:p>
        </w:tc>
        <w:tc>
          <w:tcPr>
            <w:tcW w:w="4253" w:type="dxa"/>
            <w:gridSpan w:val="3"/>
            <w:shd w:val="clear" w:color="auto" w:fill="D9D9D9" w:themeFill="background1" w:themeFillShade="D9"/>
            <w:vAlign w:val="center"/>
          </w:tcPr>
          <w:p w14:paraId="55691BAC" w14:textId="77777777" w:rsidR="006E4E46" w:rsidRDefault="00000000">
            <w:pPr>
              <w:widowControl/>
              <w:ind w:firstLineChars="0" w:firstLine="0"/>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分级量化</w:t>
            </w:r>
          </w:p>
        </w:tc>
        <w:tc>
          <w:tcPr>
            <w:tcW w:w="708" w:type="dxa"/>
            <w:shd w:val="clear" w:color="auto" w:fill="D9D9D9" w:themeFill="background1" w:themeFillShade="D9"/>
            <w:vAlign w:val="center"/>
          </w:tcPr>
          <w:p w14:paraId="3C577851" w14:textId="77777777" w:rsidR="006E4E46" w:rsidRDefault="00000000">
            <w:pPr>
              <w:widowControl/>
              <w:ind w:firstLineChars="0" w:firstLine="0"/>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评价分值</w:t>
            </w:r>
          </w:p>
        </w:tc>
        <w:tc>
          <w:tcPr>
            <w:tcW w:w="709" w:type="dxa"/>
            <w:shd w:val="clear" w:color="auto" w:fill="D9D9D9" w:themeFill="background1" w:themeFillShade="D9"/>
            <w:vAlign w:val="center"/>
          </w:tcPr>
          <w:p w14:paraId="02AF854F" w14:textId="77777777" w:rsidR="006E4E46" w:rsidRDefault="00000000">
            <w:pPr>
              <w:widowControl/>
              <w:ind w:firstLineChars="0" w:firstLine="0"/>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条文总分</w:t>
            </w:r>
          </w:p>
        </w:tc>
        <w:tc>
          <w:tcPr>
            <w:tcW w:w="709" w:type="dxa"/>
            <w:shd w:val="clear" w:color="auto" w:fill="D9D9D9" w:themeFill="background1" w:themeFillShade="D9"/>
            <w:vAlign w:val="center"/>
          </w:tcPr>
          <w:p w14:paraId="2299DEEC" w14:textId="77777777" w:rsidR="006E4E46" w:rsidRDefault="00000000">
            <w:pPr>
              <w:widowControl/>
              <w:ind w:firstLineChars="0" w:firstLine="0"/>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类别总分</w:t>
            </w:r>
          </w:p>
        </w:tc>
      </w:tr>
      <w:tr w:rsidR="006E4E46" w14:paraId="0367E50A" w14:textId="77777777">
        <w:trPr>
          <w:trHeight w:val="420"/>
        </w:trPr>
        <w:tc>
          <w:tcPr>
            <w:tcW w:w="457" w:type="dxa"/>
            <w:vMerge w:val="restart"/>
            <w:shd w:val="clear" w:color="auto" w:fill="auto"/>
            <w:vAlign w:val="center"/>
          </w:tcPr>
          <w:p w14:paraId="08C5A1B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br/>
              <w:t>节约用地</w:t>
            </w:r>
          </w:p>
        </w:tc>
        <w:tc>
          <w:tcPr>
            <w:tcW w:w="1485" w:type="dxa"/>
            <w:shd w:val="clear" w:color="000000" w:fill="FFFFFF"/>
            <w:vAlign w:val="center"/>
          </w:tcPr>
          <w:p w14:paraId="20DACDE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1.1</w:t>
            </w:r>
          </w:p>
        </w:tc>
        <w:tc>
          <w:tcPr>
            <w:tcW w:w="5812" w:type="dxa"/>
            <w:gridSpan w:val="4"/>
            <w:shd w:val="clear" w:color="000000" w:fill="FFFFFF"/>
            <w:vAlign w:val="center"/>
          </w:tcPr>
          <w:p w14:paraId="051A665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住区场地安全，无洪涝、滑坡、 泥石流等灾害的威胁, 无危险化学品、 易燃易爆等危险源的威胁, 且无电磁辐射、含氡土壤等危害。</w:t>
            </w:r>
          </w:p>
        </w:tc>
        <w:tc>
          <w:tcPr>
            <w:tcW w:w="708" w:type="dxa"/>
            <w:shd w:val="clear" w:color="000000" w:fill="FFFFFF"/>
            <w:vAlign w:val="center"/>
          </w:tcPr>
          <w:p w14:paraId="60D4293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463ECDA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72640D87" w14:textId="3B8A6CBC"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sidR="00A4106A">
              <w:rPr>
                <w:rFonts w:ascii="仿宋_GB2312" w:eastAsia="仿宋_GB2312" w:hAnsi="宋体" w:cs="宋体" w:hint="eastAsia"/>
                <w:kern w:val="0"/>
                <w:sz w:val="18"/>
                <w:szCs w:val="18"/>
              </w:rPr>
              <w:t>7</w:t>
            </w:r>
          </w:p>
        </w:tc>
      </w:tr>
      <w:tr w:rsidR="006E4E46" w14:paraId="66E88855" w14:textId="77777777">
        <w:trPr>
          <w:trHeight w:val="420"/>
        </w:trPr>
        <w:tc>
          <w:tcPr>
            <w:tcW w:w="457" w:type="dxa"/>
            <w:vMerge/>
            <w:vAlign w:val="center"/>
          </w:tcPr>
          <w:p w14:paraId="43CA60D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45F0DD8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1.2</w:t>
            </w:r>
          </w:p>
        </w:tc>
        <w:tc>
          <w:tcPr>
            <w:tcW w:w="5812" w:type="dxa"/>
            <w:gridSpan w:val="4"/>
            <w:shd w:val="clear" w:color="000000" w:fill="FFFFFF"/>
            <w:vAlign w:val="center"/>
          </w:tcPr>
          <w:p w14:paraId="446F9FA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住区内的建筑和公共绿地符合相关日照标准要求。</w:t>
            </w:r>
          </w:p>
        </w:tc>
        <w:tc>
          <w:tcPr>
            <w:tcW w:w="708" w:type="dxa"/>
            <w:shd w:val="clear" w:color="000000" w:fill="FFFFFF"/>
            <w:vAlign w:val="center"/>
          </w:tcPr>
          <w:p w14:paraId="094D473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000000" w:fill="FFFFFF"/>
            <w:vAlign w:val="center"/>
          </w:tcPr>
          <w:p w14:paraId="74B2495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6B3B30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7A6082C" w14:textId="77777777">
        <w:trPr>
          <w:trHeight w:val="420"/>
        </w:trPr>
        <w:tc>
          <w:tcPr>
            <w:tcW w:w="457" w:type="dxa"/>
            <w:vMerge/>
            <w:vAlign w:val="center"/>
          </w:tcPr>
          <w:p w14:paraId="01C30EE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331F8E9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1.3</w:t>
            </w:r>
          </w:p>
        </w:tc>
        <w:tc>
          <w:tcPr>
            <w:tcW w:w="1559" w:type="dxa"/>
            <w:vMerge w:val="restart"/>
            <w:shd w:val="clear" w:color="000000" w:fill="FFFFFF"/>
            <w:vAlign w:val="center"/>
          </w:tcPr>
          <w:p w14:paraId="5CADBBBA"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以合理容积率为基础，提高土地资源利用效率。</w:t>
            </w:r>
          </w:p>
        </w:tc>
        <w:tc>
          <w:tcPr>
            <w:tcW w:w="4253" w:type="dxa"/>
            <w:gridSpan w:val="3"/>
            <w:shd w:val="clear" w:color="000000" w:fill="FFFFFF"/>
            <w:vAlign w:val="center"/>
          </w:tcPr>
          <w:p w14:paraId="1007B7F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1.住区中不大于90</w:t>
            </w:r>
            <w:r>
              <w:rPr>
                <w:rFonts w:ascii="仿宋_GB2312" w:hAnsi="宋体" w:cs="宋体" w:hint="eastAsia"/>
                <w:kern w:val="0"/>
                <w:sz w:val="18"/>
                <w:szCs w:val="18"/>
              </w:rPr>
              <w:t>㎡</w:t>
            </w:r>
            <w:r>
              <w:rPr>
                <w:rFonts w:ascii="仿宋_GB2312" w:eastAsia="仿宋_GB2312" w:hAnsi="宋体" w:cs="宋体" w:hint="eastAsia"/>
                <w:kern w:val="0"/>
                <w:sz w:val="18"/>
                <w:szCs w:val="18"/>
              </w:rPr>
              <w:t>小户型的住宅面积比例不小于70%</w:t>
            </w:r>
          </w:p>
        </w:tc>
        <w:tc>
          <w:tcPr>
            <w:tcW w:w="708" w:type="dxa"/>
            <w:shd w:val="clear" w:color="000000" w:fill="FFFFFF"/>
            <w:vAlign w:val="center"/>
          </w:tcPr>
          <w:p w14:paraId="132A7AE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000000" w:fill="FFFFFF"/>
            <w:vAlign w:val="center"/>
          </w:tcPr>
          <w:p w14:paraId="5FBA559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0A71B7D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E9B7C69" w14:textId="77777777">
        <w:trPr>
          <w:trHeight w:val="1365"/>
        </w:trPr>
        <w:tc>
          <w:tcPr>
            <w:tcW w:w="457" w:type="dxa"/>
            <w:vMerge/>
            <w:vAlign w:val="center"/>
          </w:tcPr>
          <w:p w14:paraId="479456C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0D0EAA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9C5E50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restart"/>
            <w:shd w:val="clear" w:color="auto" w:fill="auto"/>
            <w:vAlign w:val="center"/>
          </w:tcPr>
          <w:p w14:paraId="07EFFC69"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2.住区人均居住用地指标</w:t>
            </w:r>
          </w:p>
        </w:tc>
        <w:tc>
          <w:tcPr>
            <w:tcW w:w="2694" w:type="dxa"/>
            <w:gridSpan w:val="2"/>
            <w:shd w:val="clear" w:color="auto" w:fill="auto"/>
            <w:vAlign w:val="center"/>
          </w:tcPr>
          <w:p w14:paraId="1CB30AD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3层及以下：35＜A≤41</w:t>
            </w:r>
            <w:r>
              <w:rPr>
                <w:rFonts w:ascii="仿宋_GB2312" w:hAnsi="宋体" w:cs="宋体" w:hint="eastAsia"/>
                <w:kern w:val="0"/>
                <w:sz w:val="18"/>
                <w:szCs w:val="18"/>
              </w:rPr>
              <w:t>㎡</w:t>
            </w:r>
            <w:r>
              <w:rPr>
                <w:rFonts w:ascii="仿宋_GB2312" w:eastAsia="仿宋_GB2312" w:hAnsi="宋体" w:cs="宋体" w:hint="eastAsia"/>
                <w:kern w:val="0"/>
                <w:sz w:val="18"/>
                <w:szCs w:val="18"/>
              </w:rPr>
              <w:br/>
              <w:t>4-6层：23＜A≤26</w:t>
            </w:r>
            <w:r>
              <w:rPr>
                <w:rFonts w:ascii="仿宋_GB2312" w:hAnsi="宋体" w:cs="宋体" w:hint="eastAsia"/>
                <w:kern w:val="0"/>
                <w:sz w:val="18"/>
                <w:szCs w:val="18"/>
              </w:rPr>
              <w:t>㎡</w:t>
            </w:r>
            <w:r>
              <w:rPr>
                <w:rFonts w:ascii="仿宋_GB2312" w:eastAsia="仿宋_GB2312" w:hAnsi="宋体" w:cs="宋体" w:hint="eastAsia"/>
                <w:kern w:val="0"/>
                <w:sz w:val="18"/>
                <w:szCs w:val="18"/>
              </w:rPr>
              <w:br/>
              <w:t>7-12层：22＜A≤24</w:t>
            </w:r>
            <w:r>
              <w:rPr>
                <w:rFonts w:ascii="仿宋_GB2312" w:hAnsi="宋体" w:cs="宋体" w:hint="eastAsia"/>
                <w:kern w:val="0"/>
                <w:sz w:val="18"/>
                <w:szCs w:val="18"/>
              </w:rPr>
              <w:t>㎡</w:t>
            </w:r>
            <w:r>
              <w:rPr>
                <w:rFonts w:ascii="仿宋_GB2312" w:eastAsia="仿宋_GB2312" w:hAnsi="宋体" w:cs="宋体" w:hint="eastAsia"/>
                <w:kern w:val="0"/>
                <w:sz w:val="18"/>
                <w:szCs w:val="18"/>
              </w:rPr>
              <w:br/>
              <w:t>13-18层：20＜A≤22</w:t>
            </w:r>
            <w:r>
              <w:rPr>
                <w:rFonts w:ascii="仿宋_GB2312" w:hAnsi="宋体" w:cs="宋体" w:hint="eastAsia"/>
                <w:kern w:val="0"/>
                <w:sz w:val="18"/>
                <w:szCs w:val="18"/>
              </w:rPr>
              <w:t>㎡</w:t>
            </w:r>
            <w:r>
              <w:rPr>
                <w:rFonts w:ascii="仿宋_GB2312" w:eastAsia="仿宋_GB2312" w:hAnsi="宋体" w:cs="宋体" w:hint="eastAsia"/>
                <w:kern w:val="0"/>
                <w:sz w:val="18"/>
                <w:szCs w:val="18"/>
              </w:rPr>
              <w:br/>
              <w:t>19层及以上：11＜A≤14</w:t>
            </w:r>
            <w:r>
              <w:rPr>
                <w:rFonts w:ascii="仿宋_GB2312" w:hAnsi="宋体" w:cs="宋体" w:hint="eastAsia"/>
                <w:kern w:val="0"/>
                <w:sz w:val="18"/>
                <w:szCs w:val="18"/>
              </w:rPr>
              <w:t>㎡</w:t>
            </w:r>
          </w:p>
        </w:tc>
        <w:tc>
          <w:tcPr>
            <w:tcW w:w="708" w:type="dxa"/>
            <w:shd w:val="clear" w:color="auto" w:fill="auto"/>
            <w:vAlign w:val="center"/>
          </w:tcPr>
          <w:p w14:paraId="1BB35A2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restart"/>
            <w:shd w:val="clear" w:color="000000" w:fill="FFFFFF"/>
            <w:vAlign w:val="center"/>
          </w:tcPr>
          <w:p w14:paraId="4A97778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09" w:type="dxa"/>
            <w:vMerge/>
            <w:vAlign w:val="center"/>
          </w:tcPr>
          <w:p w14:paraId="2FD0F6D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BDFD6A5" w14:textId="77777777">
        <w:trPr>
          <w:trHeight w:val="1455"/>
        </w:trPr>
        <w:tc>
          <w:tcPr>
            <w:tcW w:w="457" w:type="dxa"/>
            <w:vMerge/>
            <w:vAlign w:val="center"/>
          </w:tcPr>
          <w:p w14:paraId="2E00B93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6CCE2A3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C35E1B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A20CE4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57960E0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3层及以下：≤35</w:t>
            </w:r>
            <w:r>
              <w:rPr>
                <w:rFonts w:ascii="仿宋_GB2312" w:hAnsi="宋体" w:cs="宋体" w:hint="eastAsia"/>
                <w:kern w:val="0"/>
                <w:sz w:val="18"/>
                <w:szCs w:val="18"/>
              </w:rPr>
              <w:t>㎡</w:t>
            </w:r>
            <w:r>
              <w:rPr>
                <w:rFonts w:ascii="仿宋_GB2312" w:eastAsia="仿宋_GB2312" w:hAnsi="宋体" w:cs="宋体" w:hint="eastAsia"/>
                <w:kern w:val="0"/>
                <w:sz w:val="18"/>
                <w:szCs w:val="18"/>
              </w:rPr>
              <w:br/>
              <w:t>4-6层：≤23</w:t>
            </w:r>
            <w:r>
              <w:rPr>
                <w:rFonts w:ascii="仿宋_GB2312" w:hAnsi="宋体" w:cs="宋体" w:hint="eastAsia"/>
                <w:kern w:val="0"/>
                <w:sz w:val="18"/>
                <w:szCs w:val="18"/>
              </w:rPr>
              <w:t>㎡</w:t>
            </w:r>
            <w:r>
              <w:rPr>
                <w:rFonts w:ascii="仿宋_GB2312" w:eastAsia="仿宋_GB2312" w:hAnsi="宋体" w:cs="宋体" w:hint="eastAsia"/>
                <w:kern w:val="0"/>
                <w:sz w:val="18"/>
                <w:szCs w:val="18"/>
              </w:rPr>
              <w:br/>
              <w:t>7-12层：≤22</w:t>
            </w:r>
            <w:r>
              <w:rPr>
                <w:rFonts w:ascii="仿宋_GB2312" w:hAnsi="宋体" w:cs="宋体" w:hint="eastAsia"/>
                <w:kern w:val="0"/>
                <w:sz w:val="18"/>
                <w:szCs w:val="18"/>
              </w:rPr>
              <w:t>㎡</w:t>
            </w:r>
            <w:r>
              <w:rPr>
                <w:rFonts w:ascii="仿宋_GB2312" w:eastAsia="仿宋_GB2312" w:hAnsi="宋体" w:cs="宋体" w:hint="eastAsia"/>
                <w:kern w:val="0"/>
                <w:sz w:val="18"/>
                <w:szCs w:val="18"/>
              </w:rPr>
              <w:br/>
              <w:t>13-18层：≤20</w:t>
            </w:r>
            <w:r>
              <w:rPr>
                <w:rFonts w:ascii="仿宋_GB2312" w:hAnsi="宋体" w:cs="宋体" w:hint="eastAsia"/>
                <w:kern w:val="0"/>
                <w:sz w:val="18"/>
                <w:szCs w:val="18"/>
              </w:rPr>
              <w:t>㎡</w:t>
            </w:r>
            <w:r>
              <w:rPr>
                <w:rFonts w:ascii="仿宋_GB2312" w:eastAsia="仿宋_GB2312" w:hAnsi="宋体" w:cs="宋体" w:hint="eastAsia"/>
                <w:kern w:val="0"/>
                <w:sz w:val="18"/>
                <w:szCs w:val="18"/>
              </w:rPr>
              <w:br/>
              <w:t>19层及以上：≤11</w:t>
            </w:r>
            <w:r>
              <w:rPr>
                <w:rFonts w:ascii="仿宋_GB2312" w:hAnsi="宋体" w:cs="宋体" w:hint="eastAsia"/>
                <w:kern w:val="0"/>
                <w:sz w:val="18"/>
                <w:szCs w:val="18"/>
              </w:rPr>
              <w:t>㎡</w:t>
            </w:r>
          </w:p>
        </w:tc>
        <w:tc>
          <w:tcPr>
            <w:tcW w:w="708" w:type="dxa"/>
            <w:shd w:val="clear" w:color="auto" w:fill="auto"/>
            <w:vAlign w:val="center"/>
          </w:tcPr>
          <w:p w14:paraId="32A4D7D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09" w:type="dxa"/>
            <w:vMerge/>
            <w:vAlign w:val="center"/>
          </w:tcPr>
          <w:p w14:paraId="78F84C6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6897352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78802B5" w14:textId="77777777">
        <w:trPr>
          <w:trHeight w:val="390"/>
        </w:trPr>
        <w:tc>
          <w:tcPr>
            <w:tcW w:w="457" w:type="dxa"/>
            <w:vMerge/>
            <w:vAlign w:val="center"/>
          </w:tcPr>
          <w:p w14:paraId="253A1C8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4164734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1.4</w:t>
            </w:r>
          </w:p>
        </w:tc>
        <w:tc>
          <w:tcPr>
            <w:tcW w:w="1559" w:type="dxa"/>
            <w:vMerge w:val="restart"/>
            <w:shd w:val="clear" w:color="auto" w:fill="auto"/>
            <w:vAlign w:val="center"/>
          </w:tcPr>
          <w:p w14:paraId="45A752A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合理开发利用地下空间。</w:t>
            </w:r>
          </w:p>
        </w:tc>
        <w:tc>
          <w:tcPr>
            <w:tcW w:w="1559" w:type="dxa"/>
            <w:vMerge w:val="restart"/>
            <w:shd w:val="clear" w:color="auto" w:fill="auto"/>
            <w:vAlign w:val="center"/>
          </w:tcPr>
          <w:p w14:paraId="3F1A5457"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地下建筑面积占地上建筑面积的比率</w:t>
            </w:r>
          </w:p>
        </w:tc>
        <w:tc>
          <w:tcPr>
            <w:tcW w:w="2694" w:type="dxa"/>
            <w:gridSpan w:val="2"/>
            <w:shd w:val="clear" w:color="auto" w:fill="auto"/>
            <w:vAlign w:val="center"/>
          </w:tcPr>
          <w:p w14:paraId="7022639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不小于15%</w:t>
            </w:r>
          </w:p>
        </w:tc>
        <w:tc>
          <w:tcPr>
            <w:tcW w:w="708" w:type="dxa"/>
            <w:shd w:val="clear" w:color="auto" w:fill="auto"/>
            <w:vAlign w:val="center"/>
          </w:tcPr>
          <w:p w14:paraId="7254B8A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373DD70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5A6F366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9220372" w14:textId="77777777">
        <w:trPr>
          <w:trHeight w:val="390"/>
        </w:trPr>
        <w:tc>
          <w:tcPr>
            <w:tcW w:w="457" w:type="dxa"/>
            <w:vMerge/>
            <w:vAlign w:val="center"/>
          </w:tcPr>
          <w:p w14:paraId="37DCD76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E40A22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0995ED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6D7A86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6A63886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不小于30%</w:t>
            </w:r>
          </w:p>
        </w:tc>
        <w:tc>
          <w:tcPr>
            <w:tcW w:w="708" w:type="dxa"/>
            <w:shd w:val="clear" w:color="auto" w:fill="auto"/>
            <w:vAlign w:val="center"/>
          </w:tcPr>
          <w:p w14:paraId="0773A8E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B225B0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700A606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342FD6" w14:paraId="6858D8D7" w14:textId="77777777">
        <w:trPr>
          <w:trHeight w:val="390"/>
        </w:trPr>
        <w:tc>
          <w:tcPr>
            <w:tcW w:w="457" w:type="dxa"/>
            <w:vMerge/>
            <w:vAlign w:val="center"/>
          </w:tcPr>
          <w:p w14:paraId="15260DB7" w14:textId="77777777" w:rsidR="00342FD6" w:rsidRDefault="00342FD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6FE8DD00" w14:textId="3EBDB0B9" w:rsidR="00342FD6" w:rsidRDefault="00342FD6">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1.5</w:t>
            </w:r>
          </w:p>
        </w:tc>
        <w:tc>
          <w:tcPr>
            <w:tcW w:w="5812" w:type="dxa"/>
            <w:gridSpan w:val="4"/>
            <w:shd w:val="clear" w:color="auto" w:fill="auto"/>
            <w:vAlign w:val="center"/>
          </w:tcPr>
          <w:p w14:paraId="537339B1" w14:textId="590163C4" w:rsidR="00342FD6" w:rsidRPr="00342FD6" w:rsidRDefault="00342FD6" w:rsidP="00342FD6">
            <w:pPr>
              <w:widowControl/>
              <w:ind w:firstLineChars="0" w:firstLine="0"/>
              <w:jc w:val="left"/>
              <w:rPr>
                <w:rFonts w:ascii="仿宋_GB2312" w:eastAsia="仿宋_GB2312" w:hAnsi="宋体" w:cs="宋体" w:hint="eastAsia"/>
                <w:kern w:val="0"/>
                <w:sz w:val="18"/>
                <w:szCs w:val="18"/>
              </w:rPr>
            </w:pPr>
            <w:r w:rsidRPr="003066F6">
              <w:rPr>
                <w:rFonts w:ascii="仿宋_GB2312" w:eastAsia="仿宋_GB2312" w:hAnsi="宋体" w:cs="宋体" w:hint="eastAsia"/>
                <w:kern w:val="0"/>
                <w:sz w:val="18"/>
                <w:szCs w:val="18"/>
              </w:rPr>
              <w:t>按照“平急两用”标准新建或改造具有隔离功能的居住设施，至少2处</w:t>
            </w:r>
          </w:p>
        </w:tc>
        <w:tc>
          <w:tcPr>
            <w:tcW w:w="708" w:type="dxa"/>
            <w:shd w:val="clear" w:color="auto" w:fill="auto"/>
            <w:vAlign w:val="center"/>
          </w:tcPr>
          <w:p w14:paraId="06791C56" w14:textId="3249543B" w:rsidR="00342FD6" w:rsidRPr="00342FD6" w:rsidRDefault="001616B6" w:rsidP="00342FD6">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000000" w:fill="FFFFFF"/>
            <w:vAlign w:val="center"/>
          </w:tcPr>
          <w:p w14:paraId="6F40CB55" w14:textId="2746057C" w:rsidR="00342FD6" w:rsidRDefault="001616B6">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23C56FA5" w14:textId="77777777" w:rsidR="00342FD6" w:rsidRDefault="00342FD6">
            <w:pPr>
              <w:widowControl/>
              <w:ind w:firstLineChars="0" w:firstLine="0"/>
              <w:jc w:val="left"/>
              <w:rPr>
                <w:rFonts w:ascii="仿宋_GB2312" w:eastAsia="仿宋_GB2312" w:hAnsi="宋体" w:cs="宋体" w:hint="eastAsia"/>
                <w:kern w:val="0"/>
                <w:sz w:val="18"/>
                <w:szCs w:val="18"/>
              </w:rPr>
            </w:pPr>
          </w:p>
        </w:tc>
      </w:tr>
      <w:tr w:rsidR="001616B6" w14:paraId="7424A65B" w14:textId="77777777">
        <w:trPr>
          <w:trHeight w:val="390"/>
        </w:trPr>
        <w:tc>
          <w:tcPr>
            <w:tcW w:w="457" w:type="dxa"/>
            <w:vMerge/>
            <w:vAlign w:val="center"/>
          </w:tcPr>
          <w:p w14:paraId="563015D8" w14:textId="77777777" w:rsidR="001616B6" w:rsidRDefault="001616B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0DC2E826" w14:textId="10DBE295" w:rsidR="001616B6" w:rsidRDefault="001616B6">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1.6</w:t>
            </w:r>
          </w:p>
        </w:tc>
        <w:tc>
          <w:tcPr>
            <w:tcW w:w="5812" w:type="dxa"/>
            <w:gridSpan w:val="4"/>
            <w:shd w:val="clear" w:color="auto" w:fill="auto"/>
            <w:vAlign w:val="center"/>
          </w:tcPr>
          <w:p w14:paraId="0950A3C5" w14:textId="5F7AC361" w:rsidR="001616B6" w:rsidRDefault="001616B6">
            <w:pPr>
              <w:widowControl/>
              <w:ind w:firstLineChars="0" w:firstLine="0"/>
              <w:jc w:val="left"/>
              <w:rPr>
                <w:rFonts w:ascii="仿宋_GB2312" w:eastAsia="仿宋_GB2312" w:hAnsi="宋体" w:cs="宋体" w:hint="eastAsia"/>
                <w:kern w:val="0"/>
                <w:sz w:val="18"/>
                <w:szCs w:val="18"/>
              </w:rPr>
            </w:pPr>
            <w:r w:rsidRPr="003066F6">
              <w:rPr>
                <w:rFonts w:ascii="仿宋_GB2312" w:eastAsia="仿宋_GB2312" w:hAnsi="宋体" w:cs="宋体" w:hint="eastAsia"/>
                <w:kern w:val="0"/>
                <w:sz w:val="18"/>
                <w:szCs w:val="18"/>
              </w:rPr>
              <w:t>按照“平急两用”标准，完善综合防灾、市政基础设施等支撑体系，包括应急通道、应急避难场所等综合防灾设施以及通信设施、垃圾处理和污水处理等市政基础设施</w:t>
            </w:r>
            <w:r>
              <w:rPr>
                <w:rFonts w:ascii="仿宋_GB2312" w:eastAsia="仿宋_GB2312" w:hAnsi="宋体" w:cs="宋体" w:hint="eastAsia"/>
                <w:kern w:val="0"/>
                <w:sz w:val="18"/>
                <w:szCs w:val="18"/>
              </w:rPr>
              <w:t>.</w:t>
            </w:r>
          </w:p>
        </w:tc>
        <w:tc>
          <w:tcPr>
            <w:tcW w:w="708" w:type="dxa"/>
            <w:shd w:val="clear" w:color="auto" w:fill="auto"/>
            <w:vAlign w:val="center"/>
          </w:tcPr>
          <w:p w14:paraId="75A76540" w14:textId="301E31CB" w:rsidR="001616B6" w:rsidRPr="001616B6" w:rsidRDefault="001616B6">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000000" w:fill="FFFFFF"/>
            <w:vAlign w:val="center"/>
          </w:tcPr>
          <w:p w14:paraId="31E43A4B" w14:textId="34AFA852" w:rsidR="001616B6" w:rsidRDefault="001616B6">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1B9D1468" w14:textId="77777777" w:rsidR="001616B6" w:rsidRDefault="001616B6">
            <w:pPr>
              <w:widowControl/>
              <w:ind w:firstLineChars="0" w:firstLine="0"/>
              <w:jc w:val="left"/>
              <w:rPr>
                <w:rFonts w:ascii="仿宋_GB2312" w:eastAsia="仿宋_GB2312" w:hAnsi="宋体" w:cs="宋体" w:hint="eastAsia"/>
                <w:kern w:val="0"/>
                <w:sz w:val="18"/>
                <w:szCs w:val="18"/>
              </w:rPr>
            </w:pPr>
          </w:p>
        </w:tc>
      </w:tr>
      <w:tr w:rsidR="006E4E46" w14:paraId="65C7AE0D" w14:textId="77777777">
        <w:trPr>
          <w:trHeight w:val="390"/>
        </w:trPr>
        <w:tc>
          <w:tcPr>
            <w:tcW w:w="457" w:type="dxa"/>
            <w:vMerge/>
            <w:vAlign w:val="center"/>
          </w:tcPr>
          <w:p w14:paraId="08EB222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3F890D2D" w14:textId="487A3074"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sidR="001616B6">
              <w:rPr>
                <w:rFonts w:ascii="仿宋_GB2312" w:eastAsia="仿宋_GB2312" w:hAnsi="宋体" w:cs="宋体" w:hint="eastAsia"/>
                <w:kern w:val="0"/>
                <w:sz w:val="18"/>
                <w:szCs w:val="18"/>
              </w:rPr>
              <w:t>7</w:t>
            </w:r>
          </w:p>
        </w:tc>
        <w:tc>
          <w:tcPr>
            <w:tcW w:w="5812" w:type="dxa"/>
            <w:gridSpan w:val="4"/>
            <w:shd w:val="clear" w:color="auto" w:fill="auto"/>
            <w:vAlign w:val="center"/>
          </w:tcPr>
          <w:p w14:paraId="07CB523D" w14:textId="2EA9832C"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w:t>
            </w:r>
            <w:r w:rsidR="00342FD6">
              <w:rPr>
                <w:rFonts w:ascii="仿宋_GB2312" w:eastAsia="仿宋_GB2312" w:hAnsi="宋体" w:cs="宋体" w:hint="eastAsia"/>
                <w:kern w:val="0"/>
                <w:sz w:val="18"/>
                <w:szCs w:val="18"/>
              </w:rPr>
              <w:t>若</w:t>
            </w:r>
            <w:r>
              <w:rPr>
                <w:rFonts w:ascii="仿宋_GB2312" w:eastAsia="仿宋_GB2312" w:hAnsi="宋体" w:cs="宋体" w:hint="eastAsia"/>
                <w:kern w:val="0"/>
                <w:sz w:val="18"/>
                <w:szCs w:val="18"/>
              </w:rPr>
              <w:t>利用废弃场地进行建设，对被轻度污染的部分或全部用地进行有效处理，未对人居环境造成不利影响。</w:t>
            </w:r>
          </w:p>
        </w:tc>
        <w:tc>
          <w:tcPr>
            <w:tcW w:w="708" w:type="dxa"/>
            <w:shd w:val="clear" w:color="auto" w:fill="auto"/>
            <w:vAlign w:val="center"/>
          </w:tcPr>
          <w:p w14:paraId="1E1EAE4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1A11860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D4FB461"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9680787" w14:textId="77777777">
        <w:trPr>
          <w:trHeight w:val="420"/>
        </w:trPr>
        <w:tc>
          <w:tcPr>
            <w:tcW w:w="457" w:type="dxa"/>
            <w:vMerge w:val="restart"/>
            <w:shd w:val="clear" w:color="auto" w:fill="auto"/>
            <w:vAlign w:val="center"/>
          </w:tcPr>
          <w:p w14:paraId="386D072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br/>
              <w:t>环境</w:t>
            </w:r>
            <w:r>
              <w:rPr>
                <w:rFonts w:ascii="仿宋_GB2312" w:eastAsia="仿宋_GB2312" w:hAnsi="宋体" w:cs="宋体" w:hint="eastAsia"/>
                <w:kern w:val="0"/>
                <w:sz w:val="18"/>
                <w:szCs w:val="18"/>
              </w:rPr>
              <w:lastRenderedPageBreak/>
              <w:t xml:space="preserve">营造                              </w:t>
            </w:r>
          </w:p>
        </w:tc>
        <w:tc>
          <w:tcPr>
            <w:tcW w:w="1485" w:type="dxa"/>
            <w:vMerge w:val="restart"/>
            <w:shd w:val="clear" w:color="000000" w:fill="FFFFFF"/>
            <w:vAlign w:val="center"/>
          </w:tcPr>
          <w:p w14:paraId="49B7781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2.1</w:t>
            </w:r>
          </w:p>
        </w:tc>
        <w:tc>
          <w:tcPr>
            <w:tcW w:w="1559" w:type="dxa"/>
            <w:vMerge w:val="restart"/>
            <w:shd w:val="clear" w:color="auto" w:fill="auto"/>
            <w:vAlign w:val="center"/>
          </w:tcPr>
          <w:p w14:paraId="1E871B4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住区建设充分保护和利用原有场地的地形地貌、</w:t>
            </w:r>
            <w:r>
              <w:rPr>
                <w:rFonts w:ascii="仿宋_GB2312" w:eastAsia="仿宋_GB2312" w:hAnsi="宋体" w:cs="宋体" w:hint="eastAsia"/>
                <w:kern w:val="0"/>
                <w:sz w:val="18"/>
                <w:szCs w:val="18"/>
              </w:rPr>
              <w:lastRenderedPageBreak/>
              <w:t>自然水系和植被等自然资源。</w:t>
            </w:r>
          </w:p>
        </w:tc>
        <w:tc>
          <w:tcPr>
            <w:tcW w:w="4253" w:type="dxa"/>
            <w:gridSpan w:val="3"/>
            <w:shd w:val="clear" w:color="auto" w:fill="auto"/>
            <w:vAlign w:val="center"/>
          </w:tcPr>
          <w:p w14:paraId="402DE4C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1.保护和利用原有场地的地形地貌、水系和湿地，保证住区内湿地率不减少。</w:t>
            </w:r>
          </w:p>
        </w:tc>
        <w:tc>
          <w:tcPr>
            <w:tcW w:w="708" w:type="dxa"/>
            <w:shd w:val="clear" w:color="auto" w:fill="auto"/>
            <w:vAlign w:val="center"/>
          </w:tcPr>
          <w:p w14:paraId="3BAEA7C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000000" w:fill="FFFFFF"/>
            <w:vAlign w:val="center"/>
          </w:tcPr>
          <w:p w14:paraId="3667059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294F11B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Pr>
                <w:rFonts w:ascii="仿宋_GB2312" w:eastAsia="仿宋_GB2312" w:hAnsi="宋体" w:cs="宋体"/>
                <w:kern w:val="0"/>
                <w:sz w:val="18"/>
                <w:szCs w:val="18"/>
              </w:rPr>
              <w:t>5</w:t>
            </w:r>
          </w:p>
        </w:tc>
      </w:tr>
      <w:tr w:rsidR="006E4E46" w14:paraId="34B1071A" w14:textId="77777777">
        <w:trPr>
          <w:trHeight w:val="420"/>
        </w:trPr>
        <w:tc>
          <w:tcPr>
            <w:tcW w:w="457" w:type="dxa"/>
            <w:vMerge/>
            <w:vAlign w:val="center"/>
          </w:tcPr>
          <w:p w14:paraId="06F5A2A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86DCDF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7843D4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372F828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2.保留或生态恢复原有场地内的生态植被，包括绿</w:t>
            </w:r>
            <w:r>
              <w:rPr>
                <w:rFonts w:ascii="仿宋_GB2312" w:eastAsia="仿宋_GB2312" w:hAnsi="宋体" w:cs="宋体" w:hint="eastAsia"/>
                <w:kern w:val="0"/>
                <w:sz w:val="18"/>
                <w:szCs w:val="18"/>
              </w:rPr>
              <w:lastRenderedPageBreak/>
              <w:t>地、树木等</w:t>
            </w:r>
          </w:p>
        </w:tc>
        <w:tc>
          <w:tcPr>
            <w:tcW w:w="708" w:type="dxa"/>
            <w:shd w:val="clear" w:color="auto" w:fill="auto"/>
            <w:vAlign w:val="center"/>
          </w:tcPr>
          <w:p w14:paraId="34AEE4D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0.5</w:t>
            </w:r>
          </w:p>
        </w:tc>
        <w:tc>
          <w:tcPr>
            <w:tcW w:w="709" w:type="dxa"/>
            <w:vMerge/>
            <w:vAlign w:val="center"/>
          </w:tcPr>
          <w:p w14:paraId="348E9CC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5E210B07"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FC3F377" w14:textId="77777777">
        <w:trPr>
          <w:trHeight w:val="420"/>
        </w:trPr>
        <w:tc>
          <w:tcPr>
            <w:tcW w:w="457" w:type="dxa"/>
            <w:vMerge/>
            <w:vAlign w:val="center"/>
          </w:tcPr>
          <w:p w14:paraId="066A381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33F6239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w:t>
            </w:r>
          </w:p>
        </w:tc>
        <w:tc>
          <w:tcPr>
            <w:tcW w:w="1559" w:type="dxa"/>
            <w:vMerge w:val="restart"/>
            <w:shd w:val="clear" w:color="auto" w:fill="auto"/>
            <w:vAlign w:val="center"/>
          </w:tcPr>
          <w:p w14:paraId="04C141C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住区绿地采用集中与分散相结合，形成点、线面相结合的绿网系统。</w:t>
            </w:r>
          </w:p>
        </w:tc>
        <w:tc>
          <w:tcPr>
            <w:tcW w:w="1559" w:type="dxa"/>
            <w:vMerge w:val="restart"/>
            <w:shd w:val="clear" w:color="auto" w:fill="auto"/>
            <w:vAlign w:val="center"/>
          </w:tcPr>
          <w:p w14:paraId="050495C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1.绿地率（既有住区改造项目可减少5%）</w:t>
            </w:r>
          </w:p>
        </w:tc>
        <w:tc>
          <w:tcPr>
            <w:tcW w:w="2694" w:type="dxa"/>
            <w:gridSpan w:val="2"/>
            <w:shd w:val="clear" w:color="auto" w:fill="auto"/>
            <w:vAlign w:val="center"/>
          </w:tcPr>
          <w:p w14:paraId="1BF1E4A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不小于30%</w:t>
            </w:r>
          </w:p>
        </w:tc>
        <w:tc>
          <w:tcPr>
            <w:tcW w:w="708" w:type="dxa"/>
            <w:shd w:val="clear" w:color="auto" w:fill="auto"/>
            <w:vAlign w:val="center"/>
          </w:tcPr>
          <w:p w14:paraId="29DCD45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000000" w:fill="FFFFFF"/>
            <w:vAlign w:val="center"/>
          </w:tcPr>
          <w:p w14:paraId="17CA33D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4333A815"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B953A50" w14:textId="77777777">
        <w:trPr>
          <w:trHeight w:val="420"/>
        </w:trPr>
        <w:tc>
          <w:tcPr>
            <w:tcW w:w="457" w:type="dxa"/>
            <w:vMerge/>
            <w:vAlign w:val="center"/>
          </w:tcPr>
          <w:p w14:paraId="0B5FDAC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759914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2277AC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F9F103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143E16F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不小于33%</w:t>
            </w:r>
          </w:p>
        </w:tc>
        <w:tc>
          <w:tcPr>
            <w:tcW w:w="708" w:type="dxa"/>
            <w:shd w:val="clear" w:color="auto" w:fill="auto"/>
            <w:vAlign w:val="center"/>
          </w:tcPr>
          <w:p w14:paraId="2D03439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7145C7F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D15E23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B6C9E3A" w14:textId="77777777">
        <w:trPr>
          <w:trHeight w:val="420"/>
        </w:trPr>
        <w:tc>
          <w:tcPr>
            <w:tcW w:w="457" w:type="dxa"/>
            <w:vMerge/>
            <w:vAlign w:val="center"/>
          </w:tcPr>
          <w:p w14:paraId="56EB0E7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295D6C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95E307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D7635B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4AF6E027"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不小于36%</w:t>
            </w:r>
          </w:p>
        </w:tc>
        <w:tc>
          <w:tcPr>
            <w:tcW w:w="708" w:type="dxa"/>
            <w:shd w:val="clear" w:color="auto" w:fill="auto"/>
            <w:vAlign w:val="center"/>
          </w:tcPr>
          <w:p w14:paraId="7C0226F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99E842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5141FBFB"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6553E03" w14:textId="77777777">
        <w:trPr>
          <w:trHeight w:val="420"/>
        </w:trPr>
        <w:tc>
          <w:tcPr>
            <w:tcW w:w="457" w:type="dxa"/>
            <w:vMerge/>
            <w:vAlign w:val="center"/>
          </w:tcPr>
          <w:p w14:paraId="40FF134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494511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8F8546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restart"/>
            <w:shd w:val="clear" w:color="auto" w:fill="auto"/>
            <w:vAlign w:val="center"/>
          </w:tcPr>
          <w:p w14:paraId="09C99901" w14:textId="741CC78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2.人均</w:t>
            </w:r>
            <w:r w:rsidR="00567747">
              <w:rPr>
                <w:rFonts w:ascii="仿宋_GB2312" w:eastAsia="仿宋_GB2312" w:hAnsi="宋体" w:cs="宋体" w:hint="eastAsia"/>
                <w:kern w:val="0"/>
                <w:sz w:val="18"/>
                <w:szCs w:val="18"/>
              </w:rPr>
              <w:t>公园</w:t>
            </w:r>
            <w:r>
              <w:rPr>
                <w:rFonts w:ascii="仿宋_GB2312" w:eastAsia="仿宋_GB2312" w:hAnsi="宋体" w:cs="宋体" w:hint="eastAsia"/>
                <w:kern w:val="0"/>
                <w:sz w:val="18"/>
                <w:szCs w:val="18"/>
              </w:rPr>
              <w:t>绿地面积</w:t>
            </w:r>
          </w:p>
        </w:tc>
        <w:tc>
          <w:tcPr>
            <w:tcW w:w="2694" w:type="dxa"/>
            <w:gridSpan w:val="2"/>
            <w:shd w:val="clear" w:color="auto" w:fill="auto"/>
            <w:vAlign w:val="center"/>
          </w:tcPr>
          <w:p w14:paraId="15FF82B3" w14:textId="0F1F7FE1"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w:t>
            </w:r>
            <w:r w:rsidR="00567747">
              <w:rPr>
                <w:rFonts w:ascii="仿宋_GB2312" w:eastAsia="仿宋_GB2312" w:hAnsi="宋体" w:cs="宋体" w:hint="eastAsia"/>
                <w:kern w:val="0"/>
                <w:sz w:val="18"/>
                <w:szCs w:val="18"/>
              </w:rPr>
              <w:t>12</w:t>
            </w:r>
            <w:r>
              <w:rPr>
                <w:rFonts w:ascii="仿宋_GB2312" w:hAnsi="宋体" w:cs="宋体" w:hint="eastAsia"/>
                <w:kern w:val="0"/>
                <w:sz w:val="18"/>
                <w:szCs w:val="18"/>
              </w:rPr>
              <w:t>㎡</w:t>
            </w:r>
          </w:p>
        </w:tc>
        <w:tc>
          <w:tcPr>
            <w:tcW w:w="708" w:type="dxa"/>
            <w:shd w:val="clear" w:color="auto" w:fill="auto"/>
            <w:vAlign w:val="center"/>
          </w:tcPr>
          <w:p w14:paraId="0645BD8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3C83EBB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BF66389"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4DE5FBB" w14:textId="77777777">
        <w:trPr>
          <w:trHeight w:val="420"/>
        </w:trPr>
        <w:tc>
          <w:tcPr>
            <w:tcW w:w="457" w:type="dxa"/>
            <w:vMerge/>
            <w:vAlign w:val="center"/>
          </w:tcPr>
          <w:p w14:paraId="2F38B84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E01742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8D29EA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31DC21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77AAC5A3" w14:textId="46799BB3"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w:t>
            </w:r>
            <w:r w:rsidR="00567747">
              <w:rPr>
                <w:rFonts w:ascii="仿宋_GB2312" w:eastAsia="仿宋_GB2312" w:hAnsi="宋体" w:cs="宋体" w:hint="eastAsia"/>
                <w:kern w:val="0"/>
                <w:sz w:val="18"/>
                <w:szCs w:val="18"/>
              </w:rPr>
              <w:t>17</w:t>
            </w:r>
            <w:r>
              <w:rPr>
                <w:rFonts w:ascii="仿宋_GB2312" w:hAnsi="宋体" w:cs="宋体" w:hint="eastAsia"/>
                <w:kern w:val="0"/>
                <w:sz w:val="18"/>
                <w:szCs w:val="18"/>
              </w:rPr>
              <w:t>㎡</w:t>
            </w:r>
          </w:p>
        </w:tc>
        <w:tc>
          <w:tcPr>
            <w:tcW w:w="708" w:type="dxa"/>
            <w:shd w:val="clear" w:color="auto" w:fill="auto"/>
            <w:vAlign w:val="center"/>
          </w:tcPr>
          <w:p w14:paraId="6D6CF8A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88BCAA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75EA341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C2B7DB2" w14:textId="77777777">
        <w:trPr>
          <w:trHeight w:val="420"/>
        </w:trPr>
        <w:tc>
          <w:tcPr>
            <w:tcW w:w="457" w:type="dxa"/>
            <w:vMerge/>
            <w:vAlign w:val="center"/>
          </w:tcPr>
          <w:p w14:paraId="520B541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17A5B0F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.3</w:t>
            </w:r>
          </w:p>
        </w:tc>
        <w:tc>
          <w:tcPr>
            <w:tcW w:w="5812" w:type="dxa"/>
            <w:gridSpan w:val="4"/>
            <w:shd w:val="clear" w:color="auto" w:fill="auto"/>
            <w:vAlign w:val="center"/>
          </w:tcPr>
          <w:p w14:paraId="4A8235C4" w14:textId="37AD806D"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住区达到“3</w:t>
            </w:r>
            <w:r>
              <w:rPr>
                <w:rFonts w:ascii="仿宋_GB2312" w:eastAsia="仿宋_GB2312" w:hAnsi="宋体" w:cs="宋体"/>
                <w:kern w:val="0"/>
                <w:sz w:val="18"/>
                <w:szCs w:val="18"/>
              </w:rPr>
              <w:t>00</w:t>
            </w:r>
            <w:r>
              <w:rPr>
                <w:rFonts w:ascii="仿宋_GB2312" w:eastAsia="仿宋_GB2312" w:hAnsi="宋体" w:cs="宋体" w:hint="eastAsia"/>
                <w:kern w:val="0"/>
                <w:sz w:val="18"/>
                <w:szCs w:val="18"/>
              </w:rPr>
              <w:t>米见绿，5</w:t>
            </w:r>
            <w:r>
              <w:rPr>
                <w:rFonts w:ascii="仿宋_GB2312" w:eastAsia="仿宋_GB2312" w:hAnsi="宋体" w:cs="宋体"/>
                <w:kern w:val="0"/>
                <w:sz w:val="18"/>
                <w:szCs w:val="18"/>
              </w:rPr>
              <w:t>00</w:t>
            </w:r>
            <w:r>
              <w:rPr>
                <w:rFonts w:ascii="仿宋_GB2312" w:eastAsia="仿宋_GB2312" w:hAnsi="宋体" w:cs="宋体" w:hint="eastAsia"/>
                <w:kern w:val="0"/>
                <w:sz w:val="18"/>
                <w:szCs w:val="18"/>
              </w:rPr>
              <w:t>米入园”的要求，即住区周围3</w:t>
            </w:r>
            <w:r>
              <w:rPr>
                <w:rFonts w:ascii="仿宋_GB2312" w:eastAsia="仿宋_GB2312" w:hAnsi="宋体" w:cs="宋体"/>
                <w:kern w:val="0"/>
                <w:sz w:val="18"/>
                <w:szCs w:val="18"/>
              </w:rPr>
              <w:t>00</w:t>
            </w:r>
            <w:r>
              <w:rPr>
                <w:rFonts w:ascii="仿宋_GB2312" w:eastAsia="仿宋_GB2312" w:hAnsi="宋体" w:cs="宋体" w:hint="eastAsia"/>
                <w:kern w:val="0"/>
                <w:sz w:val="18"/>
                <w:szCs w:val="18"/>
              </w:rPr>
              <w:t>米步行范围内具有小型绿地，5</w:t>
            </w:r>
            <w:r>
              <w:rPr>
                <w:rFonts w:ascii="仿宋_GB2312" w:eastAsia="仿宋_GB2312" w:hAnsi="宋体" w:cs="宋体"/>
                <w:kern w:val="0"/>
                <w:sz w:val="18"/>
                <w:szCs w:val="18"/>
              </w:rPr>
              <w:t>00</w:t>
            </w:r>
            <w:r>
              <w:rPr>
                <w:rFonts w:ascii="仿宋_GB2312" w:eastAsia="仿宋_GB2312" w:hAnsi="宋体" w:cs="宋体" w:hint="eastAsia"/>
                <w:kern w:val="0"/>
                <w:sz w:val="18"/>
                <w:szCs w:val="18"/>
              </w:rPr>
              <w:t>米步行范围内具有公园绿地。</w:t>
            </w:r>
          </w:p>
        </w:tc>
        <w:tc>
          <w:tcPr>
            <w:tcW w:w="708" w:type="dxa"/>
            <w:shd w:val="clear" w:color="auto" w:fill="auto"/>
            <w:vAlign w:val="center"/>
          </w:tcPr>
          <w:p w14:paraId="005571B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68F8B80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8B894A6"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735E0D4" w14:textId="77777777">
        <w:trPr>
          <w:trHeight w:val="420"/>
        </w:trPr>
        <w:tc>
          <w:tcPr>
            <w:tcW w:w="457" w:type="dxa"/>
            <w:vMerge/>
            <w:vAlign w:val="center"/>
          </w:tcPr>
          <w:p w14:paraId="3B81E3E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01106D9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4</w:t>
            </w:r>
          </w:p>
        </w:tc>
        <w:tc>
          <w:tcPr>
            <w:tcW w:w="5812" w:type="dxa"/>
            <w:gridSpan w:val="4"/>
            <w:shd w:val="clear" w:color="auto" w:fill="auto"/>
            <w:vAlign w:val="center"/>
          </w:tcPr>
          <w:p w14:paraId="6E48B91B" w14:textId="5F9D54C5"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绿化物种选择适应北京地区气候和土壤条件的乡土植物，选用少维护、耐候性强、病虫害少、对人体无害的植物。</w:t>
            </w:r>
            <w:r w:rsidR="00567747" w:rsidRPr="00567747">
              <w:rPr>
                <w:rFonts w:ascii="仿宋_GB2312" w:eastAsia="仿宋_GB2312" w:hAnsi="宋体" w:cs="宋体" w:hint="eastAsia"/>
                <w:kern w:val="0"/>
                <w:sz w:val="18"/>
                <w:szCs w:val="18"/>
              </w:rPr>
              <w:t>乡土树种使用率</w:t>
            </w:r>
            <w:r w:rsidR="00567747">
              <w:rPr>
                <w:rFonts w:ascii="仿宋_GB2312" w:eastAsia="仿宋_GB2312" w:hAnsi="宋体" w:cs="宋体" w:hint="eastAsia"/>
                <w:kern w:val="0"/>
                <w:sz w:val="18"/>
                <w:szCs w:val="18"/>
              </w:rPr>
              <w:t>不低于80%</w:t>
            </w:r>
          </w:p>
        </w:tc>
        <w:tc>
          <w:tcPr>
            <w:tcW w:w="708" w:type="dxa"/>
            <w:shd w:val="clear" w:color="auto" w:fill="auto"/>
            <w:vAlign w:val="center"/>
          </w:tcPr>
          <w:p w14:paraId="76F221B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4203636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170A74F7"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5182CFD" w14:textId="77777777">
        <w:trPr>
          <w:trHeight w:val="420"/>
        </w:trPr>
        <w:tc>
          <w:tcPr>
            <w:tcW w:w="457" w:type="dxa"/>
            <w:vMerge/>
            <w:vAlign w:val="center"/>
          </w:tcPr>
          <w:p w14:paraId="38FEE83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261FD04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5</w:t>
            </w:r>
          </w:p>
        </w:tc>
        <w:tc>
          <w:tcPr>
            <w:tcW w:w="5812" w:type="dxa"/>
            <w:gridSpan w:val="4"/>
            <w:shd w:val="clear" w:color="auto" w:fill="auto"/>
            <w:vAlign w:val="center"/>
          </w:tcPr>
          <w:p w14:paraId="2D866AD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住区绿化方式采用乔、灌、草及层间植物相结合的复层绿化。每100</w:t>
            </w:r>
            <w:r>
              <w:rPr>
                <w:rFonts w:ascii="仿宋_GB2312" w:hAnsi="宋体" w:cs="宋体" w:hint="eastAsia"/>
                <w:kern w:val="0"/>
                <w:sz w:val="18"/>
                <w:szCs w:val="18"/>
              </w:rPr>
              <w:t>㎡</w:t>
            </w:r>
            <w:r>
              <w:rPr>
                <w:rFonts w:ascii="仿宋_GB2312" w:eastAsia="仿宋_GB2312" w:hAnsi="宋体" w:cs="宋体" w:hint="eastAsia"/>
                <w:kern w:val="0"/>
                <w:sz w:val="18"/>
                <w:szCs w:val="18"/>
              </w:rPr>
              <w:t>绿地上乔木量不少于3株，灌木量不少于10株。</w:t>
            </w:r>
          </w:p>
        </w:tc>
        <w:tc>
          <w:tcPr>
            <w:tcW w:w="708" w:type="dxa"/>
            <w:shd w:val="clear" w:color="auto" w:fill="auto"/>
            <w:vAlign w:val="center"/>
          </w:tcPr>
          <w:p w14:paraId="18BDB0A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shd w:val="clear" w:color="000000" w:fill="FFFFFF"/>
            <w:vAlign w:val="center"/>
          </w:tcPr>
          <w:p w14:paraId="402E6B0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4FCDCC01"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F9C4256" w14:textId="77777777">
        <w:trPr>
          <w:trHeight w:val="450"/>
        </w:trPr>
        <w:tc>
          <w:tcPr>
            <w:tcW w:w="457" w:type="dxa"/>
            <w:vMerge/>
            <w:vAlign w:val="center"/>
          </w:tcPr>
          <w:p w14:paraId="2B82AB9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4EFDBD3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6</w:t>
            </w:r>
          </w:p>
        </w:tc>
        <w:tc>
          <w:tcPr>
            <w:tcW w:w="5812" w:type="dxa"/>
            <w:gridSpan w:val="4"/>
            <w:shd w:val="clear" w:color="auto" w:fill="auto"/>
            <w:vAlign w:val="center"/>
          </w:tcPr>
          <w:p w14:paraId="7750960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绿化选用木本植物种类满足住区用地面积≤5万</w:t>
            </w:r>
            <w:r>
              <w:rPr>
                <w:rFonts w:ascii="仿宋_GB2312" w:hAnsi="宋体" w:cs="宋体" w:hint="eastAsia"/>
                <w:kern w:val="0"/>
                <w:sz w:val="18"/>
                <w:szCs w:val="18"/>
              </w:rPr>
              <w:t>㎡</w:t>
            </w:r>
            <w:r>
              <w:rPr>
                <w:rFonts w:ascii="仿宋_GB2312" w:eastAsia="仿宋_GB2312" w:hAnsi="宋体" w:cs="宋体" w:hint="eastAsia"/>
                <w:kern w:val="0"/>
                <w:sz w:val="18"/>
                <w:szCs w:val="18"/>
              </w:rPr>
              <w:t>时不少于30种，住区用地面积5~10万</w:t>
            </w:r>
            <w:r>
              <w:rPr>
                <w:rFonts w:ascii="仿宋_GB2312" w:hAnsi="宋体" w:cs="宋体" w:hint="eastAsia"/>
                <w:kern w:val="0"/>
                <w:sz w:val="18"/>
                <w:szCs w:val="18"/>
              </w:rPr>
              <w:t>㎡</w:t>
            </w:r>
            <w:r>
              <w:rPr>
                <w:rFonts w:ascii="仿宋_GB2312" w:eastAsia="仿宋_GB2312" w:hAnsi="宋体" w:cs="宋体" w:hint="eastAsia"/>
                <w:kern w:val="0"/>
                <w:sz w:val="18"/>
                <w:szCs w:val="18"/>
              </w:rPr>
              <w:t>时不少于35种，住区用地面积≥10万</w:t>
            </w:r>
            <w:r>
              <w:rPr>
                <w:rFonts w:ascii="仿宋_GB2312" w:hAnsi="宋体" w:cs="宋体" w:hint="eastAsia"/>
                <w:kern w:val="0"/>
                <w:sz w:val="18"/>
                <w:szCs w:val="18"/>
              </w:rPr>
              <w:t>㎡</w:t>
            </w:r>
            <w:r>
              <w:rPr>
                <w:rFonts w:ascii="仿宋_GB2312" w:eastAsia="仿宋_GB2312" w:hAnsi="宋体" w:cs="宋体" w:hint="eastAsia"/>
                <w:kern w:val="0"/>
                <w:sz w:val="18"/>
                <w:szCs w:val="18"/>
              </w:rPr>
              <w:t>时不少于40种。</w:t>
            </w:r>
          </w:p>
        </w:tc>
        <w:tc>
          <w:tcPr>
            <w:tcW w:w="708" w:type="dxa"/>
            <w:shd w:val="clear" w:color="auto" w:fill="auto"/>
            <w:vAlign w:val="center"/>
          </w:tcPr>
          <w:p w14:paraId="6998B3C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shd w:val="clear" w:color="000000" w:fill="FFFFFF"/>
            <w:vAlign w:val="center"/>
          </w:tcPr>
          <w:p w14:paraId="2236CC4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2B470BCB"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10187C5" w14:textId="77777777">
        <w:trPr>
          <w:trHeight w:val="615"/>
        </w:trPr>
        <w:tc>
          <w:tcPr>
            <w:tcW w:w="457" w:type="dxa"/>
            <w:vMerge/>
            <w:vAlign w:val="center"/>
          </w:tcPr>
          <w:p w14:paraId="08A9C40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73D2BBE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7</w:t>
            </w:r>
          </w:p>
        </w:tc>
        <w:tc>
          <w:tcPr>
            <w:tcW w:w="1559" w:type="dxa"/>
            <w:vMerge w:val="restart"/>
            <w:shd w:val="clear" w:color="auto" w:fill="auto"/>
            <w:vAlign w:val="center"/>
          </w:tcPr>
          <w:p w14:paraId="76805C7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住区光环境有效控制。</w:t>
            </w:r>
          </w:p>
        </w:tc>
        <w:tc>
          <w:tcPr>
            <w:tcW w:w="4253" w:type="dxa"/>
            <w:gridSpan w:val="3"/>
            <w:shd w:val="clear" w:color="auto" w:fill="auto"/>
            <w:vAlign w:val="center"/>
          </w:tcPr>
          <w:p w14:paraId="35676A3D"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1.控制室外照明中射向夜空、住户外窗和溢出场地边界的光束，夜景照明设计符合《城市夜景照明设计规范》JGJ/T 163 的要求</w:t>
            </w:r>
          </w:p>
        </w:tc>
        <w:tc>
          <w:tcPr>
            <w:tcW w:w="708" w:type="dxa"/>
            <w:shd w:val="clear" w:color="auto" w:fill="auto"/>
            <w:vAlign w:val="center"/>
          </w:tcPr>
          <w:p w14:paraId="5B63847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000000" w:fill="FFFFFF"/>
            <w:vAlign w:val="center"/>
          </w:tcPr>
          <w:p w14:paraId="13DEC9E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64F4DE5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7CE90A4" w14:textId="77777777">
        <w:trPr>
          <w:trHeight w:val="420"/>
        </w:trPr>
        <w:tc>
          <w:tcPr>
            <w:tcW w:w="457" w:type="dxa"/>
            <w:vMerge/>
            <w:vAlign w:val="center"/>
          </w:tcPr>
          <w:p w14:paraId="52C248D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0271236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967918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54634C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2.建筑外立面未采用镜面玻璃或抛光金属板等材料，不对周围环境产生光污染</w:t>
            </w:r>
          </w:p>
        </w:tc>
        <w:tc>
          <w:tcPr>
            <w:tcW w:w="708" w:type="dxa"/>
            <w:shd w:val="clear" w:color="auto" w:fill="auto"/>
            <w:vAlign w:val="center"/>
          </w:tcPr>
          <w:p w14:paraId="1164374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4CAA397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396CA3A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8D2476B" w14:textId="77777777">
        <w:trPr>
          <w:trHeight w:val="420"/>
        </w:trPr>
        <w:tc>
          <w:tcPr>
            <w:tcW w:w="457" w:type="dxa"/>
            <w:vMerge/>
            <w:vAlign w:val="center"/>
          </w:tcPr>
          <w:p w14:paraId="6A8F90A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0AE70C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F28542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restart"/>
            <w:shd w:val="clear" w:color="auto" w:fill="auto"/>
            <w:vAlign w:val="center"/>
          </w:tcPr>
          <w:p w14:paraId="29317DA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3.玻璃幕墙材料在城市主干道、立交桥、高架桥两侧建筑高20m以下部分，其余路段高10m以下部分采用反射比不大于0.16 的低反射玻璃，且其余部位的玻璃幕墙材料的反射比：</w:t>
            </w:r>
          </w:p>
        </w:tc>
        <w:tc>
          <w:tcPr>
            <w:tcW w:w="2694" w:type="dxa"/>
            <w:gridSpan w:val="2"/>
            <w:shd w:val="clear" w:color="auto" w:fill="auto"/>
            <w:vAlign w:val="center"/>
          </w:tcPr>
          <w:p w14:paraId="6AADC0C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不大于0.30</w:t>
            </w:r>
          </w:p>
        </w:tc>
        <w:tc>
          <w:tcPr>
            <w:tcW w:w="708" w:type="dxa"/>
            <w:shd w:val="clear" w:color="auto" w:fill="auto"/>
            <w:vAlign w:val="center"/>
          </w:tcPr>
          <w:p w14:paraId="26C8DDE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02F65B7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0207917"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AE390B6" w14:textId="77777777">
        <w:trPr>
          <w:trHeight w:val="435"/>
        </w:trPr>
        <w:tc>
          <w:tcPr>
            <w:tcW w:w="457" w:type="dxa"/>
            <w:vMerge/>
            <w:vAlign w:val="center"/>
          </w:tcPr>
          <w:p w14:paraId="760A991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0FA0745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99C8EE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623884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3C2F69B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不大于0.20</w:t>
            </w:r>
          </w:p>
        </w:tc>
        <w:tc>
          <w:tcPr>
            <w:tcW w:w="708" w:type="dxa"/>
            <w:shd w:val="clear" w:color="auto" w:fill="auto"/>
            <w:vAlign w:val="center"/>
          </w:tcPr>
          <w:p w14:paraId="01F6DF6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76E64BE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7BFB1863"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B8967AC" w14:textId="77777777">
        <w:trPr>
          <w:trHeight w:val="435"/>
        </w:trPr>
        <w:tc>
          <w:tcPr>
            <w:tcW w:w="457" w:type="dxa"/>
            <w:vMerge/>
            <w:vAlign w:val="center"/>
          </w:tcPr>
          <w:p w14:paraId="373394F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50E6DBD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8</w:t>
            </w:r>
          </w:p>
        </w:tc>
        <w:tc>
          <w:tcPr>
            <w:tcW w:w="1559" w:type="dxa"/>
            <w:vMerge w:val="restart"/>
            <w:shd w:val="clear" w:color="auto" w:fill="auto"/>
            <w:vAlign w:val="center"/>
          </w:tcPr>
          <w:p w14:paraId="438D8B1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住区的布局使得风环境有利于冬季防风、室外行走舒适及过渡季、夏季的自然通风。</w:t>
            </w:r>
          </w:p>
        </w:tc>
        <w:tc>
          <w:tcPr>
            <w:tcW w:w="4253" w:type="dxa"/>
            <w:gridSpan w:val="3"/>
            <w:shd w:val="clear" w:color="auto" w:fill="auto"/>
            <w:vAlign w:val="center"/>
          </w:tcPr>
          <w:p w14:paraId="281E017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1.在冬季典型风速和风向条件下，建筑物周围人行区风速小于5m/s，且室外风速放大系数小于2</w:t>
            </w:r>
          </w:p>
        </w:tc>
        <w:tc>
          <w:tcPr>
            <w:tcW w:w="708" w:type="dxa"/>
            <w:shd w:val="clear" w:color="auto" w:fill="auto"/>
            <w:vAlign w:val="center"/>
          </w:tcPr>
          <w:p w14:paraId="222A313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000000" w:fill="FFFFFF"/>
            <w:vAlign w:val="center"/>
          </w:tcPr>
          <w:p w14:paraId="47AE79F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0B8A166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DA2F31F" w14:textId="77777777">
        <w:trPr>
          <w:trHeight w:val="435"/>
        </w:trPr>
        <w:tc>
          <w:tcPr>
            <w:tcW w:w="457" w:type="dxa"/>
            <w:vMerge/>
            <w:vAlign w:val="center"/>
          </w:tcPr>
          <w:p w14:paraId="715B028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4B7DEFF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96B52E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6558845E"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2.在冬季典型风速和风向条件下，除迎风第一排建筑外，建筑迎风面与背风面表面风压差不大于5Pa</w:t>
            </w:r>
          </w:p>
        </w:tc>
        <w:tc>
          <w:tcPr>
            <w:tcW w:w="708" w:type="dxa"/>
            <w:shd w:val="clear" w:color="auto" w:fill="auto"/>
            <w:vAlign w:val="center"/>
          </w:tcPr>
          <w:p w14:paraId="0FDAEE2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5CF020F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032E98A7"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E4B607D" w14:textId="77777777">
        <w:trPr>
          <w:trHeight w:val="435"/>
        </w:trPr>
        <w:tc>
          <w:tcPr>
            <w:tcW w:w="457" w:type="dxa"/>
            <w:vMerge/>
            <w:vAlign w:val="center"/>
          </w:tcPr>
          <w:p w14:paraId="5F55A56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3B8748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65A694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5584CE2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3.过渡季、夏季典型风速和风向条件下，场地内人活动区不出现涡旋或无风区</w:t>
            </w:r>
          </w:p>
        </w:tc>
        <w:tc>
          <w:tcPr>
            <w:tcW w:w="708" w:type="dxa"/>
            <w:shd w:val="clear" w:color="auto" w:fill="auto"/>
            <w:vAlign w:val="center"/>
          </w:tcPr>
          <w:p w14:paraId="62E4E14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01A3C62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02F579B9"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E046DBF" w14:textId="77777777">
        <w:trPr>
          <w:trHeight w:val="420"/>
        </w:trPr>
        <w:tc>
          <w:tcPr>
            <w:tcW w:w="457" w:type="dxa"/>
            <w:vMerge/>
            <w:vAlign w:val="center"/>
          </w:tcPr>
          <w:p w14:paraId="4CC155D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3005F92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034DEA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374EAC6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4.过渡季、夏季典型风速和风向条件下，50%以上可开启外窗室内外表面的风压差大于0.5Pa</w:t>
            </w:r>
          </w:p>
        </w:tc>
        <w:tc>
          <w:tcPr>
            <w:tcW w:w="708" w:type="dxa"/>
            <w:shd w:val="clear" w:color="auto" w:fill="auto"/>
            <w:vAlign w:val="center"/>
          </w:tcPr>
          <w:p w14:paraId="6039798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17F84F7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C0E5CA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E8D4721" w14:textId="77777777">
        <w:trPr>
          <w:trHeight w:val="420"/>
        </w:trPr>
        <w:tc>
          <w:tcPr>
            <w:tcW w:w="457" w:type="dxa"/>
            <w:vMerge/>
            <w:vAlign w:val="center"/>
          </w:tcPr>
          <w:p w14:paraId="4AF3096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68BBDC0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9</w:t>
            </w:r>
          </w:p>
        </w:tc>
        <w:tc>
          <w:tcPr>
            <w:tcW w:w="1559" w:type="dxa"/>
            <w:vMerge w:val="restart"/>
            <w:shd w:val="clear" w:color="auto" w:fill="auto"/>
            <w:vAlign w:val="center"/>
          </w:tcPr>
          <w:p w14:paraId="09F3DF5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住区采用适宜措施降低室外热岛强度。</w:t>
            </w:r>
          </w:p>
        </w:tc>
        <w:tc>
          <w:tcPr>
            <w:tcW w:w="4253" w:type="dxa"/>
            <w:gridSpan w:val="3"/>
            <w:shd w:val="clear" w:color="auto" w:fill="auto"/>
            <w:vAlign w:val="center"/>
          </w:tcPr>
          <w:p w14:paraId="6BCAEECE"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1.住区内的步道、游憩场、庭院、广场等室外活动场地设有乔木、 花架等遮阴措施的比例不少于50%</w:t>
            </w:r>
          </w:p>
        </w:tc>
        <w:tc>
          <w:tcPr>
            <w:tcW w:w="708" w:type="dxa"/>
            <w:shd w:val="clear" w:color="auto" w:fill="auto"/>
            <w:vAlign w:val="center"/>
          </w:tcPr>
          <w:p w14:paraId="6338408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000F95D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0F33D8D"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A0253F2" w14:textId="77777777">
        <w:trPr>
          <w:trHeight w:val="420"/>
        </w:trPr>
        <w:tc>
          <w:tcPr>
            <w:tcW w:w="457" w:type="dxa"/>
            <w:vMerge/>
            <w:vAlign w:val="center"/>
          </w:tcPr>
          <w:p w14:paraId="4CEE9CA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8FD4A9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823C0C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7EA83DA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2.住区内机动车道设有行道树的路段长度超过70%</w:t>
            </w:r>
          </w:p>
        </w:tc>
        <w:tc>
          <w:tcPr>
            <w:tcW w:w="708" w:type="dxa"/>
            <w:shd w:val="clear" w:color="auto" w:fill="auto"/>
            <w:vAlign w:val="center"/>
          </w:tcPr>
          <w:p w14:paraId="17513C6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2288140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59749EF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6C508B1" w14:textId="77777777">
        <w:trPr>
          <w:trHeight w:val="420"/>
        </w:trPr>
        <w:tc>
          <w:tcPr>
            <w:tcW w:w="457" w:type="dxa"/>
            <w:vMerge/>
            <w:vAlign w:val="center"/>
          </w:tcPr>
          <w:p w14:paraId="765B674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B96962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B0BB51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1B2EA8B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3.地面停车位均采取遮阴措施，包括处于建筑阴影区、绿化遮阴或遮阳棚等</w:t>
            </w:r>
          </w:p>
        </w:tc>
        <w:tc>
          <w:tcPr>
            <w:tcW w:w="708" w:type="dxa"/>
            <w:shd w:val="clear" w:color="auto" w:fill="auto"/>
            <w:vAlign w:val="center"/>
          </w:tcPr>
          <w:p w14:paraId="680B564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15F923C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1DD6DA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34549F9" w14:textId="77777777">
        <w:trPr>
          <w:trHeight w:val="420"/>
        </w:trPr>
        <w:tc>
          <w:tcPr>
            <w:tcW w:w="457" w:type="dxa"/>
            <w:vMerge/>
            <w:vAlign w:val="center"/>
          </w:tcPr>
          <w:p w14:paraId="7FEB6AC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056B631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10</w:t>
            </w:r>
          </w:p>
        </w:tc>
        <w:tc>
          <w:tcPr>
            <w:tcW w:w="1559" w:type="dxa"/>
            <w:vMerge w:val="restart"/>
            <w:shd w:val="clear" w:color="auto" w:fill="auto"/>
            <w:vAlign w:val="center"/>
          </w:tcPr>
          <w:p w14:paraId="03C4BE9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住区声环境营造，并满足下列任意一项或多项要求：</w:t>
            </w:r>
          </w:p>
        </w:tc>
        <w:tc>
          <w:tcPr>
            <w:tcW w:w="4253" w:type="dxa"/>
            <w:gridSpan w:val="3"/>
            <w:shd w:val="clear" w:color="auto" w:fill="auto"/>
            <w:vAlign w:val="center"/>
          </w:tcPr>
          <w:p w14:paraId="2DCFCBBE"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1.住区内声功能分区合理，避免相互干扰，设有针对周边噪声的防噪措施</w:t>
            </w:r>
          </w:p>
        </w:tc>
        <w:tc>
          <w:tcPr>
            <w:tcW w:w="708" w:type="dxa"/>
            <w:shd w:val="clear" w:color="auto" w:fill="auto"/>
            <w:vAlign w:val="center"/>
          </w:tcPr>
          <w:p w14:paraId="17C816A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721A14A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6D983565"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EB82299" w14:textId="77777777">
        <w:trPr>
          <w:trHeight w:val="420"/>
        </w:trPr>
        <w:tc>
          <w:tcPr>
            <w:tcW w:w="457" w:type="dxa"/>
            <w:vMerge/>
            <w:vAlign w:val="center"/>
          </w:tcPr>
          <w:p w14:paraId="143386B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7C2CE6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77431D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FA7B27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2.住区环境噪声满足《声环境质量标准》中1类声环境功能区的要求</w:t>
            </w:r>
          </w:p>
        </w:tc>
        <w:tc>
          <w:tcPr>
            <w:tcW w:w="708" w:type="dxa"/>
            <w:shd w:val="clear" w:color="auto" w:fill="auto"/>
            <w:vAlign w:val="center"/>
          </w:tcPr>
          <w:p w14:paraId="4F77022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39B955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2BC593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9F3844" w14:paraId="271DA015" w14:textId="77777777">
        <w:trPr>
          <w:trHeight w:val="420"/>
        </w:trPr>
        <w:tc>
          <w:tcPr>
            <w:tcW w:w="457" w:type="dxa"/>
            <w:vMerge w:val="restart"/>
            <w:shd w:val="clear" w:color="auto" w:fill="auto"/>
            <w:vAlign w:val="center"/>
          </w:tcPr>
          <w:p w14:paraId="69140C37"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br/>
              <w:t>绿色交通</w:t>
            </w:r>
          </w:p>
        </w:tc>
        <w:tc>
          <w:tcPr>
            <w:tcW w:w="1485" w:type="dxa"/>
            <w:shd w:val="clear" w:color="000000" w:fill="FFFFFF"/>
            <w:vAlign w:val="center"/>
          </w:tcPr>
          <w:p w14:paraId="41258281"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3.1</w:t>
            </w:r>
          </w:p>
        </w:tc>
        <w:tc>
          <w:tcPr>
            <w:tcW w:w="5812" w:type="dxa"/>
            <w:gridSpan w:val="4"/>
            <w:shd w:val="clear" w:color="auto" w:fill="auto"/>
            <w:vAlign w:val="center"/>
          </w:tcPr>
          <w:p w14:paraId="570C779D"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住区道路交通实现人车分流，互不干扰。</w:t>
            </w:r>
          </w:p>
        </w:tc>
        <w:tc>
          <w:tcPr>
            <w:tcW w:w="708" w:type="dxa"/>
            <w:shd w:val="clear" w:color="auto" w:fill="auto"/>
            <w:vAlign w:val="center"/>
          </w:tcPr>
          <w:p w14:paraId="14559954"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32E7F672"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07E63F78" w14:textId="0E7AC7C6"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sidR="00655EED">
              <w:rPr>
                <w:rFonts w:ascii="仿宋_GB2312" w:eastAsia="仿宋_GB2312" w:hAnsi="宋体" w:cs="宋体" w:hint="eastAsia"/>
                <w:kern w:val="0"/>
                <w:sz w:val="18"/>
                <w:szCs w:val="18"/>
              </w:rPr>
              <w:t>5</w:t>
            </w:r>
          </w:p>
        </w:tc>
      </w:tr>
      <w:tr w:rsidR="009F3844" w14:paraId="6EE40780" w14:textId="77777777">
        <w:trPr>
          <w:trHeight w:val="420"/>
        </w:trPr>
        <w:tc>
          <w:tcPr>
            <w:tcW w:w="457" w:type="dxa"/>
            <w:vMerge/>
            <w:vAlign w:val="center"/>
          </w:tcPr>
          <w:p w14:paraId="36931607"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43C0E090"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3.2</w:t>
            </w:r>
          </w:p>
        </w:tc>
        <w:tc>
          <w:tcPr>
            <w:tcW w:w="5812" w:type="dxa"/>
            <w:gridSpan w:val="4"/>
            <w:shd w:val="clear" w:color="auto" w:fill="auto"/>
            <w:vAlign w:val="center"/>
          </w:tcPr>
          <w:p w14:paraId="5973BBDE"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住区被城市支路划分的地块最短边不大于200m，地块内的机动车道采用通而不畅的道路设计。</w:t>
            </w:r>
          </w:p>
        </w:tc>
        <w:tc>
          <w:tcPr>
            <w:tcW w:w="708" w:type="dxa"/>
            <w:shd w:val="clear" w:color="auto" w:fill="auto"/>
            <w:vAlign w:val="center"/>
          </w:tcPr>
          <w:p w14:paraId="47FB1F65"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07F0472D"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7E748E3"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7B41F8" w14:paraId="205C1214" w14:textId="77777777">
        <w:trPr>
          <w:trHeight w:val="420"/>
        </w:trPr>
        <w:tc>
          <w:tcPr>
            <w:tcW w:w="457" w:type="dxa"/>
            <w:vMerge/>
            <w:vAlign w:val="center"/>
          </w:tcPr>
          <w:p w14:paraId="34264DAA" w14:textId="77777777" w:rsidR="007B41F8" w:rsidRDefault="007B41F8">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3C7E4840" w14:textId="5728668B" w:rsidR="007B41F8" w:rsidRDefault="007B41F8">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3.3</w:t>
            </w:r>
          </w:p>
        </w:tc>
        <w:tc>
          <w:tcPr>
            <w:tcW w:w="5812" w:type="dxa"/>
            <w:gridSpan w:val="4"/>
            <w:shd w:val="clear" w:color="auto" w:fill="auto"/>
            <w:vAlign w:val="center"/>
          </w:tcPr>
          <w:p w14:paraId="53A6A2C1" w14:textId="32EF8E64" w:rsidR="007B41F8" w:rsidRDefault="007B41F8" w:rsidP="007B41F8">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w:t>
            </w:r>
            <w:r w:rsidRPr="007B41F8">
              <w:rPr>
                <w:rFonts w:ascii="仿宋_GB2312" w:eastAsia="仿宋_GB2312" w:hAnsi="宋体" w:cs="宋体" w:hint="eastAsia"/>
                <w:kern w:val="0"/>
                <w:sz w:val="18"/>
                <w:szCs w:val="18"/>
              </w:rPr>
              <w:t>林荫道路率</w:t>
            </w:r>
            <w:r>
              <w:rPr>
                <w:rFonts w:ascii="仿宋_GB2312" w:eastAsia="仿宋_GB2312" w:hAnsi="宋体" w:cs="宋体" w:hint="eastAsia"/>
                <w:kern w:val="0"/>
                <w:sz w:val="18"/>
                <w:szCs w:val="18"/>
              </w:rPr>
              <w:t>不低于80%.（</w:t>
            </w:r>
            <w:r w:rsidRPr="007B41F8">
              <w:rPr>
                <w:rFonts w:ascii="仿宋_GB2312" w:eastAsia="仿宋_GB2312" w:hAnsi="宋体" w:cs="宋体" w:hint="eastAsia"/>
                <w:kern w:val="0"/>
                <w:sz w:val="18"/>
                <w:szCs w:val="18"/>
              </w:rPr>
              <w:t>林荫道路率是</w:t>
            </w:r>
            <w:r>
              <w:rPr>
                <w:rFonts w:ascii="仿宋_GB2312" w:eastAsia="仿宋_GB2312" w:hAnsi="宋体" w:cs="宋体" w:hint="eastAsia"/>
                <w:kern w:val="0"/>
                <w:sz w:val="18"/>
                <w:szCs w:val="18"/>
              </w:rPr>
              <w:t>居住区</w:t>
            </w:r>
            <w:r w:rsidRPr="007B41F8">
              <w:rPr>
                <w:rFonts w:ascii="仿宋_GB2312" w:eastAsia="仿宋_GB2312" w:hAnsi="宋体" w:cs="宋体" w:hint="eastAsia"/>
                <w:kern w:val="0"/>
                <w:sz w:val="18"/>
                <w:szCs w:val="18"/>
              </w:rPr>
              <w:t>主干路、次 干 路 林 荫道路里程占总里程的百分比。林荫道路指树冠覆盖率达30%以上的道路</w:t>
            </w:r>
            <w:r>
              <w:rPr>
                <w:rFonts w:ascii="仿宋_GB2312" w:eastAsia="仿宋_GB2312" w:hAnsi="宋体" w:cs="宋体" w:hint="eastAsia"/>
                <w:kern w:val="0"/>
                <w:sz w:val="18"/>
                <w:szCs w:val="18"/>
              </w:rPr>
              <w:t>）</w:t>
            </w:r>
          </w:p>
        </w:tc>
        <w:tc>
          <w:tcPr>
            <w:tcW w:w="708" w:type="dxa"/>
            <w:shd w:val="clear" w:color="auto" w:fill="auto"/>
            <w:vAlign w:val="center"/>
          </w:tcPr>
          <w:p w14:paraId="3ABEA858" w14:textId="33EDCB47" w:rsidR="007B41F8" w:rsidRDefault="007B41F8">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000000" w:fill="FFFFFF"/>
            <w:vAlign w:val="center"/>
          </w:tcPr>
          <w:p w14:paraId="3F4D16D4" w14:textId="449C24CE" w:rsidR="007B41F8" w:rsidRDefault="007B41F8">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B719B36" w14:textId="77777777" w:rsidR="007B41F8" w:rsidRDefault="007B41F8">
            <w:pPr>
              <w:widowControl/>
              <w:ind w:firstLineChars="0" w:firstLine="0"/>
              <w:jc w:val="left"/>
              <w:rPr>
                <w:rFonts w:ascii="仿宋_GB2312" w:eastAsia="仿宋_GB2312" w:hAnsi="宋体" w:cs="宋体" w:hint="eastAsia"/>
                <w:kern w:val="0"/>
                <w:sz w:val="18"/>
                <w:szCs w:val="18"/>
              </w:rPr>
            </w:pPr>
          </w:p>
        </w:tc>
      </w:tr>
      <w:tr w:rsidR="009F3844" w14:paraId="68EF99F4" w14:textId="77777777">
        <w:trPr>
          <w:trHeight w:val="420"/>
        </w:trPr>
        <w:tc>
          <w:tcPr>
            <w:tcW w:w="457" w:type="dxa"/>
            <w:vMerge/>
            <w:vAlign w:val="center"/>
          </w:tcPr>
          <w:p w14:paraId="3D00ADF0"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5E1DB484" w14:textId="42570E60"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4</w:t>
            </w:r>
          </w:p>
        </w:tc>
        <w:tc>
          <w:tcPr>
            <w:tcW w:w="1559" w:type="dxa"/>
            <w:vMerge w:val="restart"/>
            <w:shd w:val="clear" w:color="auto" w:fill="auto"/>
            <w:vAlign w:val="center"/>
          </w:tcPr>
          <w:p w14:paraId="34A30E1C"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住区与城市公共交通系统合理衔接。</w:t>
            </w:r>
          </w:p>
        </w:tc>
        <w:tc>
          <w:tcPr>
            <w:tcW w:w="1559" w:type="dxa"/>
            <w:vMerge w:val="restart"/>
            <w:shd w:val="clear" w:color="auto" w:fill="auto"/>
            <w:vAlign w:val="center"/>
          </w:tcPr>
          <w:p w14:paraId="6E61200F"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1.住区人行出入口距2条及以上线路的公交站点的步行距离</w:t>
            </w:r>
          </w:p>
        </w:tc>
        <w:tc>
          <w:tcPr>
            <w:tcW w:w="2694" w:type="dxa"/>
            <w:gridSpan w:val="2"/>
            <w:shd w:val="clear" w:color="auto" w:fill="auto"/>
            <w:vAlign w:val="center"/>
          </w:tcPr>
          <w:p w14:paraId="1F17E220"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≤500m</w:t>
            </w:r>
          </w:p>
        </w:tc>
        <w:tc>
          <w:tcPr>
            <w:tcW w:w="708" w:type="dxa"/>
            <w:shd w:val="clear" w:color="auto" w:fill="auto"/>
            <w:vAlign w:val="center"/>
          </w:tcPr>
          <w:p w14:paraId="724AB712"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auto" w:fill="auto"/>
            <w:vAlign w:val="center"/>
          </w:tcPr>
          <w:p w14:paraId="375E1863"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2FDA68B4"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0878948E" w14:textId="77777777">
        <w:trPr>
          <w:trHeight w:val="420"/>
        </w:trPr>
        <w:tc>
          <w:tcPr>
            <w:tcW w:w="457" w:type="dxa"/>
            <w:vMerge/>
            <w:vAlign w:val="center"/>
          </w:tcPr>
          <w:p w14:paraId="4AF21A4E"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44E7F50F"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1B1084F"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F987998"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277D8D38"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≤250m</w:t>
            </w:r>
          </w:p>
        </w:tc>
        <w:tc>
          <w:tcPr>
            <w:tcW w:w="708" w:type="dxa"/>
            <w:shd w:val="clear" w:color="auto" w:fill="auto"/>
            <w:vAlign w:val="center"/>
          </w:tcPr>
          <w:p w14:paraId="169F5E62"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AF4A28D"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60CE9F8"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59D981B9" w14:textId="77777777">
        <w:trPr>
          <w:trHeight w:val="420"/>
        </w:trPr>
        <w:tc>
          <w:tcPr>
            <w:tcW w:w="457" w:type="dxa"/>
            <w:vMerge/>
            <w:vAlign w:val="center"/>
          </w:tcPr>
          <w:p w14:paraId="14E7CDAD"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BCA2145"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46B091E"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09498E75"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2.住区人行出入口距轻轨、地铁站的步行距离≤800m</w:t>
            </w:r>
          </w:p>
        </w:tc>
        <w:tc>
          <w:tcPr>
            <w:tcW w:w="708" w:type="dxa"/>
            <w:shd w:val="clear" w:color="auto" w:fill="auto"/>
            <w:vAlign w:val="center"/>
          </w:tcPr>
          <w:p w14:paraId="65EAC7B6"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7AFC8D92"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5D00EED"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4AD45929" w14:textId="77777777">
        <w:trPr>
          <w:trHeight w:val="420"/>
        </w:trPr>
        <w:tc>
          <w:tcPr>
            <w:tcW w:w="457" w:type="dxa"/>
            <w:vMerge/>
            <w:vAlign w:val="center"/>
          </w:tcPr>
          <w:p w14:paraId="08527811"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5ED4E031" w14:textId="20CF4561"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5</w:t>
            </w:r>
          </w:p>
        </w:tc>
        <w:tc>
          <w:tcPr>
            <w:tcW w:w="1559" w:type="dxa"/>
            <w:vMerge w:val="restart"/>
            <w:shd w:val="clear" w:color="auto" w:fill="auto"/>
            <w:vAlign w:val="center"/>
          </w:tcPr>
          <w:p w14:paraId="27A9A499"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住区道路设计优先考虑慢行交通，鼓励居民选择步行出行。</w:t>
            </w:r>
          </w:p>
        </w:tc>
        <w:tc>
          <w:tcPr>
            <w:tcW w:w="4253" w:type="dxa"/>
            <w:gridSpan w:val="3"/>
            <w:shd w:val="clear" w:color="auto" w:fill="auto"/>
            <w:vAlign w:val="center"/>
          </w:tcPr>
          <w:p w14:paraId="321C5188"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1.住区慢行网络结构简洁、流线清晰，步行网络形成环路，提高步行可达性 </w:t>
            </w:r>
          </w:p>
        </w:tc>
        <w:tc>
          <w:tcPr>
            <w:tcW w:w="708" w:type="dxa"/>
            <w:shd w:val="clear" w:color="auto" w:fill="auto"/>
            <w:vAlign w:val="center"/>
          </w:tcPr>
          <w:p w14:paraId="0370A0FB"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12DC771B"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2ED209F2"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3695D1AF" w14:textId="77777777">
        <w:trPr>
          <w:trHeight w:val="420"/>
        </w:trPr>
        <w:tc>
          <w:tcPr>
            <w:tcW w:w="457" w:type="dxa"/>
            <w:vMerge/>
            <w:vAlign w:val="center"/>
          </w:tcPr>
          <w:p w14:paraId="4F6D6857"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3348A168"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464D76B"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BA8E609"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2.住区有2个人行出入口通向不同的城市道路</w:t>
            </w:r>
          </w:p>
        </w:tc>
        <w:tc>
          <w:tcPr>
            <w:tcW w:w="708" w:type="dxa"/>
            <w:shd w:val="clear" w:color="auto" w:fill="auto"/>
            <w:vAlign w:val="center"/>
          </w:tcPr>
          <w:p w14:paraId="098DA9A9"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1AB26953"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97F6015"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7018B44B" w14:textId="77777777">
        <w:trPr>
          <w:trHeight w:val="420"/>
        </w:trPr>
        <w:tc>
          <w:tcPr>
            <w:tcW w:w="457" w:type="dxa"/>
            <w:vMerge/>
            <w:vAlign w:val="center"/>
          </w:tcPr>
          <w:p w14:paraId="2C99E810"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27687E36" w14:textId="4AA55F2C"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6</w:t>
            </w:r>
          </w:p>
        </w:tc>
        <w:tc>
          <w:tcPr>
            <w:tcW w:w="1559" w:type="dxa"/>
            <w:vMerge w:val="restart"/>
            <w:shd w:val="clear" w:color="auto" w:fill="auto"/>
            <w:vAlign w:val="center"/>
          </w:tcPr>
          <w:p w14:paraId="6EBEB3A2"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住区内应合理设置自行车停放设施。</w:t>
            </w:r>
          </w:p>
        </w:tc>
        <w:tc>
          <w:tcPr>
            <w:tcW w:w="4253" w:type="dxa"/>
            <w:gridSpan w:val="3"/>
            <w:shd w:val="clear" w:color="auto" w:fill="auto"/>
            <w:vAlign w:val="center"/>
          </w:tcPr>
          <w:p w14:paraId="24FE3BC6"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1.结合住宅建筑出入口合理设置地面或地下一层自行车停放场所。</w:t>
            </w:r>
          </w:p>
        </w:tc>
        <w:tc>
          <w:tcPr>
            <w:tcW w:w="708" w:type="dxa"/>
            <w:shd w:val="clear" w:color="auto" w:fill="auto"/>
            <w:vAlign w:val="center"/>
          </w:tcPr>
          <w:p w14:paraId="4847E063"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000000" w:fill="FFFFFF"/>
            <w:vAlign w:val="center"/>
          </w:tcPr>
          <w:p w14:paraId="08781E6B"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333AA4B"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2F97CEDA" w14:textId="77777777">
        <w:trPr>
          <w:trHeight w:val="690"/>
        </w:trPr>
        <w:tc>
          <w:tcPr>
            <w:tcW w:w="457" w:type="dxa"/>
            <w:vMerge/>
            <w:vAlign w:val="center"/>
          </w:tcPr>
          <w:p w14:paraId="7EC99229"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5F93BD6"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5794DD9"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69AC2DC9" w14:textId="77777777"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2.住区内公共服务设施（学校、幼儿园、卫生服务站、商业网点、活动站）出入口150m范围内设置专门的自行车停车区域，宜满足人流量5~10%的停车需求。</w:t>
            </w:r>
          </w:p>
        </w:tc>
        <w:tc>
          <w:tcPr>
            <w:tcW w:w="708" w:type="dxa"/>
            <w:shd w:val="clear" w:color="auto" w:fill="auto"/>
            <w:vAlign w:val="center"/>
          </w:tcPr>
          <w:p w14:paraId="0D655B74"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0472260B"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A2A309D"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0D73E199" w14:textId="77777777">
        <w:trPr>
          <w:trHeight w:val="420"/>
        </w:trPr>
        <w:tc>
          <w:tcPr>
            <w:tcW w:w="457" w:type="dxa"/>
            <w:vMerge/>
            <w:vAlign w:val="center"/>
          </w:tcPr>
          <w:p w14:paraId="6DE75689"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5EEFC1B3" w14:textId="4540F905"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7</w:t>
            </w:r>
          </w:p>
        </w:tc>
        <w:tc>
          <w:tcPr>
            <w:tcW w:w="5812" w:type="dxa"/>
            <w:gridSpan w:val="4"/>
            <w:shd w:val="clear" w:color="auto" w:fill="auto"/>
            <w:vAlign w:val="center"/>
          </w:tcPr>
          <w:p w14:paraId="2EE6DAA7" w14:textId="6C1022AD"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住区内机动车停车采用地下停车库方式，既有住区改造项目采用机械式停车或停车楼方式，减少地面停车。</w:t>
            </w:r>
            <w:r w:rsidR="00567747">
              <w:rPr>
                <w:rFonts w:ascii="仿宋_GB2312" w:eastAsia="仿宋_GB2312" w:hAnsi="宋体" w:cs="宋体" w:hint="eastAsia"/>
                <w:kern w:val="0"/>
                <w:sz w:val="18"/>
                <w:szCs w:val="18"/>
              </w:rPr>
              <w:t>合理设置地面机动车停车位，不挤占步行空间及活动场所，住区内地面停车率不超过10%。</w:t>
            </w:r>
          </w:p>
        </w:tc>
        <w:tc>
          <w:tcPr>
            <w:tcW w:w="708" w:type="dxa"/>
            <w:shd w:val="clear" w:color="auto" w:fill="auto"/>
            <w:vAlign w:val="center"/>
          </w:tcPr>
          <w:p w14:paraId="695EFE59"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7C5099AF"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3B24CA5B"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0D6EC195" w14:textId="77777777">
        <w:trPr>
          <w:trHeight w:val="420"/>
        </w:trPr>
        <w:tc>
          <w:tcPr>
            <w:tcW w:w="457" w:type="dxa"/>
            <w:vMerge/>
            <w:vAlign w:val="center"/>
          </w:tcPr>
          <w:p w14:paraId="31A26A92"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3EDF4186" w14:textId="689E0D14"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8</w:t>
            </w:r>
          </w:p>
        </w:tc>
        <w:tc>
          <w:tcPr>
            <w:tcW w:w="5812" w:type="dxa"/>
            <w:gridSpan w:val="4"/>
            <w:shd w:val="clear" w:color="auto" w:fill="auto"/>
            <w:vAlign w:val="center"/>
          </w:tcPr>
          <w:p w14:paraId="15E18D65" w14:textId="0BEC30A0" w:rsidR="009F3844" w:rsidRDefault="00567747">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地面停车场绿化≥60%</w:t>
            </w:r>
          </w:p>
        </w:tc>
        <w:tc>
          <w:tcPr>
            <w:tcW w:w="708" w:type="dxa"/>
            <w:shd w:val="clear" w:color="auto" w:fill="auto"/>
            <w:vAlign w:val="center"/>
          </w:tcPr>
          <w:p w14:paraId="08FA1BC2"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7E07A090"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5A7B245"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34D0A901" w14:textId="77777777">
        <w:trPr>
          <w:trHeight w:val="420"/>
        </w:trPr>
        <w:tc>
          <w:tcPr>
            <w:tcW w:w="457" w:type="dxa"/>
            <w:vMerge/>
            <w:vAlign w:val="center"/>
          </w:tcPr>
          <w:p w14:paraId="6D0533AA"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7B9BE5FC" w14:textId="7F12331A"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9</w:t>
            </w:r>
          </w:p>
        </w:tc>
        <w:tc>
          <w:tcPr>
            <w:tcW w:w="5812" w:type="dxa"/>
            <w:gridSpan w:val="4"/>
            <w:shd w:val="clear" w:color="auto" w:fill="auto"/>
            <w:vAlign w:val="center"/>
          </w:tcPr>
          <w:p w14:paraId="26D2DDAC" w14:textId="49688A42" w:rsidR="009F3844" w:rsidRDefault="009F3844">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结合停车位设计为新能源汽车服务的充电桩，实际充电桩安装数量占总停车量的比例不少于18%，并预留100%安装条件。</w:t>
            </w:r>
          </w:p>
        </w:tc>
        <w:tc>
          <w:tcPr>
            <w:tcW w:w="708" w:type="dxa"/>
            <w:shd w:val="clear" w:color="auto" w:fill="auto"/>
            <w:vAlign w:val="center"/>
          </w:tcPr>
          <w:p w14:paraId="028EE355"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auto" w:fill="auto"/>
            <w:vAlign w:val="center"/>
          </w:tcPr>
          <w:p w14:paraId="3EB3F12C" w14:textId="77777777"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1837EECB"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9F3844" w14:paraId="604DA41A" w14:textId="77777777">
        <w:trPr>
          <w:trHeight w:val="420"/>
        </w:trPr>
        <w:tc>
          <w:tcPr>
            <w:tcW w:w="457" w:type="dxa"/>
            <w:vMerge/>
            <w:vAlign w:val="center"/>
          </w:tcPr>
          <w:p w14:paraId="2A9A13A7" w14:textId="77777777" w:rsidR="009F3844" w:rsidRDefault="009F3844">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73F0AD5B" w14:textId="783F697F"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r w:rsidR="007B41F8">
              <w:rPr>
                <w:rFonts w:ascii="仿宋_GB2312" w:eastAsia="仿宋_GB2312" w:hAnsi="宋体" w:cs="宋体" w:hint="eastAsia"/>
                <w:kern w:val="0"/>
                <w:sz w:val="18"/>
                <w:szCs w:val="18"/>
              </w:rPr>
              <w:t>10</w:t>
            </w:r>
          </w:p>
        </w:tc>
        <w:tc>
          <w:tcPr>
            <w:tcW w:w="5812" w:type="dxa"/>
            <w:gridSpan w:val="4"/>
            <w:shd w:val="clear" w:color="auto" w:fill="auto"/>
            <w:vAlign w:val="center"/>
          </w:tcPr>
          <w:p w14:paraId="73376508" w14:textId="6DE85A39" w:rsidR="009F3844" w:rsidRDefault="009F3844">
            <w:pPr>
              <w:widowControl/>
              <w:ind w:firstLineChars="0" w:firstLine="0"/>
              <w:jc w:val="left"/>
              <w:rPr>
                <w:rFonts w:ascii="仿宋_GB2312" w:eastAsia="仿宋_GB2312" w:hAnsi="宋体" w:cs="宋体" w:hint="eastAsia"/>
                <w:kern w:val="0"/>
                <w:sz w:val="18"/>
                <w:szCs w:val="18"/>
              </w:rPr>
            </w:pPr>
            <w:r w:rsidRPr="00342FD6">
              <w:rPr>
                <w:rFonts w:ascii="仿宋_GB2312" w:eastAsia="仿宋_GB2312" w:hAnsi="宋体" w:cs="宋体"/>
                <w:kern w:val="0"/>
                <w:sz w:val="18"/>
                <w:szCs w:val="18"/>
              </w:rPr>
              <w:t>鼓励居住区开展居住社区充电设施'统建统营'，统一提供充电设施建设、运营与维护等有偿服务</w:t>
            </w:r>
            <w:r>
              <w:rPr>
                <w:rFonts w:ascii="仿宋_GB2312" w:eastAsia="仿宋_GB2312" w:hAnsi="宋体" w:cs="宋体" w:hint="eastAsia"/>
                <w:kern w:val="0"/>
                <w:sz w:val="18"/>
                <w:szCs w:val="18"/>
              </w:rPr>
              <w:t>，</w:t>
            </w:r>
            <w:r w:rsidRPr="00342FD6">
              <w:rPr>
                <w:rFonts w:ascii="仿宋_GB2312" w:eastAsia="仿宋_GB2312" w:hAnsi="宋体" w:cs="宋体"/>
                <w:kern w:val="0"/>
                <w:sz w:val="18"/>
                <w:szCs w:val="18"/>
              </w:rPr>
              <w:t>为居住区新能源汽车用户提供"三个5"(找桩距离不大于500米、服务费不高于0.5元、排队时间不长于5分钟)的用户体验</w:t>
            </w:r>
            <w:r>
              <w:rPr>
                <w:rFonts w:ascii="仿宋_GB2312" w:eastAsia="仿宋_GB2312" w:hAnsi="宋体" w:cs="宋体" w:hint="eastAsia"/>
                <w:kern w:val="0"/>
                <w:sz w:val="18"/>
                <w:szCs w:val="18"/>
              </w:rPr>
              <w:t>。</w:t>
            </w:r>
          </w:p>
        </w:tc>
        <w:tc>
          <w:tcPr>
            <w:tcW w:w="708" w:type="dxa"/>
            <w:shd w:val="clear" w:color="auto" w:fill="auto"/>
            <w:vAlign w:val="center"/>
          </w:tcPr>
          <w:p w14:paraId="2F2BD02E" w14:textId="1623CEE6"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auto" w:fill="auto"/>
            <w:vAlign w:val="center"/>
          </w:tcPr>
          <w:p w14:paraId="3EDE3A52" w14:textId="4B980BFB" w:rsidR="009F3844" w:rsidRDefault="009F3844">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6E702BCF" w14:textId="77777777" w:rsidR="009F3844" w:rsidRDefault="009F3844">
            <w:pPr>
              <w:widowControl/>
              <w:ind w:firstLineChars="0" w:firstLine="0"/>
              <w:jc w:val="left"/>
              <w:rPr>
                <w:rFonts w:ascii="仿宋_GB2312" w:eastAsia="仿宋_GB2312" w:hAnsi="宋体" w:cs="宋体" w:hint="eastAsia"/>
                <w:kern w:val="0"/>
                <w:sz w:val="18"/>
                <w:szCs w:val="18"/>
              </w:rPr>
            </w:pPr>
          </w:p>
        </w:tc>
      </w:tr>
      <w:tr w:rsidR="006E4E46" w14:paraId="3EB550E8" w14:textId="77777777">
        <w:trPr>
          <w:trHeight w:val="420"/>
        </w:trPr>
        <w:tc>
          <w:tcPr>
            <w:tcW w:w="457" w:type="dxa"/>
            <w:vMerge w:val="restart"/>
            <w:shd w:val="clear" w:color="auto" w:fill="auto"/>
            <w:vAlign w:val="center"/>
          </w:tcPr>
          <w:p w14:paraId="43F05B3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lastRenderedPageBreak/>
              <w:t>绿色建筑</w:t>
            </w:r>
          </w:p>
        </w:tc>
        <w:tc>
          <w:tcPr>
            <w:tcW w:w="1485" w:type="dxa"/>
            <w:vMerge w:val="restart"/>
            <w:shd w:val="clear" w:color="auto" w:fill="auto"/>
            <w:vAlign w:val="center"/>
          </w:tcPr>
          <w:p w14:paraId="76E8FEC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4.1</w:t>
            </w:r>
          </w:p>
        </w:tc>
        <w:tc>
          <w:tcPr>
            <w:tcW w:w="1559" w:type="dxa"/>
            <w:vMerge w:val="restart"/>
            <w:shd w:val="clear" w:color="auto" w:fill="auto"/>
            <w:vAlign w:val="center"/>
          </w:tcPr>
          <w:p w14:paraId="6382633E"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住区内所有建筑</w:t>
            </w:r>
            <w:r>
              <w:rPr>
                <w:rFonts w:ascii="仿宋_GB2312" w:eastAsia="仿宋_GB2312" w:hAnsi="宋体" w:cs="宋体" w:hint="eastAsia"/>
                <w:kern w:val="0"/>
                <w:sz w:val="18"/>
                <w:szCs w:val="18"/>
              </w:rPr>
              <w:lastRenderedPageBreak/>
              <w:t>全部达到北京市《绿色建筑评价标准》中的一星级及以上标准，提高达到高星级绿色建筑标准的建筑面积比例。</w:t>
            </w:r>
          </w:p>
        </w:tc>
        <w:tc>
          <w:tcPr>
            <w:tcW w:w="1559" w:type="dxa"/>
            <w:vMerge w:val="restart"/>
            <w:shd w:val="clear" w:color="auto" w:fill="auto"/>
            <w:vAlign w:val="center"/>
          </w:tcPr>
          <w:p w14:paraId="1C262AA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1.达到北京市地</w:t>
            </w:r>
            <w:r>
              <w:rPr>
                <w:rFonts w:ascii="仿宋_GB2312" w:eastAsia="仿宋_GB2312" w:hAnsi="宋体" w:cs="宋体" w:hint="eastAsia"/>
                <w:kern w:val="0"/>
                <w:sz w:val="18"/>
                <w:szCs w:val="18"/>
              </w:rPr>
              <w:lastRenderedPageBreak/>
              <w:t xml:space="preserve">方标准《绿色建筑评价标准》二星级及以上标准 </w:t>
            </w:r>
          </w:p>
        </w:tc>
        <w:tc>
          <w:tcPr>
            <w:tcW w:w="2694" w:type="dxa"/>
            <w:gridSpan w:val="2"/>
            <w:shd w:val="clear" w:color="auto" w:fill="auto"/>
            <w:vAlign w:val="center"/>
          </w:tcPr>
          <w:p w14:paraId="7F3EF61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不少于40%</w:t>
            </w:r>
          </w:p>
        </w:tc>
        <w:tc>
          <w:tcPr>
            <w:tcW w:w="708" w:type="dxa"/>
            <w:shd w:val="clear" w:color="auto" w:fill="auto"/>
            <w:vAlign w:val="center"/>
          </w:tcPr>
          <w:p w14:paraId="2D73139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auto" w:fill="auto"/>
            <w:vAlign w:val="center"/>
          </w:tcPr>
          <w:p w14:paraId="32C355D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p>
        </w:tc>
        <w:tc>
          <w:tcPr>
            <w:tcW w:w="709" w:type="dxa"/>
            <w:vMerge w:val="restart"/>
            <w:shd w:val="clear" w:color="auto" w:fill="auto"/>
            <w:vAlign w:val="center"/>
          </w:tcPr>
          <w:p w14:paraId="0AC18FC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Pr>
                <w:rFonts w:ascii="仿宋_GB2312" w:eastAsia="仿宋_GB2312" w:hAnsi="宋体" w:cs="宋体"/>
                <w:kern w:val="0"/>
                <w:sz w:val="18"/>
                <w:szCs w:val="18"/>
              </w:rPr>
              <w:t>5</w:t>
            </w:r>
          </w:p>
        </w:tc>
      </w:tr>
      <w:tr w:rsidR="006E4E46" w14:paraId="67525488" w14:textId="77777777">
        <w:trPr>
          <w:trHeight w:val="420"/>
        </w:trPr>
        <w:tc>
          <w:tcPr>
            <w:tcW w:w="457" w:type="dxa"/>
            <w:vMerge/>
            <w:vAlign w:val="center"/>
          </w:tcPr>
          <w:p w14:paraId="4CEDB40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5620C2B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1DAD39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2F39A3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5670652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不少于70%</w:t>
            </w:r>
          </w:p>
        </w:tc>
        <w:tc>
          <w:tcPr>
            <w:tcW w:w="708" w:type="dxa"/>
            <w:shd w:val="clear" w:color="auto" w:fill="auto"/>
            <w:vAlign w:val="center"/>
          </w:tcPr>
          <w:p w14:paraId="30E5915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2049C7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35F3DC2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BE561C1" w14:textId="77777777">
        <w:trPr>
          <w:trHeight w:val="420"/>
        </w:trPr>
        <w:tc>
          <w:tcPr>
            <w:tcW w:w="457" w:type="dxa"/>
            <w:vMerge/>
            <w:vAlign w:val="center"/>
          </w:tcPr>
          <w:p w14:paraId="5C81C95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A16B41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4080F9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44A7B3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48655CF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100%</w:t>
            </w:r>
          </w:p>
        </w:tc>
        <w:tc>
          <w:tcPr>
            <w:tcW w:w="708" w:type="dxa"/>
            <w:shd w:val="clear" w:color="auto" w:fill="auto"/>
            <w:vAlign w:val="center"/>
          </w:tcPr>
          <w:p w14:paraId="73AB8EB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178E3A4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65D7F31"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6783257" w14:textId="77777777">
        <w:trPr>
          <w:trHeight w:val="420"/>
        </w:trPr>
        <w:tc>
          <w:tcPr>
            <w:tcW w:w="457" w:type="dxa"/>
            <w:vMerge/>
            <w:vAlign w:val="center"/>
          </w:tcPr>
          <w:p w14:paraId="79E3F29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38DF788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01ED64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restart"/>
            <w:shd w:val="clear" w:color="auto" w:fill="auto"/>
            <w:vAlign w:val="center"/>
          </w:tcPr>
          <w:p w14:paraId="6A0F9E29"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2.达到国家标准或北京市地方标准《绿色建筑评价标准》三星级标准</w:t>
            </w:r>
          </w:p>
        </w:tc>
        <w:tc>
          <w:tcPr>
            <w:tcW w:w="2694" w:type="dxa"/>
            <w:gridSpan w:val="2"/>
            <w:shd w:val="clear" w:color="auto" w:fill="auto"/>
            <w:vAlign w:val="center"/>
          </w:tcPr>
          <w:p w14:paraId="74337D9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不少于25%</w:t>
            </w:r>
          </w:p>
        </w:tc>
        <w:tc>
          <w:tcPr>
            <w:tcW w:w="708" w:type="dxa"/>
            <w:shd w:val="clear" w:color="auto" w:fill="auto"/>
            <w:vAlign w:val="center"/>
          </w:tcPr>
          <w:p w14:paraId="7666A70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5B22C45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5FD2D668"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C5BA578" w14:textId="77777777">
        <w:trPr>
          <w:trHeight w:val="420"/>
        </w:trPr>
        <w:tc>
          <w:tcPr>
            <w:tcW w:w="457" w:type="dxa"/>
            <w:vMerge/>
            <w:vAlign w:val="center"/>
          </w:tcPr>
          <w:p w14:paraId="3C30164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BD3D0D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7FF147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FC186C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3E5B6C4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不少于50%</w:t>
            </w:r>
          </w:p>
        </w:tc>
        <w:tc>
          <w:tcPr>
            <w:tcW w:w="708" w:type="dxa"/>
            <w:shd w:val="clear" w:color="auto" w:fill="auto"/>
            <w:vAlign w:val="center"/>
          </w:tcPr>
          <w:p w14:paraId="5456F69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273E6A7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087949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E93D473" w14:textId="77777777">
        <w:trPr>
          <w:trHeight w:val="420"/>
        </w:trPr>
        <w:tc>
          <w:tcPr>
            <w:tcW w:w="457" w:type="dxa"/>
            <w:vMerge/>
            <w:vAlign w:val="center"/>
          </w:tcPr>
          <w:p w14:paraId="32E7ACC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CDD4E3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10ED66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144AE7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02E71FF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不少于75%</w:t>
            </w:r>
          </w:p>
        </w:tc>
        <w:tc>
          <w:tcPr>
            <w:tcW w:w="708" w:type="dxa"/>
            <w:shd w:val="clear" w:color="auto" w:fill="auto"/>
            <w:vAlign w:val="center"/>
          </w:tcPr>
          <w:p w14:paraId="77C335A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16EE347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B5FA04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36DE44D" w14:textId="77777777">
        <w:trPr>
          <w:trHeight w:val="420"/>
        </w:trPr>
        <w:tc>
          <w:tcPr>
            <w:tcW w:w="457" w:type="dxa"/>
            <w:vMerge/>
            <w:vAlign w:val="center"/>
          </w:tcPr>
          <w:p w14:paraId="784A1CC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4E3E4EA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75BAF5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362543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0E45203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100%</w:t>
            </w:r>
          </w:p>
        </w:tc>
        <w:tc>
          <w:tcPr>
            <w:tcW w:w="708" w:type="dxa"/>
            <w:shd w:val="clear" w:color="auto" w:fill="auto"/>
            <w:vAlign w:val="center"/>
          </w:tcPr>
          <w:p w14:paraId="0CF0AE5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709" w:type="dxa"/>
            <w:vMerge/>
            <w:vAlign w:val="center"/>
          </w:tcPr>
          <w:p w14:paraId="085D6F2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037E682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84F3135" w14:textId="77777777">
        <w:trPr>
          <w:trHeight w:val="420"/>
        </w:trPr>
        <w:tc>
          <w:tcPr>
            <w:tcW w:w="457" w:type="dxa"/>
            <w:vMerge/>
            <w:vAlign w:val="center"/>
          </w:tcPr>
          <w:p w14:paraId="49DC32C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1F9560E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4.2</w:t>
            </w:r>
          </w:p>
        </w:tc>
        <w:tc>
          <w:tcPr>
            <w:tcW w:w="5812" w:type="dxa"/>
            <w:gridSpan w:val="4"/>
            <w:shd w:val="clear" w:color="auto" w:fill="auto"/>
            <w:vAlign w:val="center"/>
          </w:tcPr>
          <w:p w14:paraId="40B33883" w14:textId="253AAF64" w:rsidR="006E4E46" w:rsidRDefault="00000000" w:rsidP="00567747">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住区内实施装配式建筑的范围和标准不低于北京市发展装配式建筑相关政策文件的要求。</w:t>
            </w:r>
          </w:p>
        </w:tc>
        <w:tc>
          <w:tcPr>
            <w:tcW w:w="708" w:type="dxa"/>
            <w:shd w:val="clear" w:color="auto" w:fill="auto"/>
            <w:vAlign w:val="center"/>
          </w:tcPr>
          <w:p w14:paraId="368BD51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shd w:val="clear" w:color="auto" w:fill="auto"/>
            <w:vAlign w:val="center"/>
          </w:tcPr>
          <w:p w14:paraId="2D7A31C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43D4DDD6"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F681316" w14:textId="77777777">
        <w:trPr>
          <w:trHeight w:val="420"/>
        </w:trPr>
        <w:tc>
          <w:tcPr>
            <w:tcW w:w="457" w:type="dxa"/>
            <w:vMerge/>
            <w:vAlign w:val="center"/>
          </w:tcPr>
          <w:p w14:paraId="711FAF9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67A139C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4.3</w:t>
            </w:r>
          </w:p>
        </w:tc>
        <w:tc>
          <w:tcPr>
            <w:tcW w:w="5812" w:type="dxa"/>
            <w:gridSpan w:val="4"/>
            <w:shd w:val="clear" w:color="auto" w:fill="auto"/>
            <w:vAlign w:val="center"/>
          </w:tcPr>
          <w:p w14:paraId="2F32916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保障性住房项目全部实施全装修成品交房，全装修成品住宅比例达到住区新建住宅总量的100%。</w:t>
            </w:r>
          </w:p>
        </w:tc>
        <w:tc>
          <w:tcPr>
            <w:tcW w:w="708" w:type="dxa"/>
            <w:shd w:val="clear" w:color="auto" w:fill="auto"/>
            <w:vAlign w:val="center"/>
          </w:tcPr>
          <w:p w14:paraId="420053B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auto" w:fill="auto"/>
            <w:vAlign w:val="center"/>
          </w:tcPr>
          <w:p w14:paraId="21994C2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110B73D9"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74D57EA" w14:textId="77777777">
        <w:trPr>
          <w:trHeight w:val="420"/>
        </w:trPr>
        <w:tc>
          <w:tcPr>
            <w:tcW w:w="457" w:type="dxa"/>
            <w:vMerge/>
            <w:vAlign w:val="center"/>
          </w:tcPr>
          <w:p w14:paraId="56B1293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6587882F" w14:textId="77777777" w:rsidR="006E4E46" w:rsidRDefault="006E4E46">
            <w:pPr>
              <w:widowControl/>
              <w:ind w:firstLineChars="0" w:firstLine="0"/>
              <w:jc w:val="center"/>
              <w:rPr>
                <w:rFonts w:ascii="仿宋_GB2312" w:eastAsia="仿宋_GB2312" w:hAnsi="宋体" w:cs="宋体" w:hint="eastAsia"/>
                <w:kern w:val="0"/>
                <w:sz w:val="18"/>
                <w:szCs w:val="18"/>
              </w:rPr>
            </w:pPr>
          </w:p>
          <w:p w14:paraId="1B80656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4.4</w:t>
            </w:r>
          </w:p>
        </w:tc>
        <w:tc>
          <w:tcPr>
            <w:tcW w:w="5812" w:type="dxa"/>
            <w:gridSpan w:val="4"/>
            <w:shd w:val="clear" w:color="auto" w:fill="auto"/>
            <w:vAlign w:val="center"/>
          </w:tcPr>
          <w:p w14:paraId="27BF746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住区场地中构筑物的景观小品、亭台、座椅等采用节能环保材料。</w:t>
            </w:r>
          </w:p>
        </w:tc>
        <w:tc>
          <w:tcPr>
            <w:tcW w:w="708" w:type="dxa"/>
            <w:shd w:val="clear" w:color="auto" w:fill="auto"/>
            <w:vAlign w:val="center"/>
          </w:tcPr>
          <w:p w14:paraId="76E0F4D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2F1DFE7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CB8597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22641AA" w14:textId="77777777">
        <w:trPr>
          <w:trHeight w:val="238"/>
        </w:trPr>
        <w:tc>
          <w:tcPr>
            <w:tcW w:w="457" w:type="dxa"/>
            <w:vMerge/>
            <w:vAlign w:val="center"/>
          </w:tcPr>
          <w:p w14:paraId="2D32877F" w14:textId="77777777" w:rsidR="006E4E46" w:rsidRDefault="006E4E46">
            <w:pPr>
              <w:widowControl/>
              <w:ind w:firstLineChars="0" w:firstLine="0"/>
              <w:jc w:val="left"/>
              <w:rPr>
                <w:rFonts w:ascii="仿宋_GB2312" w:eastAsia="仿宋_GB2312" w:hAnsi="宋体" w:cs="宋体" w:hint="eastAsia"/>
                <w:kern w:val="0"/>
                <w:sz w:val="24"/>
                <w:szCs w:val="24"/>
              </w:rPr>
            </w:pPr>
          </w:p>
        </w:tc>
        <w:tc>
          <w:tcPr>
            <w:tcW w:w="1485" w:type="dxa"/>
            <w:vMerge w:val="restart"/>
            <w:shd w:val="clear" w:color="auto" w:fill="auto"/>
          </w:tcPr>
          <w:p w14:paraId="0684E4AA" w14:textId="77777777" w:rsidR="006E4E46" w:rsidRDefault="006E4E46">
            <w:pPr>
              <w:widowControl/>
              <w:ind w:firstLineChars="0" w:firstLine="0"/>
              <w:jc w:val="center"/>
              <w:rPr>
                <w:rFonts w:ascii="仿宋_GB2312" w:eastAsia="仿宋_GB2312" w:hAnsi="宋体" w:cs="宋体" w:hint="eastAsia"/>
                <w:kern w:val="0"/>
                <w:sz w:val="18"/>
                <w:szCs w:val="18"/>
              </w:rPr>
            </w:pPr>
          </w:p>
          <w:p w14:paraId="3344F2D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r>
              <w:rPr>
                <w:rFonts w:ascii="仿宋_GB2312" w:eastAsia="仿宋_GB2312" w:hAnsi="宋体" w:cs="宋体"/>
                <w:kern w:val="0"/>
                <w:sz w:val="18"/>
                <w:szCs w:val="18"/>
              </w:rPr>
              <w:t>.5</w:t>
            </w:r>
          </w:p>
        </w:tc>
        <w:tc>
          <w:tcPr>
            <w:tcW w:w="1559" w:type="dxa"/>
            <w:vMerge w:val="restart"/>
            <w:shd w:val="clear" w:color="auto" w:fill="auto"/>
            <w:vAlign w:val="center"/>
          </w:tcPr>
          <w:p w14:paraId="7725454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住区在可绿化屋面实施屋顶绿化或采用垂直绿化</w:t>
            </w:r>
          </w:p>
        </w:tc>
        <w:tc>
          <w:tcPr>
            <w:tcW w:w="2315" w:type="dxa"/>
            <w:gridSpan w:val="2"/>
            <w:vMerge w:val="restart"/>
            <w:shd w:val="clear" w:color="auto" w:fill="auto"/>
            <w:vAlign w:val="center"/>
          </w:tcPr>
          <w:p w14:paraId="6BE065F9"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1.屋顶绿化面积占建筑屋顶可绿化屋顶总面积的比例</w:t>
            </w:r>
          </w:p>
        </w:tc>
        <w:tc>
          <w:tcPr>
            <w:tcW w:w="1938" w:type="dxa"/>
            <w:shd w:val="clear" w:color="auto" w:fill="auto"/>
            <w:vAlign w:val="center"/>
          </w:tcPr>
          <w:p w14:paraId="1AB4FAE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不少于10%</w:t>
            </w:r>
          </w:p>
        </w:tc>
        <w:tc>
          <w:tcPr>
            <w:tcW w:w="708" w:type="dxa"/>
            <w:shd w:val="clear" w:color="auto" w:fill="auto"/>
            <w:vAlign w:val="center"/>
          </w:tcPr>
          <w:p w14:paraId="2C0ACDC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w:t>
            </w:r>
            <w:r>
              <w:rPr>
                <w:rFonts w:ascii="仿宋_GB2312" w:eastAsia="仿宋_GB2312" w:hAnsi="宋体" w:cs="宋体"/>
                <w:kern w:val="0"/>
                <w:sz w:val="18"/>
                <w:szCs w:val="18"/>
              </w:rPr>
              <w:t>.5</w:t>
            </w:r>
          </w:p>
        </w:tc>
        <w:tc>
          <w:tcPr>
            <w:tcW w:w="709" w:type="dxa"/>
            <w:vMerge w:val="restart"/>
            <w:shd w:val="clear" w:color="auto" w:fill="auto"/>
            <w:vAlign w:val="center"/>
          </w:tcPr>
          <w:p w14:paraId="3585454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54BF838B"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8191C86" w14:textId="77777777">
        <w:trPr>
          <w:trHeight w:val="238"/>
        </w:trPr>
        <w:tc>
          <w:tcPr>
            <w:tcW w:w="457" w:type="dxa"/>
            <w:vMerge/>
            <w:vAlign w:val="center"/>
          </w:tcPr>
          <w:p w14:paraId="20B1EC41" w14:textId="77777777" w:rsidR="006E4E46" w:rsidRDefault="006E4E46">
            <w:pPr>
              <w:widowControl/>
              <w:ind w:firstLineChars="0" w:firstLine="0"/>
              <w:jc w:val="left"/>
              <w:rPr>
                <w:rFonts w:ascii="仿宋_GB2312" w:eastAsia="仿宋_GB2312" w:hAnsi="宋体" w:cs="宋体" w:hint="eastAsia"/>
                <w:kern w:val="0"/>
                <w:sz w:val="24"/>
                <w:szCs w:val="24"/>
              </w:rPr>
            </w:pPr>
          </w:p>
        </w:tc>
        <w:tc>
          <w:tcPr>
            <w:tcW w:w="1485" w:type="dxa"/>
            <w:vMerge/>
            <w:shd w:val="clear" w:color="auto" w:fill="auto"/>
            <w:vAlign w:val="center"/>
          </w:tcPr>
          <w:p w14:paraId="64C136C1"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1559" w:type="dxa"/>
            <w:vMerge/>
            <w:shd w:val="clear" w:color="auto" w:fill="auto"/>
            <w:vAlign w:val="center"/>
          </w:tcPr>
          <w:p w14:paraId="635E6C5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315" w:type="dxa"/>
            <w:gridSpan w:val="2"/>
            <w:vMerge/>
            <w:shd w:val="clear" w:color="auto" w:fill="auto"/>
            <w:vAlign w:val="center"/>
          </w:tcPr>
          <w:p w14:paraId="386F4AD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938" w:type="dxa"/>
            <w:shd w:val="clear" w:color="auto" w:fill="auto"/>
            <w:vAlign w:val="center"/>
          </w:tcPr>
          <w:p w14:paraId="20967F3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不少2</w:t>
            </w:r>
            <w:r>
              <w:rPr>
                <w:rFonts w:ascii="仿宋_GB2312" w:eastAsia="仿宋_GB2312" w:hAnsi="宋体" w:cs="宋体"/>
                <w:kern w:val="0"/>
                <w:sz w:val="18"/>
                <w:szCs w:val="18"/>
              </w:rPr>
              <w:t>0</w:t>
            </w:r>
            <w:r>
              <w:rPr>
                <w:rFonts w:ascii="仿宋_GB2312" w:eastAsia="仿宋_GB2312" w:hAnsi="宋体" w:cs="宋体" w:hint="eastAsia"/>
                <w:kern w:val="0"/>
                <w:sz w:val="18"/>
                <w:szCs w:val="18"/>
              </w:rPr>
              <w:t>%</w:t>
            </w:r>
          </w:p>
        </w:tc>
        <w:tc>
          <w:tcPr>
            <w:tcW w:w="708" w:type="dxa"/>
            <w:shd w:val="clear" w:color="auto" w:fill="auto"/>
            <w:vAlign w:val="center"/>
          </w:tcPr>
          <w:p w14:paraId="489AE61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79794E3A"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709" w:type="dxa"/>
            <w:vMerge/>
            <w:vAlign w:val="center"/>
          </w:tcPr>
          <w:p w14:paraId="3DBAF36B"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B779378" w14:textId="77777777">
        <w:trPr>
          <w:trHeight w:val="238"/>
        </w:trPr>
        <w:tc>
          <w:tcPr>
            <w:tcW w:w="457" w:type="dxa"/>
            <w:vMerge/>
            <w:vAlign w:val="center"/>
          </w:tcPr>
          <w:p w14:paraId="0668138E" w14:textId="77777777" w:rsidR="006E4E46" w:rsidRDefault="006E4E46">
            <w:pPr>
              <w:widowControl/>
              <w:ind w:firstLineChars="0" w:firstLine="0"/>
              <w:jc w:val="left"/>
              <w:rPr>
                <w:rFonts w:ascii="仿宋_GB2312" w:eastAsia="仿宋_GB2312" w:hAnsi="宋体" w:cs="宋体" w:hint="eastAsia"/>
                <w:kern w:val="0"/>
                <w:sz w:val="24"/>
                <w:szCs w:val="24"/>
              </w:rPr>
            </w:pPr>
          </w:p>
        </w:tc>
        <w:tc>
          <w:tcPr>
            <w:tcW w:w="1485" w:type="dxa"/>
            <w:vMerge/>
            <w:shd w:val="clear" w:color="auto" w:fill="auto"/>
            <w:vAlign w:val="center"/>
          </w:tcPr>
          <w:p w14:paraId="61C2DE04"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1559" w:type="dxa"/>
            <w:vMerge/>
            <w:shd w:val="clear" w:color="auto" w:fill="auto"/>
            <w:vAlign w:val="center"/>
          </w:tcPr>
          <w:p w14:paraId="0BCC187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FD3855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2.采用垂直绿化</w:t>
            </w:r>
          </w:p>
        </w:tc>
        <w:tc>
          <w:tcPr>
            <w:tcW w:w="708" w:type="dxa"/>
            <w:shd w:val="clear" w:color="auto" w:fill="auto"/>
          </w:tcPr>
          <w:p w14:paraId="60AF3AF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3D75DFD6"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709" w:type="dxa"/>
            <w:vMerge/>
            <w:vAlign w:val="center"/>
          </w:tcPr>
          <w:p w14:paraId="6E18E0D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2800349" w14:textId="77777777">
        <w:trPr>
          <w:trHeight w:val="420"/>
        </w:trPr>
        <w:tc>
          <w:tcPr>
            <w:tcW w:w="457" w:type="dxa"/>
            <w:vMerge w:val="restart"/>
            <w:shd w:val="clear" w:color="auto" w:fill="auto"/>
            <w:vAlign w:val="center"/>
          </w:tcPr>
          <w:p w14:paraId="45612EF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br/>
              <w:t>能源与低碳发展</w:t>
            </w:r>
          </w:p>
        </w:tc>
        <w:tc>
          <w:tcPr>
            <w:tcW w:w="1485" w:type="dxa"/>
            <w:shd w:val="clear" w:color="000000" w:fill="FFFFFF"/>
            <w:vAlign w:val="center"/>
          </w:tcPr>
          <w:p w14:paraId="3C52D74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5.1</w:t>
            </w:r>
          </w:p>
        </w:tc>
        <w:tc>
          <w:tcPr>
            <w:tcW w:w="5812" w:type="dxa"/>
            <w:gridSpan w:val="4"/>
            <w:shd w:val="clear" w:color="auto" w:fill="auto"/>
            <w:vAlign w:val="center"/>
          </w:tcPr>
          <w:p w14:paraId="51197EB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电源（变电站）、水源（泵站）、热源（换热站、锅炉房）和冷源（制冷机组）数量及布局合理，尽量靠近用户中心。</w:t>
            </w:r>
          </w:p>
        </w:tc>
        <w:tc>
          <w:tcPr>
            <w:tcW w:w="708" w:type="dxa"/>
            <w:shd w:val="clear" w:color="auto" w:fill="auto"/>
            <w:vAlign w:val="center"/>
          </w:tcPr>
          <w:p w14:paraId="5A1EBD4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84FDFE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5B4D609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Pr>
                <w:rFonts w:ascii="仿宋_GB2312" w:eastAsia="仿宋_GB2312" w:hAnsi="宋体" w:cs="宋体"/>
                <w:kern w:val="0"/>
                <w:sz w:val="18"/>
                <w:szCs w:val="18"/>
              </w:rPr>
              <w:t>3</w:t>
            </w:r>
          </w:p>
        </w:tc>
      </w:tr>
      <w:tr w:rsidR="006E4E46" w14:paraId="34BE0165" w14:textId="77777777">
        <w:trPr>
          <w:trHeight w:val="420"/>
        </w:trPr>
        <w:tc>
          <w:tcPr>
            <w:tcW w:w="457" w:type="dxa"/>
            <w:vMerge/>
            <w:vAlign w:val="center"/>
          </w:tcPr>
          <w:p w14:paraId="440ACD5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6D74DA9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5.2</w:t>
            </w:r>
          </w:p>
        </w:tc>
        <w:tc>
          <w:tcPr>
            <w:tcW w:w="5812" w:type="dxa"/>
            <w:gridSpan w:val="4"/>
            <w:shd w:val="clear" w:color="auto" w:fill="auto"/>
            <w:vAlign w:val="center"/>
          </w:tcPr>
          <w:p w14:paraId="36F3F94D"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住区内住宅建筑的围护结构热工性能满足北京市《居住建筑节能设计标准》DB11/891的规定。</w:t>
            </w:r>
          </w:p>
        </w:tc>
        <w:tc>
          <w:tcPr>
            <w:tcW w:w="708" w:type="dxa"/>
            <w:shd w:val="clear" w:color="auto" w:fill="auto"/>
            <w:vAlign w:val="center"/>
          </w:tcPr>
          <w:p w14:paraId="48AFDC6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1DA76F0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3B5B32F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B677576" w14:textId="77777777">
        <w:trPr>
          <w:trHeight w:val="420"/>
        </w:trPr>
        <w:tc>
          <w:tcPr>
            <w:tcW w:w="457" w:type="dxa"/>
            <w:vMerge/>
            <w:vAlign w:val="center"/>
          </w:tcPr>
          <w:p w14:paraId="7848623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0BECF91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5.3</w:t>
            </w:r>
          </w:p>
        </w:tc>
        <w:tc>
          <w:tcPr>
            <w:tcW w:w="1559" w:type="dxa"/>
            <w:vMerge w:val="restart"/>
            <w:shd w:val="clear" w:color="auto" w:fill="auto"/>
            <w:vAlign w:val="center"/>
          </w:tcPr>
          <w:p w14:paraId="1D1C3C2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根据住区场地环境资源和经济技术条件，合理设置可再生能源系统。</w:t>
            </w:r>
          </w:p>
        </w:tc>
        <w:tc>
          <w:tcPr>
            <w:tcW w:w="4253" w:type="dxa"/>
            <w:gridSpan w:val="3"/>
            <w:shd w:val="clear" w:color="auto" w:fill="auto"/>
            <w:vAlign w:val="center"/>
          </w:tcPr>
          <w:p w14:paraId="5F3B528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可再生能源产生的生活热水量不低于总生活热水消耗量的25%，或可再生能源技术承担总供暖供冷量的25%</w:t>
            </w:r>
          </w:p>
        </w:tc>
        <w:tc>
          <w:tcPr>
            <w:tcW w:w="708" w:type="dxa"/>
            <w:shd w:val="clear" w:color="auto" w:fill="auto"/>
            <w:vAlign w:val="center"/>
          </w:tcPr>
          <w:p w14:paraId="01D9895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restart"/>
            <w:shd w:val="clear" w:color="auto" w:fill="auto"/>
            <w:vAlign w:val="center"/>
          </w:tcPr>
          <w:p w14:paraId="1175A97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709" w:type="dxa"/>
            <w:vMerge/>
            <w:vAlign w:val="center"/>
          </w:tcPr>
          <w:p w14:paraId="69F3072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9BCE380" w14:textId="77777777">
        <w:trPr>
          <w:trHeight w:val="405"/>
        </w:trPr>
        <w:tc>
          <w:tcPr>
            <w:tcW w:w="457" w:type="dxa"/>
            <w:vMerge/>
            <w:vAlign w:val="center"/>
          </w:tcPr>
          <w:p w14:paraId="3B11EC1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399BC98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88E6A2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7A8C140A"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可再生能源产生的生活热水量不低于总生活热水消耗量的50%，或可再生能源技术承担总供暖供冷量的50%</w:t>
            </w:r>
          </w:p>
        </w:tc>
        <w:tc>
          <w:tcPr>
            <w:tcW w:w="708" w:type="dxa"/>
            <w:shd w:val="clear" w:color="auto" w:fill="auto"/>
            <w:vAlign w:val="center"/>
          </w:tcPr>
          <w:p w14:paraId="6AE9BFB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709" w:type="dxa"/>
            <w:vMerge/>
            <w:vAlign w:val="center"/>
          </w:tcPr>
          <w:p w14:paraId="246CA18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767D8DF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C38B51F" w14:textId="77777777">
        <w:trPr>
          <w:trHeight w:val="585"/>
        </w:trPr>
        <w:tc>
          <w:tcPr>
            <w:tcW w:w="457" w:type="dxa"/>
            <w:vMerge/>
            <w:vAlign w:val="center"/>
          </w:tcPr>
          <w:p w14:paraId="6E706F2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6A651A3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5.4</w:t>
            </w:r>
          </w:p>
        </w:tc>
        <w:tc>
          <w:tcPr>
            <w:tcW w:w="5812" w:type="dxa"/>
            <w:gridSpan w:val="4"/>
            <w:shd w:val="clear" w:color="auto" w:fill="auto"/>
            <w:vAlign w:val="center"/>
          </w:tcPr>
          <w:p w14:paraId="43AB6AF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住区照明光源的光效、灯具效率、照明功率密度满足《建筑照明设计标准》 GB50034的相关规定。住区公共空间功能照明光源的光效不低于80 lm/W。</w:t>
            </w:r>
          </w:p>
        </w:tc>
        <w:tc>
          <w:tcPr>
            <w:tcW w:w="708" w:type="dxa"/>
            <w:shd w:val="clear" w:color="auto" w:fill="auto"/>
            <w:vAlign w:val="center"/>
          </w:tcPr>
          <w:p w14:paraId="2232C43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109F61C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4D77E929"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BF22D5B" w14:textId="77777777">
        <w:trPr>
          <w:trHeight w:val="405"/>
        </w:trPr>
        <w:tc>
          <w:tcPr>
            <w:tcW w:w="457" w:type="dxa"/>
            <w:vMerge/>
            <w:vAlign w:val="center"/>
          </w:tcPr>
          <w:p w14:paraId="768916F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0442DE1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5.5</w:t>
            </w:r>
          </w:p>
        </w:tc>
        <w:tc>
          <w:tcPr>
            <w:tcW w:w="5812" w:type="dxa"/>
            <w:gridSpan w:val="4"/>
            <w:shd w:val="clear" w:color="auto" w:fill="auto"/>
            <w:vAlign w:val="center"/>
          </w:tcPr>
          <w:p w14:paraId="144FFD6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所有人工电光源照明控制方式不少于3种，并且各种场所电光源均具有相应的节能控制方式，实现充分利用自然光照明、降低人工照明耗电量。</w:t>
            </w:r>
          </w:p>
        </w:tc>
        <w:tc>
          <w:tcPr>
            <w:tcW w:w="708" w:type="dxa"/>
            <w:shd w:val="clear" w:color="auto" w:fill="auto"/>
            <w:vAlign w:val="center"/>
          </w:tcPr>
          <w:p w14:paraId="5BB8ACA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56C4A63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512A39A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ECF8B45" w14:textId="77777777">
        <w:trPr>
          <w:trHeight w:val="420"/>
        </w:trPr>
        <w:tc>
          <w:tcPr>
            <w:tcW w:w="457" w:type="dxa"/>
            <w:vMerge/>
            <w:vAlign w:val="center"/>
          </w:tcPr>
          <w:p w14:paraId="74C2E1A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7357F5E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5.6</w:t>
            </w:r>
          </w:p>
        </w:tc>
        <w:tc>
          <w:tcPr>
            <w:tcW w:w="5812" w:type="dxa"/>
            <w:gridSpan w:val="4"/>
            <w:shd w:val="clear" w:color="auto" w:fill="auto"/>
            <w:vAlign w:val="center"/>
          </w:tcPr>
          <w:p w14:paraId="10823D5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住区公用设施用电设备能效等级达到相关国家标准规定的能效二级及以上水平。</w:t>
            </w:r>
          </w:p>
        </w:tc>
        <w:tc>
          <w:tcPr>
            <w:tcW w:w="708" w:type="dxa"/>
            <w:shd w:val="clear" w:color="auto" w:fill="auto"/>
            <w:vAlign w:val="center"/>
          </w:tcPr>
          <w:p w14:paraId="6F7928D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auto" w:fill="auto"/>
            <w:vAlign w:val="center"/>
          </w:tcPr>
          <w:p w14:paraId="1621D82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2B6EA57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07E3281" w14:textId="77777777">
        <w:trPr>
          <w:trHeight w:val="420"/>
        </w:trPr>
        <w:tc>
          <w:tcPr>
            <w:tcW w:w="457" w:type="dxa"/>
            <w:vMerge/>
            <w:vAlign w:val="center"/>
          </w:tcPr>
          <w:p w14:paraId="0B1EAE4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330FEBC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5.7</w:t>
            </w:r>
          </w:p>
        </w:tc>
        <w:tc>
          <w:tcPr>
            <w:tcW w:w="5812" w:type="dxa"/>
            <w:gridSpan w:val="4"/>
            <w:shd w:val="clear" w:color="auto" w:fill="auto"/>
            <w:vAlign w:val="center"/>
          </w:tcPr>
          <w:p w14:paraId="04D5D87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住区内的水、电、气、暖实现对应的分类、分项、分户计量。</w:t>
            </w:r>
          </w:p>
        </w:tc>
        <w:tc>
          <w:tcPr>
            <w:tcW w:w="708" w:type="dxa"/>
            <w:shd w:val="clear" w:color="auto" w:fill="auto"/>
            <w:vAlign w:val="center"/>
          </w:tcPr>
          <w:p w14:paraId="1ADD06A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2C55C0F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70D96ED7"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CE33EEF" w14:textId="77777777">
        <w:trPr>
          <w:trHeight w:val="675"/>
        </w:trPr>
        <w:tc>
          <w:tcPr>
            <w:tcW w:w="457" w:type="dxa"/>
            <w:vMerge/>
            <w:vAlign w:val="center"/>
          </w:tcPr>
          <w:p w14:paraId="6464573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787245A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5.8</w:t>
            </w:r>
          </w:p>
        </w:tc>
        <w:tc>
          <w:tcPr>
            <w:tcW w:w="5812" w:type="dxa"/>
            <w:gridSpan w:val="4"/>
            <w:shd w:val="clear" w:color="auto" w:fill="auto"/>
            <w:vAlign w:val="center"/>
          </w:tcPr>
          <w:p w14:paraId="52E6D06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除了专门设计的大规模电动车停车库设充电专用变压器之外，住区配建电动车充电设施充分利用建筑现有设计指标对应的变压器安装容量，与传统建筑负荷兼用变压器，并采用必要的计量、监控措施，提高谷电利用率。</w:t>
            </w:r>
          </w:p>
        </w:tc>
        <w:tc>
          <w:tcPr>
            <w:tcW w:w="708" w:type="dxa"/>
            <w:shd w:val="clear" w:color="auto" w:fill="auto"/>
            <w:vAlign w:val="center"/>
          </w:tcPr>
          <w:p w14:paraId="7BD5532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41E3322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44077368"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120F6E6" w14:textId="77777777">
        <w:trPr>
          <w:trHeight w:val="675"/>
        </w:trPr>
        <w:tc>
          <w:tcPr>
            <w:tcW w:w="457" w:type="dxa"/>
            <w:vAlign w:val="center"/>
          </w:tcPr>
          <w:p w14:paraId="64F2551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3FB6BCA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r>
              <w:rPr>
                <w:rFonts w:ascii="仿宋_GB2312" w:eastAsia="仿宋_GB2312" w:hAnsi="宋体" w:cs="宋体"/>
                <w:kern w:val="0"/>
                <w:sz w:val="18"/>
                <w:szCs w:val="18"/>
              </w:rPr>
              <w:t>.9</w:t>
            </w:r>
          </w:p>
        </w:tc>
        <w:tc>
          <w:tcPr>
            <w:tcW w:w="5812" w:type="dxa"/>
            <w:gridSpan w:val="4"/>
            <w:shd w:val="clear" w:color="auto" w:fill="auto"/>
            <w:vAlign w:val="center"/>
          </w:tcPr>
          <w:p w14:paraId="60702B1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推广并践行低碳生活方式，如号召人们日常随手关灯、减少食物浪费、少用塑料袋、不过度使用空调、少放鞭炮等</w:t>
            </w:r>
          </w:p>
        </w:tc>
        <w:tc>
          <w:tcPr>
            <w:tcW w:w="708" w:type="dxa"/>
            <w:shd w:val="clear" w:color="auto" w:fill="auto"/>
            <w:vAlign w:val="center"/>
          </w:tcPr>
          <w:p w14:paraId="4A31AB5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E879D0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639FB649"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B59637D" w14:textId="77777777">
        <w:trPr>
          <w:trHeight w:val="420"/>
        </w:trPr>
        <w:tc>
          <w:tcPr>
            <w:tcW w:w="457" w:type="dxa"/>
            <w:vMerge w:val="restart"/>
            <w:shd w:val="clear" w:color="auto" w:fill="auto"/>
            <w:vAlign w:val="center"/>
          </w:tcPr>
          <w:p w14:paraId="68AC8A0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6</w:t>
            </w:r>
            <w:r>
              <w:rPr>
                <w:rFonts w:ascii="仿宋_GB2312" w:eastAsia="仿宋_GB2312" w:hAnsi="宋体" w:cs="宋体" w:hint="eastAsia"/>
                <w:kern w:val="0"/>
                <w:sz w:val="18"/>
                <w:szCs w:val="18"/>
              </w:rPr>
              <w:br/>
              <w:t>水资源节约</w:t>
            </w:r>
          </w:p>
        </w:tc>
        <w:tc>
          <w:tcPr>
            <w:tcW w:w="1485" w:type="dxa"/>
            <w:shd w:val="clear" w:color="000000" w:fill="FFFFFF"/>
            <w:vAlign w:val="center"/>
          </w:tcPr>
          <w:p w14:paraId="3E3727E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6.1</w:t>
            </w:r>
          </w:p>
        </w:tc>
        <w:tc>
          <w:tcPr>
            <w:tcW w:w="5812" w:type="dxa"/>
            <w:gridSpan w:val="4"/>
            <w:shd w:val="clear" w:color="auto" w:fill="auto"/>
            <w:vAlign w:val="center"/>
          </w:tcPr>
          <w:p w14:paraId="6502783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设置计量水表，对不同用途、不同水质的用水量进行监测。</w:t>
            </w:r>
          </w:p>
        </w:tc>
        <w:tc>
          <w:tcPr>
            <w:tcW w:w="708" w:type="dxa"/>
            <w:shd w:val="clear" w:color="auto" w:fill="auto"/>
            <w:vAlign w:val="center"/>
          </w:tcPr>
          <w:p w14:paraId="2ACA079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23929F4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000000" w:fill="FFFFFF"/>
            <w:vAlign w:val="center"/>
          </w:tcPr>
          <w:p w14:paraId="4AF6063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13</w:t>
            </w:r>
          </w:p>
        </w:tc>
      </w:tr>
      <w:tr w:rsidR="006E4E46" w14:paraId="61B0687A" w14:textId="77777777">
        <w:trPr>
          <w:trHeight w:val="480"/>
        </w:trPr>
        <w:tc>
          <w:tcPr>
            <w:tcW w:w="457" w:type="dxa"/>
            <w:vMerge/>
            <w:vAlign w:val="center"/>
          </w:tcPr>
          <w:p w14:paraId="0F4AA7C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3E12357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6.2</w:t>
            </w:r>
          </w:p>
        </w:tc>
        <w:tc>
          <w:tcPr>
            <w:tcW w:w="1559" w:type="dxa"/>
            <w:vMerge w:val="restart"/>
            <w:shd w:val="clear" w:color="auto" w:fill="auto"/>
            <w:vAlign w:val="center"/>
          </w:tcPr>
          <w:p w14:paraId="5B99B8F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住区绿地设置下凹式绿地，即低于周边硬质铺装地面或道路标高5~10cm的绿地，有利于雨水汇入绿地，增强雨水入渗。</w:t>
            </w:r>
          </w:p>
        </w:tc>
        <w:tc>
          <w:tcPr>
            <w:tcW w:w="1559" w:type="dxa"/>
            <w:vMerge w:val="restart"/>
            <w:shd w:val="clear" w:color="auto" w:fill="auto"/>
            <w:vAlign w:val="center"/>
          </w:tcPr>
          <w:p w14:paraId="335AF34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场地内下凹式绿地面积占总绿地面积的百分比</w:t>
            </w:r>
          </w:p>
        </w:tc>
        <w:tc>
          <w:tcPr>
            <w:tcW w:w="2694" w:type="dxa"/>
            <w:gridSpan w:val="2"/>
            <w:shd w:val="clear" w:color="auto" w:fill="auto"/>
            <w:vAlign w:val="center"/>
          </w:tcPr>
          <w:p w14:paraId="43334F5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不小于50%</w:t>
            </w:r>
          </w:p>
        </w:tc>
        <w:tc>
          <w:tcPr>
            <w:tcW w:w="708" w:type="dxa"/>
            <w:shd w:val="clear" w:color="auto" w:fill="auto"/>
            <w:vAlign w:val="center"/>
          </w:tcPr>
          <w:p w14:paraId="2278B6E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0C0E332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17CE557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CF2D644" w14:textId="77777777">
        <w:trPr>
          <w:trHeight w:val="465"/>
        </w:trPr>
        <w:tc>
          <w:tcPr>
            <w:tcW w:w="457" w:type="dxa"/>
            <w:vMerge/>
            <w:vAlign w:val="center"/>
          </w:tcPr>
          <w:p w14:paraId="47A4F26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DF42A5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B092C0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69EB4CB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02EA83C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不小于65%</w:t>
            </w:r>
          </w:p>
        </w:tc>
        <w:tc>
          <w:tcPr>
            <w:tcW w:w="708" w:type="dxa"/>
            <w:shd w:val="clear" w:color="auto" w:fill="auto"/>
            <w:vAlign w:val="center"/>
          </w:tcPr>
          <w:p w14:paraId="79CD98A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5F66C73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04F66E51"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F3C980D" w14:textId="77777777">
        <w:trPr>
          <w:trHeight w:val="420"/>
        </w:trPr>
        <w:tc>
          <w:tcPr>
            <w:tcW w:w="457" w:type="dxa"/>
            <w:vMerge/>
            <w:vAlign w:val="center"/>
          </w:tcPr>
          <w:p w14:paraId="0B12DB6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6D78ADA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6.3</w:t>
            </w:r>
          </w:p>
        </w:tc>
        <w:tc>
          <w:tcPr>
            <w:tcW w:w="5812" w:type="dxa"/>
            <w:gridSpan w:val="4"/>
            <w:shd w:val="clear" w:color="auto" w:fill="auto"/>
            <w:vAlign w:val="center"/>
          </w:tcPr>
          <w:p w14:paraId="49AABD5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住区非机动车道路、公共停车场、休闲广场及其他硬质铺地采用透水铺装，透水铺装率不小于70%。</w:t>
            </w:r>
          </w:p>
        </w:tc>
        <w:tc>
          <w:tcPr>
            <w:tcW w:w="708" w:type="dxa"/>
            <w:shd w:val="clear" w:color="auto" w:fill="auto"/>
            <w:vAlign w:val="center"/>
          </w:tcPr>
          <w:p w14:paraId="362E1B7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21E0061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A573943"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F803224" w14:textId="77777777">
        <w:trPr>
          <w:trHeight w:val="420"/>
        </w:trPr>
        <w:tc>
          <w:tcPr>
            <w:tcW w:w="457" w:type="dxa"/>
            <w:vMerge/>
            <w:vAlign w:val="center"/>
          </w:tcPr>
          <w:p w14:paraId="02A22D5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22B193B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6.4</w:t>
            </w:r>
          </w:p>
        </w:tc>
        <w:tc>
          <w:tcPr>
            <w:tcW w:w="1559" w:type="dxa"/>
            <w:vMerge w:val="restart"/>
            <w:shd w:val="clear" w:color="auto" w:fill="auto"/>
            <w:vAlign w:val="center"/>
          </w:tcPr>
          <w:p w14:paraId="117C565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场地雨水实施外排总量控制。</w:t>
            </w:r>
          </w:p>
        </w:tc>
        <w:tc>
          <w:tcPr>
            <w:tcW w:w="1559" w:type="dxa"/>
            <w:vMerge w:val="restart"/>
            <w:shd w:val="clear" w:color="auto" w:fill="auto"/>
            <w:vAlign w:val="center"/>
          </w:tcPr>
          <w:p w14:paraId="6A08C19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场地年径流总量控制率</w:t>
            </w:r>
          </w:p>
        </w:tc>
        <w:tc>
          <w:tcPr>
            <w:tcW w:w="2694" w:type="dxa"/>
            <w:gridSpan w:val="2"/>
            <w:shd w:val="clear" w:color="auto" w:fill="auto"/>
            <w:vAlign w:val="center"/>
          </w:tcPr>
          <w:p w14:paraId="6CF8697E"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不小于85%</w:t>
            </w:r>
          </w:p>
        </w:tc>
        <w:tc>
          <w:tcPr>
            <w:tcW w:w="708" w:type="dxa"/>
            <w:shd w:val="clear" w:color="auto" w:fill="auto"/>
            <w:vAlign w:val="center"/>
          </w:tcPr>
          <w:p w14:paraId="10F3EF3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kern w:val="0"/>
                <w:sz w:val="18"/>
                <w:szCs w:val="18"/>
              </w:rPr>
              <w:t>2</w:t>
            </w:r>
          </w:p>
        </w:tc>
        <w:tc>
          <w:tcPr>
            <w:tcW w:w="709" w:type="dxa"/>
            <w:vMerge w:val="restart"/>
            <w:shd w:val="clear" w:color="auto" w:fill="auto"/>
            <w:vAlign w:val="center"/>
          </w:tcPr>
          <w:p w14:paraId="792D3FA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57EF399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73365CC" w14:textId="77777777">
        <w:trPr>
          <w:trHeight w:val="420"/>
        </w:trPr>
        <w:tc>
          <w:tcPr>
            <w:tcW w:w="457" w:type="dxa"/>
            <w:vMerge/>
            <w:vAlign w:val="center"/>
          </w:tcPr>
          <w:p w14:paraId="441046F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3F7FABA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FE80BE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41DF45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2C33696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不小于70%</w:t>
            </w:r>
          </w:p>
        </w:tc>
        <w:tc>
          <w:tcPr>
            <w:tcW w:w="708" w:type="dxa"/>
            <w:shd w:val="clear" w:color="auto" w:fill="auto"/>
            <w:vAlign w:val="center"/>
          </w:tcPr>
          <w:p w14:paraId="4B5F45F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kern w:val="0"/>
                <w:sz w:val="18"/>
                <w:szCs w:val="18"/>
              </w:rPr>
              <w:t>1</w:t>
            </w:r>
          </w:p>
        </w:tc>
        <w:tc>
          <w:tcPr>
            <w:tcW w:w="709" w:type="dxa"/>
            <w:vMerge/>
            <w:vAlign w:val="center"/>
          </w:tcPr>
          <w:p w14:paraId="210B313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56C4F8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FB9FC8D" w14:textId="77777777">
        <w:trPr>
          <w:trHeight w:val="420"/>
        </w:trPr>
        <w:tc>
          <w:tcPr>
            <w:tcW w:w="457" w:type="dxa"/>
            <w:vMerge/>
            <w:vAlign w:val="center"/>
          </w:tcPr>
          <w:p w14:paraId="39D5441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45A0E47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6.5</w:t>
            </w:r>
          </w:p>
        </w:tc>
        <w:tc>
          <w:tcPr>
            <w:tcW w:w="5812" w:type="dxa"/>
            <w:gridSpan w:val="4"/>
            <w:shd w:val="clear" w:color="auto" w:fill="auto"/>
            <w:vAlign w:val="center"/>
          </w:tcPr>
          <w:p w14:paraId="4868999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住区中水系统由附近集中再生水厂供给再生水。</w:t>
            </w:r>
          </w:p>
        </w:tc>
        <w:tc>
          <w:tcPr>
            <w:tcW w:w="708" w:type="dxa"/>
            <w:shd w:val="clear" w:color="auto" w:fill="auto"/>
            <w:vAlign w:val="center"/>
          </w:tcPr>
          <w:p w14:paraId="6FD92E3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auto" w:fill="auto"/>
            <w:vAlign w:val="center"/>
          </w:tcPr>
          <w:p w14:paraId="79CDDCB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6998A33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C4FDC12" w14:textId="77777777">
        <w:trPr>
          <w:trHeight w:val="420"/>
        </w:trPr>
        <w:tc>
          <w:tcPr>
            <w:tcW w:w="457" w:type="dxa"/>
            <w:vMerge/>
            <w:vAlign w:val="center"/>
          </w:tcPr>
          <w:p w14:paraId="3D1A6DF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39F94DC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6.6</w:t>
            </w:r>
          </w:p>
        </w:tc>
        <w:tc>
          <w:tcPr>
            <w:tcW w:w="5812" w:type="dxa"/>
            <w:gridSpan w:val="4"/>
            <w:shd w:val="clear" w:color="auto" w:fill="auto"/>
            <w:vAlign w:val="center"/>
          </w:tcPr>
          <w:p w14:paraId="2C2AD71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使用非传统水源时，采取用水安全保障措施，且不对人体健康与周围环境产生不良影响。</w:t>
            </w:r>
          </w:p>
        </w:tc>
        <w:tc>
          <w:tcPr>
            <w:tcW w:w="708" w:type="dxa"/>
            <w:shd w:val="clear" w:color="auto" w:fill="auto"/>
            <w:vAlign w:val="center"/>
          </w:tcPr>
          <w:p w14:paraId="02896AF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CDA2E2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929312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9E7BA87" w14:textId="77777777">
        <w:trPr>
          <w:trHeight w:val="420"/>
        </w:trPr>
        <w:tc>
          <w:tcPr>
            <w:tcW w:w="457" w:type="dxa"/>
            <w:vMerge/>
            <w:vAlign w:val="center"/>
          </w:tcPr>
          <w:p w14:paraId="6EBA60C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7F1F7BA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6.7</w:t>
            </w:r>
          </w:p>
        </w:tc>
        <w:tc>
          <w:tcPr>
            <w:tcW w:w="5812" w:type="dxa"/>
            <w:gridSpan w:val="4"/>
            <w:shd w:val="clear" w:color="auto" w:fill="auto"/>
            <w:vAlign w:val="center"/>
          </w:tcPr>
          <w:p w14:paraId="75D7628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绿化灌溉采用节水、低能耗的高效灌溉方式，如滴灌、微喷灌等，采用高效灌溉方式的面积比例达到80%。</w:t>
            </w:r>
          </w:p>
        </w:tc>
        <w:tc>
          <w:tcPr>
            <w:tcW w:w="708" w:type="dxa"/>
            <w:shd w:val="clear" w:color="auto" w:fill="auto"/>
            <w:vAlign w:val="center"/>
          </w:tcPr>
          <w:p w14:paraId="62EC8D9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27FFE57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1F13E93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4BE1027" w14:textId="77777777">
        <w:trPr>
          <w:trHeight w:val="420"/>
        </w:trPr>
        <w:tc>
          <w:tcPr>
            <w:tcW w:w="457" w:type="dxa"/>
            <w:vMerge/>
            <w:vAlign w:val="center"/>
          </w:tcPr>
          <w:p w14:paraId="29EBA01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000000" w:fill="FFFFFF"/>
            <w:vAlign w:val="center"/>
          </w:tcPr>
          <w:p w14:paraId="4F68698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6.8</w:t>
            </w:r>
          </w:p>
        </w:tc>
        <w:tc>
          <w:tcPr>
            <w:tcW w:w="5812" w:type="dxa"/>
            <w:gridSpan w:val="4"/>
            <w:shd w:val="clear" w:color="auto" w:fill="auto"/>
            <w:vAlign w:val="center"/>
          </w:tcPr>
          <w:p w14:paraId="73A5CA4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采取有效措施减少住区给水管网漏损量。</w:t>
            </w:r>
          </w:p>
        </w:tc>
        <w:tc>
          <w:tcPr>
            <w:tcW w:w="708" w:type="dxa"/>
            <w:shd w:val="clear" w:color="auto" w:fill="auto"/>
            <w:vAlign w:val="center"/>
          </w:tcPr>
          <w:p w14:paraId="3A4D8B9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4BEFECB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4E58839D"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93D3772" w14:textId="77777777">
        <w:trPr>
          <w:trHeight w:val="420"/>
        </w:trPr>
        <w:tc>
          <w:tcPr>
            <w:tcW w:w="457" w:type="dxa"/>
            <w:vMerge/>
            <w:vAlign w:val="center"/>
          </w:tcPr>
          <w:p w14:paraId="7A7E742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603A905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6.9</w:t>
            </w:r>
          </w:p>
        </w:tc>
        <w:tc>
          <w:tcPr>
            <w:tcW w:w="1559" w:type="dxa"/>
            <w:vMerge w:val="restart"/>
            <w:shd w:val="clear" w:color="auto" w:fill="auto"/>
            <w:vAlign w:val="center"/>
          </w:tcPr>
          <w:p w14:paraId="41BF94B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充分利用非传统水源。</w:t>
            </w:r>
          </w:p>
        </w:tc>
        <w:tc>
          <w:tcPr>
            <w:tcW w:w="1559" w:type="dxa"/>
            <w:vMerge w:val="restart"/>
            <w:shd w:val="clear" w:color="auto" w:fill="auto"/>
            <w:vAlign w:val="center"/>
          </w:tcPr>
          <w:p w14:paraId="6DBA3FF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非传统水源利用率</w:t>
            </w:r>
          </w:p>
        </w:tc>
        <w:tc>
          <w:tcPr>
            <w:tcW w:w="2694" w:type="dxa"/>
            <w:gridSpan w:val="2"/>
            <w:shd w:val="clear" w:color="auto" w:fill="auto"/>
            <w:vAlign w:val="center"/>
          </w:tcPr>
          <w:p w14:paraId="1D3606F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室外利用率不小于60%或总利用率不小于10%</w:t>
            </w:r>
          </w:p>
        </w:tc>
        <w:tc>
          <w:tcPr>
            <w:tcW w:w="708" w:type="dxa"/>
            <w:shd w:val="clear" w:color="auto" w:fill="auto"/>
            <w:vAlign w:val="center"/>
          </w:tcPr>
          <w:p w14:paraId="3CB5BF7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auto" w:fill="auto"/>
            <w:vAlign w:val="center"/>
          </w:tcPr>
          <w:p w14:paraId="237E351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3BC82B98"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637A955" w14:textId="77777777">
        <w:trPr>
          <w:trHeight w:val="420"/>
        </w:trPr>
        <w:tc>
          <w:tcPr>
            <w:tcW w:w="457" w:type="dxa"/>
            <w:vMerge/>
            <w:vAlign w:val="center"/>
          </w:tcPr>
          <w:p w14:paraId="0C84BFF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5BC65A3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63802C9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73AE48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395D38A7"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室外利用率不小于80%或总利用率不小于20%</w:t>
            </w:r>
          </w:p>
        </w:tc>
        <w:tc>
          <w:tcPr>
            <w:tcW w:w="708" w:type="dxa"/>
            <w:shd w:val="clear" w:color="auto" w:fill="auto"/>
            <w:vAlign w:val="center"/>
          </w:tcPr>
          <w:p w14:paraId="485327F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3930617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0187B1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DC080E1" w14:textId="77777777">
        <w:trPr>
          <w:trHeight w:val="420"/>
        </w:trPr>
        <w:tc>
          <w:tcPr>
            <w:tcW w:w="457" w:type="dxa"/>
            <w:vMerge/>
            <w:vAlign w:val="center"/>
          </w:tcPr>
          <w:p w14:paraId="7067D24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59FAFB0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C7D4AE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DAE85E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2694" w:type="dxa"/>
            <w:gridSpan w:val="2"/>
            <w:shd w:val="clear" w:color="auto" w:fill="auto"/>
            <w:vAlign w:val="center"/>
          </w:tcPr>
          <w:p w14:paraId="6B5506C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室外利用率不小于100%或总利用率不小于30%</w:t>
            </w:r>
          </w:p>
        </w:tc>
        <w:tc>
          <w:tcPr>
            <w:tcW w:w="708" w:type="dxa"/>
            <w:shd w:val="clear" w:color="auto" w:fill="auto"/>
            <w:vAlign w:val="center"/>
          </w:tcPr>
          <w:p w14:paraId="37F0E74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09" w:type="dxa"/>
            <w:vMerge/>
            <w:vAlign w:val="center"/>
          </w:tcPr>
          <w:p w14:paraId="2FE5DF5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0B513A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1B9CCD4" w14:textId="77777777">
        <w:trPr>
          <w:trHeight w:val="420"/>
        </w:trPr>
        <w:tc>
          <w:tcPr>
            <w:tcW w:w="457" w:type="dxa"/>
            <w:vMerge w:val="restart"/>
            <w:shd w:val="clear" w:color="auto" w:fill="auto"/>
            <w:vAlign w:val="center"/>
          </w:tcPr>
          <w:p w14:paraId="3D1D17F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hint="eastAsia"/>
                <w:kern w:val="0"/>
                <w:sz w:val="18"/>
                <w:szCs w:val="18"/>
              </w:rPr>
              <w:br/>
              <w:t>绿色人文</w:t>
            </w:r>
          </w:p>
        </w:tc>
        <w:tc>
          <w:tcPr>
            <w:tcW w:w="1485" w:type="dxa"/>
            <w:shd w:val="clear" w:color="auto" w:fill="auto"/>
            <w:vAlign w:val="center"/>
          </w:tcPr>
          <w:p w14:paraId="202C817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7.1</w:t>
            </w:r>
          </w:p>
        </w:tc>
        <w:tc>
          <w:tcPr>
            <w:tcW w:w="5812" w:type="dxa"/>
            <w:gridSpan w:val="4"/>
            <w:shd w:val="clear" w:color="auto" w:fill="auto"/>
            <w:vAlign w:val="center"/>
          </w:tcPr>
          <w:p w14:paraId="666EC6C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住区符合国家标准《无障碍设计规范》的相关要求，设置完善的盲道、无障碍电梯、洗手间等设施，并定期维护，保障无障碍设施的正常使用。</w:t>
            </w:r>
          </w:p>
        </w:tc>
        <w:tc>
          <w:tcPr>
            <w:tcW w:w="708" w:type="dxa"/>
            <w:shd w:val="clear" w:color="auto" w:fill="auto"/>
            <w:vAlign w:val="center"/>
          </w:tcPr>
          <w:p w14:paraId="42CCD4B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4709B6E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auto" w:fill="auto"/>
            <w:vAlign w:val="center"/>
          </w:tcPr>
          <w:p w14:paraId="5ABA221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Pr>
                <w:rFonts w:ascii="仿宋_GB2312" w:eastAsia="仿宋_GB2312" w:hAnsi="宋体" w:cs="宋体"/>
                <w:kern w:val="0"/>
                <w:sz w:val="18"/>
                <w:szCs w:val="18"/>
              </w:rPr>
              <w:t>3</w:t>
            </w:r>
          </w:p>
        </w:tc>
      </w:tr>
      <w:tr w:rsidR="006E4E46" w14:paraId="09E6AB97" w14:textId="77777777">
        <w:trPr>
          <w:trHeight w:val="420"/>
        </w:trPr>
        <w:tc>
          <w:tcPr>
            <w:tcW w:w="457" w:type="dxa"/>
            <w:vMerge/>
            <w:shd w:val="clear" w:color="auto" w:fill="auto"/>
            <w:vAlign w:val="center"/>
          </w:tcPr>
          <w:p w14:paraId="3FF3B503"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1485" w:type="dxa"/>
            <w:shd w:val="clear" w:color="auto" w:fill="auto"/>
            <w:vAlign w:val="center"/>
          </w:tcPr>
          <w:p w14:paraId="0373FF5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.2</w:t>
            </w:r>
          </w:p>
        </w:tc>
        <w:tc>
          <w:tcPr>
            <w:tcW w:w="5812" w:type="dxa"/>
            <w:gridSpan w:val="4"/>
            <w:shd w:val="clear" w:color="auto" w:fill="auto"/>
            <w:vAlign w:val="center"/>
          </w:tcPr>
          <w:p w14:paraId="1416AE5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建设适老设施，充分考虑老年人的身体机能及行动特点并做出相应的设计。</w:t>
            </w:r>
          </w:p>
        </w:tc>
        <w:tc>
          <w:tcPr>
            <w:tcW w:w="708" w:type="dxa"/>
            <w:shd w:val="clear" w:color="auto" w:fill="auto"/>
            <w:vAlign w:val="center"/>
          </w:tcPr>
          <w:p w14:paraId="452B8A1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325C59B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1BEA630D" w14:textId="77777777" w:rsidR="006E4E46" w:rsidRDefault="006E4E46">
            <w:pPr>
              <w:widowControl/>
              <w:ind w:firstLineChars="0" w:firstLine="0"/>
              <w:jc w:val="center"/>
              <w:rPr>
                <w:rFonts w:ascii="仿宋_GB2312" w:eastAsia="仿宋_GB2312" w:hAnsi="宋体" w:cs="宋体" w:hint="eastAsia"/>
                <w:kern w:val="0"/>
                <w:sz w:val="18"/>
                <w:szCs w:val="18"/>
              </w:rPr>
            </w:pPr>
          </w:p>
        </w:tc>
      </w:tr>
      <w:tr w:rsidR="006E4E46" w14:paraId="6B433810" w14:textId="77777777">
        <w:trPr>
          <w:trHeight w:val="420"/>
        </w:trPr>
        <w:tc>
          <w:tcPr>
            <w:tcW w:w="457" w:type="dxa"/>
            <w:vMerge/>
            <w:shd w:val="clear" w:color="auto" w:fill="auto"/>
            <w:vAlign w:val="center"/>
          </w:tcPr>
          <w:p w14:paraId="7151665E"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1485" w:type="dxa"/>
            <w:shd w:val="clear" w:color="auto" w:fill="auto"/>
            <w:vAlign w:val="center"/>
          </w:tcPr>
          <w:p w14:paraId="5AD10BE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.3</w:t>
            </w:r>
          </w:p>
        </w:tc>
        <w:tc>
          <w:tcPr>
            <w:tcW w:w="5812" w:type="dxa"/>
            <w:gridSpan w:val="4"/>
            <w:shd w:val="clear" w:color="auto" w:fill="auto"/>
            <w:vAlign w:val="center"/>
          </w:tcPr>
          <w:p w14:paraId="20C34C9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建设儿童友好型设施，并保障设施的安全稳定运行。</w:t>
            </w:r>
          </w:p>
        </w:tc>
        <w:tc>
          <w:tcPr>
            <w:tcW w:w="708" w:type="dxa"/>
            <w:shd w:val="clear" w:color="auto" w:fill="auto"/>
            <w:vAlign w:val="center"/>
          </w:tcPr>
          <w:p w14:paraId="7F5E910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9EF892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256D4029" w14:textId="77777777" w:rsidR="006E4E46" w:rsidRDefault="006E4E46">
            <w:pPr>
              <w:widowControl/>
              <w:ind w:firstLineChars="0" w:firstLine="0"/>
              <w:jc w:val="center"/>
              <w:rPr>
                <w:rFonts w:ascii="仿宋_GB2312" w:eastAsia="仿宋_GB2312" w:hAnsi="宋体" w:cs="宋体" w:hint="eastAsia"/>
                <w:kern w:val="0"/>
                <w:sz w:val="18"/>
                <w:szCs w:val="18"/>
              </w:rPr>
            </w:pPr>
          </w:p>
        </w:tc>
      </w:tr>
      <w:tr w:rsidR="006E4E46" w14:paraId="3668B4CF" w14:textId="77777777">
        <w:trPr>
          <w:trHeight w:val="420"/>
        </w:trPr>
        <w:tc>
          <w:tcPr>
            <w:tcW w:w="457" w:type="dxa"/>
            <w:vMerge/>
            <w:vAlign w:val="center"/>
          </w:tcPr>
          <w:p w14:paraId="0CCAAF7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56BACA4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.4</w:t>
            </w:r>
          </w:p>
        </w:tc>
        <w:tc>
          <w:tcPr>
            <w:tcW w:w="1559" w:type="dxa"/>
            <w:shd w:val="clear" w:color="auto" w:fill="auto"/>
            <w:vAlign w:val="center"/>
          </w:tcPr>
          <w:p w14:paraId="56EF5318"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一刻钟住区服务圈</w:t>
            </w:r>
          </w:p>
        </w:tc>
        <w:tc>
          <w:tcPr>
            <w:tcW w:w="4253" w:type="dxa"/>
            <w:gridSpan w:val="3"/>
            <w:shd w:val="clear" w:color="auto" w:fill="auto"/>
            <w:vAlign w:val="center"/>
          </w:tcPr>
          <w:p w14:paraId="3653B43C" w14:textId="77777777" w:rsidR="006E4E46" w:rsidRDefault="00000000">
            <w:pPr>
              <w:widowControl/>
              <w:ind w:firstLineChars="0" w:firstLine="0"/>
              <w:jc w:val="left"/>
              <w:rPr>
                <w:rFonts w:ascii="仿宋_GB2312" w:eastAsia="仿宋_GB2312" w:hAnsi="Times New Roman"/>
                <w:kern w:val="0"/>
                <w:sz w:val="18"/>
                <w:szCs w:val="18"/>
              </w:rPr>
            </w:pPr>
            <w:r>
              <w:rPr>
                <w:rFonts w:ascii="仿宋_GB2312" w:eastAsia="仿宋_GB2312" w:hAnsi="Times New Roman" w:hint="eastAsia"/>
                <w:kern w:val="0"/>
                <w:sz w:val="18"/>
                <w:szCs w:val="18"/>
              </w:rPr>
              <w:t>住区1</w:t>
            </w:r>
            <w:r>
              <w:rPr>
                <w:rFonts w:ascii="仿宋_GB2312" w:eastAsia="仿宋_GB2312" w:hAnsi="Times New Roman"/>
                <w:kern w:val="0"/>
                <w:sz w:val="18"/>
                <w:szCs w:val="18"/>
              </w:rPr>
              <w:t>5</w:t>
            </w:r>
            <w:r>
              <w:rPr>
                <w:rFonts w:ascii="仿宋_GB2312" w:eastAsia="仿宋_GB2312" w:hAnsi="Times New Roman" w:hint="eastAsia"/>
                <w:kern w:val="0"/>
                <w:sz w:val="18"/>
                <w:szCs w:val="18"/>
              </w:rPr>
              <w:t>分钟步行范围内可达到六种以上的便民服务设施。便民服务设施包括：居民和家庭服务设施、健康服务设施、养老服务设施、旅游服务设施、体育服务设施、文化服务设施、法律服务设施、批发零售服务设施、住宿餐饮服务设施和教育培训服务设施等。</w:t>
            </w:r>
          </w:p>
        </w:tc>
        <w:tc>
          <w:tcPr>
            <w:tcW w:w="708" w:type="dxa"/>
            <w:shd w:val="clear" w:color="auto" w:fill="auto"/>
            <w:vAlign w:val="center"/>
          </w:tcPr>
          <w:p w14:paraId="4436269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C72F23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10C37B95"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825D8C1" w14:textId="77777777">
        <w:trPr>
          <w:trHeight w:val="420"/>
        </w:trPr>
        <w:tc>
          <w:tcPr>
            <w:tcW w:w="457" w:type="dxa"/>
            <w:vMerge/>
            <w:vAlign w:val="center"/>
          </w:tcPr>
          <w:p w14:paraId="69ED2D1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4AE76E3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5</w:t>
            </w:r>
          </w:p>
        </w:tc>
        <w:tc>
          <w:tcPr>
            <w:tcW w:w="1559" w:type="dxa"/>
            <w:vMerge w:val="restart"/>
            <w:shd w:val="clear" w:color="auto" w:fill="auto"/>
            <w:vAlign w:val="center"/>
          </w:tcPr>
          <w:p w14:paraId="2B7B5FC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周边和内部设置的公共服务设施形成完整的公共服务系统。</w:t>
            </w:r>
          </w:p>
        </w:tc>
        <w:tc>
          <w:tcPr>
            <w:tcW w:w="4253" w:type="dxa"/>
            <w:gridSpan w:val="3"/>
            <w:shd w:val="clear" w:color="auto" w:fill="auto"/>
            <w:vAlign w:val="center"/>
          </w:tcPr>
          <w:p w14:paraId="37158F63" w14:textId="77777777" w:rsidR="006E4E46" w:rsidRDefault="00000000">
            <w:pPr>
              <w:widowControl/>
              <w:ind w:firstLineChars="0" w:firstLine="0"/>
              <w:jc w:val="left"/>
              <w:rPr>
                <w:rFonts w:ascii="仿宋_GB2312" w:eastAsia="仿宋_GB2312" w:hAnsi="Times New Roman"/>
                <w:kern w:val="0"/>
                <w:sz w:val="18"/>
                <w:szCs w:val="18"/>
              </w:rPr>
            </w:pPr>
            <w:r>
              <w:rPr>
                <w:rFonts w:ascii="仿宋_GB2312" w:eastAsia="仿宋_GB2312" w:hAnsi="Times New Roman" w:hint="eastAsia"/>
                <w:kern w:val="0"/>
                <w:sz w:val="18"/>
                <w:szCs w:val="18"/>
              </w:rPr>
              <w:t>1.</w:t>
            </w:r>
            <w:r>
              <w:rPr>
                <w:rFonts w:ascii="仿宋_GB2312" w:eastAsia="仿宋_GB2312" w:hAnsi="宋体" w:hint="eastAsia"/>
                <w:kern w:val="0"/>
                <w:sz w:val="18"/>
                <w:szCs w:val="18"/>
              </w:rPr>
              <w:t>住区主要出入口</w:t>
            </w:r>
            <w:r>
              <w:rPr>
                <w:rFonts w:ascii="仿宋_GB2312" w:eastAsia="仿宋_GB2312" w:hAnsi="Times New Roman" w:hint="eastAsia"/>
                <w:kern w:val="0"/>
                <w:sz w:val="18"/>
                <w:szCs w:val="18"/>
              </w:rPr>
              <w:t>500m</w:t>
            </w:r>
            <w:r>
              <w:rPr>
                <w:rFonts w:ascii="仿宋_GB2312" w:eastAsia="仿宋_GB2312" w:hAnsi="宋体" w:hint="eastAsia"/>
                <w:kern w:val="0"/>
                <w:sz w:val="18"/>
                <w:szCs w:val="18"/>
              </w:rPr>
              <w:t>以内设有幼儿园和小学</w:t>
            </w:r>
          </w:p>
        </w:tc>
        <w:tc>
          <w:tcPr>
            <w:tcW w:w="708" w:type="dxa"/>
            <w:shd w:val="clear" w:color="auto" w:fill="auto"/>
            <w:vAlign w:val="center"/>
          </w:tcPr>
          <w:p w14:paraId="512A90B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auto" w:fill="auto"/>
            <w:vAlign w:val="center"/>
          </w:tcPr>
          <w:p w14:paraId="68FFC9A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37E8C6F8"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B5C77FA" w14:textId="77777777">
        <w:trPr>
          <w:trHeight w:val="420"/>
        </w:trPr>
        <w:tc>
          <w:tcPr>
            <w:tcW w:w="457" w:type="dxa"/>
            <w:vMerge/>
            <w:vAlign w:val="center"/>
          </w:tcPr>
          <w:p w14:paraId="5EF95AF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F22F96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BC728E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4278239E" w14:textId="77777777" w:rsidR="006E4E46" w:rsidRDefault="00000000">
            <w:pPr>
              <w:widowControl/>
              <w:ind w:firstLineChars="0" w:firstLine="0"/>
              <w:jc w:val="left"/>
              <w:rPr>
                <w:rFonts w:ascii="仿宋_GB2312" w:eastAsia="仿宋_GB2312" w:hAnsi="Times New Roman"/>
                <w:kern w:val="0"/>
                <w:sz w:val="18"/>
                <w:szCs w:val="18"/>
              </w:rPr>
            </w:pPr>
            <w:r>
              <w:rPr>
                <w:rFonts w:ascii="仿宋_GB2312" w:eastAsia="仿宋_GB2312" w:hAnsi="Times New Roman" w:hint="eastAsia"/>
                <w:kern w:val="0"/>
                <w:sz w:val="18"/>
                <w:szCs w:val="18"/>
              </w:rPr>
              <w:t>2.</w:t>
            </w:r>
            <w:r>
              <w:rPr>
                <w:rFonts w:ascii="仿宋_GB2312" w:eastAsia="仿宋_GB2312" w:hAnsi="宋体" w:hint="eastAsia"/>
                <w:kern w:val="0"/>
                <w:sz w:val="18"/>
                <w:szCs w:val="18"/>
              </w:rPr>
              <w:t>住区主要出入口</w:t>
            </w:r>
            <w:r>
              <w:rPr>
                <w:rFonts w:ascii="仿宋_GB2312" w:eastAsia="仿宋_GB2312" w:hAnsi="Times New Roman" w:hint="eastAsia"/>
                <w:kern w:val="0"/>
                <w:sz w:val="18"/>
                <w:szCs w:val="18"/>
              </w:rPr>
              <w:t>500m</w:t>
            </w:r>
            <w:r>
              <w:rPr>
                <w:rFonts w:ascii="仿宋_GB2312" w:eastAsia="仿宋_GB2312" w:hAnsi="宋体" w:hint="eastAsia"/>
                <w:kern w:val="0"/>
                <w:sz w:val="18"/>
                <w:szCs w:val="18"/>
              </w:rPr>
              <w:t>以内至少有以下两个非重复商业设施：菜市场或农贸市场、小型超市或便利店、便民零售店</w:t>
            </w:r>
          </w:p>
        </w:tc>
        <w:tc>
          <w:tcPr>
            <w:tcW w:w="708" w:type="dxa"/>
            <w:shd w:val="clear" w:color="auto" w:fill="auto"/>
            <w:vAlign w:val="center"/>
          </w:tcPr>
          <w:p w14:paraId="15FB431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634A536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356F56A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F97B1B3" w14:textId="77777777">
        <w:trPr>
          <w:trHeight w:val="420"/>
        </w:trPr>
        <w:tc>
          <w:tcPr>
            <w:tcW w:w="457" w:type="dxa"/>
            <w:vMerge/>
            <w:vAlign w:val="center"/>
          </w:tcPr>
          <w:p w14:paraId="7573587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65165C6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5E3765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23EE349" w14:textId="77777777" w:rsidR="006E4E46" w:rsidRDefault="00000000">
            <w:pPr>
              <w:widowControl/>
              <w:ind w:firstLineChars="0" w:firstLine="0"/>
              <w:jc w:val="left"/>
              <w:rPr>
                <w:rFonts w:ascii="仿宋_GB2312" w:eastAsia="仿宋_GB2312" w:hAnsi="Times New Roman"/>
                <w:kern w:val="0"/>
                <w:sz w:val="18"/>
                <w:szCs w:val="18"/>
              </w:rPr>
            </w:pPr>
            <w:r>
              <w:rPr>
                <w:rFonts w:ascii="仿宋_GB2312" w:eastAsia="仿宋_GB2312" w:hAnsi="Times New Roman" w:hint="eastAsia"/>
                <w:kern w:val="0"/>
                <w:sz w:val="18"/>
                <w:szCs w:val="18"/>
              </w:rPr>
              <w:t>3.</w:t>
            </w:r>
            <w:r>
              <w:rPr>
                <w:rFonts w:ascii="仿宋_GB2312" w:eastAsia="仿宋_GB2312" w:hAnsi="宋体" w:hint="eastAsia"/>
                <w:kern w:val="0"/>
                <w:sz w:val="18"/>
                <w:szCs w:val="18"/>
              </w:rPr>
              <w:t>住区主要出入口</w:t>
            </w:r>
            <w:r>
              <w:rPr>
                <w:rFonts w:ascii="仿宋_GB2312" w:eastAsia="仿宋_GB2312" w:hAnsi="Times New Roman" w:hint="eastAsia"/>
                <w:kern w:val="0"/>
                <w:sz w:val="18"/>
                <w:szCs w:val="18"/>
              </w:rPr>
              <w:t>1000m</w:t>
            </w:r>
            <w:r>
              <w:rPr>
                <w:rFonts w:ascii="仿宋_GB2312" w:eastAsia="仿宋_GB2312" w:hAnsi="宋体" w:hint="eastAsia"/>
                <w:kern w:val="0"/>
                <w:sz w:val="18"/>
                <w:szCs w:val="18"/>
              </w:rPr>
              <w:t>以内至少有一个社区公园、居住区公园或综合性公园，</w:t>
            </w:r>
            <w:r>
              <w:rPr>
                <w:rFonts w:ascii="仿宋_GB2312" w:eastAsia="仿宋_GB2312" w:hAnsi="Times New Roman" w:hint="eastAsia"/>
                <w:kern w:val="0"/>
                <w:sz w:val="18"/>
                <w:szCs w:val="18"/>
              </w:rPr>
              <w:t>500m</w:t>
            </w:r>
            <w:r>
              <w:rPr>
                <w:rFonts w:ascii="仿宋_GB2312" w:eastAsia="仿宋_GB2312" w:hAnsi="宋体" w:hint="eastAsia"/>
                <w:kern w:val="0"/>
                <w:sz w:val="18"/>
                <w:szCs w:val="18"/>
              </w:rPr>
              <w:t>范围内至少有一个小区游园</w:t>
            </w:r>
          </w:p>
        </w:tc>
        <w:tc>
          <w:tcPr>
            <w:tcW w:w="708" w:type="dxa"/>
            <w:shd w:val="clear" w:color="auto" w:fill="auto"/>
            <w:vAlign w:val="center"/>
          </w:tcPr>
          <w:p w14:paraId="61A2238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243A2B9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66A6299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2CB0DC8" w14:textId="77777777">
        <w:trPr>
          <w:trHeight w:val="420"/>
        </w:trPr>
        <w:tc>
          <w:tcPr>
            <w:tcW w:w="457" w:type="dxa"/>
            <w:vMerge/>
            <w:vAlign w:val="center"/>
          </w:tcPr>
          <w:p w14:paraId="4988D9F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221E026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6</w:t>
            </w:r>
          </w:p>
        </w:tc>
        <w:tc>
          <w:tcPr>
            <w:tcW w:w="1559" w:type="dxa"/>
            <w:vMerge w:val="restart"/>
            <w:shd w:val="clear" w:color="auto" w:fill="auto"/>
            <w:vAlign w:val="center"/>
          </w:tcPr>
          <w:p w14:paraId="744F6CC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设置各类型的居民活动设施，服务于不同需要的人群。</w:t>
            </w:r>
          </w:p>
        </w:tc>
        <w:tc>
          <w:tcPr>
            <w:tcW w:w="4253" w:type="dxa"/>
            <w:gridSpan w:val="3"/>
            <w:shd w:val="clear" w:color="auto" w:fill="auto"/>
            <w:vAlign w:val="center"/>
          </w:tcPr>
          <w:p w14:paraId="260C168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1.文化娱乐广场、体育健身场（馆）或设施、慢跑步道及按摩步道等</w:t>
            </w:r>
          </w:p>
        </w:tc>
        <w:tc>
          <w:tcPr>
            <w:tcW w:w="708" w:type="dxa"/>
            <w:shd w:val="clear" w:color="auto" w:fill="auto"/>
            <w:vAlign w:val="center"/>
          </w:tcPr>
          <w:p w14:paraId="38CA3BE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4168B92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6992E0E8"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32F539B" w14:textId="77777777">
        <w:trPr>
          <w:trHeight w:val="420"/>
        </w:trPr>
        <w:tc>
          <w:tcPr>
            <w:tcW w:w="457" w:type="dxa"/>
            <w:vMerge/>
            <w:vAlign w:val="center"/>
          </w:tcPr>
          <w:p w14:paraId="02DC81E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6070695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386E49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78FC2A2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2.儿童娱乐场地或儿童活动场（馆）</w:t>
            </w:r>
          </w:p>
        </w:tc>
        <w:tc>
          <w:tcPr>
            <w:tcW w:w="708" w:type="dxa"/>
            <w:shd w:val="clear" w:color="auto" w:fill="auto"/>
            <w:vAlign w:val="center"/>
          </w:tcPr>
          <w:p w14:paraId="7CE9137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149BE624"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3BD8B1F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AD5ECC1" w14:textId="77777777">
        <w:trPr>
          <w:trHeight w:val="420"/>
        </w:trPr>
        <w:tc>
          <w:tcPr>
            <w:tcW w:w="457" w:type="dxa"/>
            <w:vMerge/>
            <w:vAlign w:val="center"/>
          </w:tcPr>
          <w:p w14:paraId="49A707B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7E10B3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F7761B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1ECA08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3.老年活动中心、老年服务中心（站）或托老所</w:t>
            </w:r>
          </w:p>
        </w:tc>
        <w:tc>
          <w:tcPr>
            <w:tcW w:w="708" w:type="dxa"/>
            <w:shd w:val="clear" w:color="auto" w:fill="auto"/>
            <w:vAlign w:val="center"/>
          </w:tcPr>
          <w:p w14:paraId="0DD7C01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28F1637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F82752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AF4FBC0" w14:textId="77777777">
        <w:trPr>
          <w:trHeight w:val="420"/>
        </w:trPr>
        <w:tc>
          <w:tcPr>
            <w:tcW w:w="457" w:type="dxa"/>
            <w:vMerge/>
            <w:vAlign w:val="center"/>
          </w:tcPr>
          <w:p w14:paraId="5BE884C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023B7A6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ED3714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50AE4D1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4.残疾人康复托养中心</w:t>
            </w:r>
          </w:p>
        </w:tc>
        <w:tc>
          <w:tcPr>
            <w:tcW w:w="708" w:type="dxa"/>
            <w:shd w:val="clear" w:color="auto" w:fill="auto"/>
            <w:vAlign w:val="center"/>
          </w:tcPr>
          <w:p w14:paraId="49CFA1E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3D83DAA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06677B61"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23C8340" w14:textId="77777777">
        <w:trPr>
          <w:trHeight w:val="420"/>
        </w:trPr>
        <w:tc>
          <w:tcPr>
            <w:tcW w:w="457" w:type="dxa"/>
            <w:vMerge/>
            <w:vAlign w:val="center"/>
          </w:tcPr>
          <w:p w14:paraId="336AC17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218D3F2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7</w:t>
            </w:r>
          </w:p>
        </w:tc>
        <w:tc>
          <w:tcPr>
            <w:tcW w:w="1559" w:type="dxa"/>
            <w:vMerge w:val="restart"/>
            <w:shd w:val="clear" w:color="auto" w:fill="auto"/>
            <w:vAlign w:val="center"/>
          </w:tcPr>
          <w:p w14:paraId="42BCD99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公共服务设施建筑集中设置，并与周边公共服务设施协调共享。</w:t>
            </w:r>
          </w:p>
        </w:tc>
        <w:tc>
          <w:tcPr>
            <w:tcW w:w="4253" w:type="dxa"/>
            <w:gridSpan w:val="3"/>
            <w:shd w:val="clear" w:color="auto" w:fill="auto"/>
            <w:vAlign w:val="center"/>
          </w:tcPr>
          <w:p w14:paraId="61F3691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1.三种及以上的公共服务设施的建筑集中设置，或建筑兼容3种及以上的公共服务功能</w:t>
            </w:r>
          </w:p>
        </w:tc>
        <w:tc>
          <w:tcPr>
            <w:tcW w:w="708" w:type="dxa"/>
            <w:shd w:val="clear" w:color="auto" w:fill="auto"/>
            <w:vAlign w:val="center"/>
          </w:tcPr>
          <w:p w14:paraId="52127F66"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2AAE5E2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7E5F89F5"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57AA7C0" w14:textId="77777777">
        <w:trPr>
          <w:trHeight w:val="420"/>
        </w:trPr>
        <w:tc>
          <w:tcPr>
            <w:tcW w:w="457" w:type="dxa"/>
            <w:vMerge/>
            <w:vAlign w:val="center"/>
          </w:tcPr>
          <w:p w14:paraId="568402D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16DF51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25FED9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052A6DD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2.公共服务设施可向住区外部开放</w:t>
            </w:r>
          </w:p>
        </w:tc>
        <w:tc>
          <w:tcPr>
            <w:tcW w:w="708" w:type="dxa"/>
            <w:shd w:val="clear" w:color="auto" w:fill="auto"/>
            <w:vAlign w:val="center"/>
          </w:tcPr>
          <w:p w14:paraId="47C546A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76340AD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590F7A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897A957" w14:textId="77777777">
        <w:trPr>
          <w:trHeight w:val="420"/>
        </w:trPr>
        <w:tc>
          <w:tcPr>
            <w:tcW w:w="457" w:type="dxa"/>
            <w:vMerge/>
            <w:vAlign w:val="center"/>
          </w:tcPr>
          <w:p w14:paraId="2D824CE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7ACD708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8</w:t>
            </w:r>
          </w:p>
        </w:tc>
        <w:tc>
          <w:tcPr>
            <w:tcW w:w="1559" w:type="dxa"/>
            <w:vMerge w:val="restart"/>
            <w:shd w:val="clear" w:color="auto" w:fill="auto"/>
            <w:vAlign w:val="center"/>
          </w:tcPr>
          <w:p w14:paraId="36626B0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设有永久性用于绿色文化展示和绿色教育，或举办绿色文化活动的场所或设施。</w:t>
            </w:r>
          </w:p>
        </w:tc>
        <w:tc>
          <w:tcPr>
            <w:tcW w:w="4253" w:type="dxa"/>
            <w:gridSpan w:val="3"/>
            <w:shd w:val="clear" w:color="auto" w:fill="auto"/>
            <w:vAlign w:val="center"/>
          </w:tcPr>
          <w:p w14:paraId="78B15ED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1.将室外广场或活动场地纳入绿色活动场地所</w:t>
            </w:r>
          </w:p>
        </w:tc>
        <w:tc>
          <w:tcPr>
            <w:tcW w:w="708" w:type="dxa"/>
            <w:shd w:val="clear" w:color="auto" w:fill="auto"/>
            <w:vAlign w:val="center"/>
          </w:tcPr>
          <w:p w14:paraId="4790096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7BC6010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76230585"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EFB27A6" w14:textId="77777777">
        <w:trPr>
          <w:trHeight w:val="420"/>
        </w:trPr>
        <w:tc>
          <w:tcPr>
            <w:tcW w:w="457" w:type="dxa"/>
            <w:vMerge/>
            <w:vAlign w:val="center"/>
          </w:tcPr>
          <w:p w14:paraId="2D48495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49328D8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36C8F1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66B9784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2.在其它活动场馆的厅堂或多功能空间中长期设置绿色展示，并提供绿色活动场所</w:t>
            </w:r>
          </w:p>
        </w:tc>
        <w:tc>
          <w:tcPr>
            <w:tcW w:w="708" w:type="dxa"/>
            <w:shd w:val="clear" w:color="auto" w:fill="auto"/>
            <w:vAlign w:val="center"/>
          </w:tcPr>
          <w:p w14:paraId="74476A3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72C1E16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2F1BD63"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3E8E2CF" w14:textId="77777777">
        <w:trPr>
          <w:trHeight w:val="420"/>
        </w:trPr>
        <w:tc>
          <w:tcPr>
            <w:tcW w:w="457" w:type="dxa"/>
            <w:vMerge/>
            <w:vAlign w:val="center"/>
          </w:tcPr>
          <w:p w14:paraId="642CFD5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D00045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4B3629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0DACED2"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3.提供不少于一间展厅和教室专用于绿色宣传、教育和活动</w:t>
            </w:r>
          </w:p>
        </w:tc>
        <w:tc>
          <w:tcPr>
            <w:tcW w:w="708" w:type="dxa"/>
            <w:shd w:val="clear" w:color="auto" w:fill="auto"/>
            <w:vAlign w:val="center"/>
          </w:tcPr>
          <w:p w14:paraId="053D012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10628EE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301154A4"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453F164" w14:textId="77777777">
        <w:trPr>
          <w:trHeight w:val="420"/>
        </w:trPr>
        <w:tc>
          <w:tcPr>
            <w:tcW w:w="457" w:type="dxa"/>
            <w:vMerge/>
            <w:vAlign w:val="center"/>
          </w:tcPr>
          <w:p w14:paraId="3851E0C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3828703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0265732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08FF671A"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4.专设绿色文化中心，与周边社区共享或同时有以上三条中的两款</w:t>
            </w:r>
          </w:p>
        </w:tc>
        <w:tc>
          <w:tcPr>
            <w:tcW w:w="708" w:type="dxa"/>
            <w:shd w:val="clear" w:color="auto" w:fill="auto"/>
            <w:vAlign w:val="center"/>
          </w:tcPr>
          <w:p w14:paraId="4923124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6182449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5D8D6476"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0F46966" w14:textId="77777777">
        <w:trPr>
          <w:trHeight w:val="420"/>
        </w:trPr>
        <w:tc>
          <w:tcPr>
            <w:tcW w:w="457" w:type="dxa"/>
            <w:vMerge/>
            <w:vAlign w:val="center"/>
          </w:tcPr>
          <w:p w14:paraId="736039B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4D93A1C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9</w:t>
            </w:r>
          </w:p>
        </w:tc>
        <w:tc>
          <w:tcPr>
            <w:tcW w:w="5812" w:type="dxa"/>
            <w:gridSpan w:val="4"/>
            <w:shd w:val="clear" w:color="auto" w:fill="auto"/>
            <w:vAlign w:val="center"/>
          </w:tcPr>
          <w:p w14:paraId="33B36B2D"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智能化系统健全，安防、消防系统增强住区安全、和谐程度，通讯、信息系统增强住区服务便捷性，人文、科技融入住区生活环境。</w:t>
            </w:r>
          </w:p>
        </w:tc>
        <w:tc>
          <w:tcPr>
            <w:tcW w:w="708" w:type="dxa"/>
            <w:shd w:val="clear" w:color="auto" w:fill="auto"/>
            <w:vAlign w:val="center"/>
          </w:tcPr>
          <w:p w14:paraId="0523632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39A0C0A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670B20C1"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443E8F5" w14:textId="77777777">
        <w:trPr>
          <w:trHeight w:val="420"/>
        </w:trPr>
        <w:tc>
          <w:tcPr>
            <w:tcW w:w="457" w:type="dxa"/>
            <w:vMerge/>
            <w:vAlign w:val="center"/>
          </w:tcPr>
          <w:p w14:paraId="2B7C4D5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5AB0C46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r>
              <w:rPr>
                <w:rFonts w:ascii="仿宋_GB2312" w:eastAsia="仿宋_GB2312" w:hAnsi="宋体" w:cs="宋体"/>
                <w:kern w:val="0"/>
                <w:sz w:val="18"/>
                <w:szCs w:val="18"/>
              </w:rPr>
              <w:t>10</w:t>
            </w:r>
          </w:p>
        </w:tc>
        <w:tc>
          <w:tcPr>
            <w:tcW w:w="5812" w:type="dxa"/>
            <w:gridSpan w:val="4"/>
            <w:shd w:val="clear" w:color="auto" w:fill="auto"/>
            <w:vAlign w:val="center"/>
          </w:tcPr>
          <w:p w14:paraId="4A6C42B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住区范围内的历史文化建筑物、构筑物被有效保护，并作为住区的文化标志加以活化利用。</w:t>
            </w:r>
          </w:p>
        </w:tc>
        <w:tc>
          <w:tcPr>
            <w:tcW w:w="708" w:type="dxa"/>
            <w:shd w:val="clear" w:color="auto" w:fill="auto"/>
            <w:vAlign w:val="center"/>
          </w:tcPr>
          <w:p w14:paraId="364769E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CB58D9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C05C42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D4C89B4" w14:textId="77777777">
        <w:trPr>
          <w:trHeight w:val="420"/>
        </w:trPr>
        <w:tc>
          <w:tcPr>
            <w:tcW w:w="457" w:type="dxa"/>
            <w:vMerge w:val="restart"/>
            <w:shd w:val="clear" w:color="auto" w:fill="auto"/>
            <w:vAlign w:val="center"/>
          </w:tcPr>
          <w:p w14:paraId="4C4CED7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w:t>
            </w:r>
            <w:r>
              <w:rPr>
                <w:rFonts w:ascii="仿宋_GB2312" w:eastAsia="仿宋_GB2312" w:hAnsi="宋体" w:cs="宋体" w:hint="eastAsia"/>
                <w:kern w:val="0"/>
                <w:sz w:val="18"/>
                <w:szCs w:val="18"/>
              </w:rPr>
              <w:br/>
              <w:t>绿色管理</w:t>
            </w:r>
          </w:p>
        </w:tc>
        <w:tc>
          <w:tcPr>
            <w:tcW w:w="1485" w:type="dxa"/>
            <w:shd w:val="clear" w:color="auto" w:fill="auto"/>
            <w:vAlign w:val="center"/>
          </w:tcPr>
          <w:p w14:paraId="3E3E249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8.1</w:t>
            </w:r>
          </w:p>
        </w:tc>
        <w:tc>
          <w:tcPr>
            <w:tcW w:w="5812" w:type="dxa"/>
            <w:gridSpan w:val="4"/>
            <w:shd w:val="clear" w:color="auto" w:fill="auto"/>
            <w:vAlign w:val="center"/>
          </w:tcPr>
          <w:p w14:paraId="710E066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物业管理部门通过IS0 14001环境管理体系、ISO 9001质量管理体系认证与GB/T 23331能源管理体系认证。</w:t>
            </w:r>
          </w:p>
        </w:tc>
        <w:tc>
          <w:tcPr>
            <w:tcW w:w="708" w:type="dxa"/>
            <w:shd w:val="clear" w:color="auto" w:fill="auto"/>
            <w:vAlign w:val="center"/>
          </w:tcPr>
          <w:p w14:paraId="42185F9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3C17999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restart"/>
            <w:shd w:val="clear" w:color="auto" w:fill="auto"/>
            <w:vAlign w:val="center"/>
          </w:tcPr>
          <w:p w14:paraId="706C141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13</w:t>
            </w:r>
          </w:p>
        </w:tc>
      </w:tr>
      <w:tr w:rsidR="006E4E46" w14:paraId="292D55FE" w14:textId="77777777">
        <w:trPr>
          <w:trHeight w:val="420"/>
        </w:trPr>
        <w:tc>
          <w:tcPr>
            <w:tcW w:w="457" w:type="dxa"/>
            <w:vMerge/>
            <w:vAlign w:val="center"/>
          </w:tcPr>
          <w:p w14:paraId="7C4BB14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7EDBF5F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8.2</w:t>
            </w:r>
          </w:p>
        </w:tc>
        <w:tc>
          <w:tcPr>
            <w:tcW w:w="1559" w:type="dxa"/>
            <w:vMerge w:val="restart"/>
            <w:shd w:val="clear" w:color="auto" w:fill="auto"/>
            <w:vAlign w:val="center"/>
          </w:tcPr>
          <w:p w14:paraId="5778A9A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制定并实施完善、有效的资源节约和环境保护的物业管理制度。</w:t>
            </w:r>
          </w:p>
        </w:tc>
        <w:tc>
          <w:tcPr>
            <w:tcW w:w="4253" w:type="dxa"/>
            <w:gridSpan w:val="3"/>
            <w:shd w:val="clear" w:color="auto" w:fill="auto"/>
            <w:vAlign w:val="center"/>
          </w:tcPr>
          <w:p w14:paraId="4B103A5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1.住区公共区域节能、节水等资源节约的管理制度</w:t>
            </w:r>
          </w:p>
        </w:tc>
        <w:tc>
          <w:tcPr>
            <w:tcW w:w="708" w:type="dxa"/>
            <w:shd w:val="clear" w:color="auto" w:fill="auto"/>
            <w:vAlign w:val="center"/>
          </w:tcPr>
          <w:p w14:paraId="4899EB1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53DC13D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2.5</w:t>
            </w:r>
          </w:p>
        </w:tc>
        <w:tc>
          <w:tcPr>
            <w:tcW w:w="709" w:type="dxa"/>
            <w:vMerge/>
            <w:vAlign w:val="center"/>
          </w:tcPr>
          <w:p w14:paraId="3CF1F413"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B2BA7F0" w14:textId="77777777">
        <w:trPr>
          <w:trHeight w:val="420"/>
        </w:trPr>
        <w:tc>
          <w:tcPr>
            <w:tcW w:w="457" w:type="dxa"/>
            <w:vMerge/>
            <w:vAlign w:val="center"/>
          </w:tcPr>
          <w:p w14:paraId="4B48C9F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4279CB2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5733B4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40B6282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2.住区公共设备、机电系统清洁、维护和更新改造的管理制度</w:t>
            </w:r>
          </w:p>
        </w:tc>
        <w:tc>
          <w:tcPr>
            <w:tcW w:w="708" w:type="dxa"/>
            <w:shd w:val="clear" w:color="auto" w:fill="auto"/>
            <w:vAlign w:val="center"/>
          </w:tcPr>
          <w:p w14:paraId="272E2DD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31A15F4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6D02BC3"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AC1A14A" w14:textId="77777777">
        <w:trPr>
          <w:trHeight w:val="420"/>
        </w:trPr>
        <w:tc>
          <w:tcPr>
            <w:tcW w:w="457" w:type="dxa"/>
            <w:vMerge/>
            <w:vAlign w:val="center"/>
          </w:tcPr>
          <w:p w14:paraId="64D682B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1460BEB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E80E9A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129001C9"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3.住区内部机动车和非机动车的行车和停车管理制度</w:t>
            </w:r>
          </w:p>
        </w:tc>
        <w:tc>
          <w:tcPr>
            <w:tcW w:w="708" w:type="dxa"/>
            <w:shd w:val="clear" w:color="auto" w:fill="auto"/>
            <w:vAlign w:val="center"/>
          </w:tcPr>
          <w:p w14:paraId="39A1414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7A512E2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764A2A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2E1CD90" w14:textId="77777777">
        <w:trPr>
          <w:trHeight w:val="420"/>
        </w:trPr>
        <w:tc>
          <w:tcPr>
            <w:tcW w:w="457" w:type="dxa"/>
            <w:vMerge/>
            <w:vAlign w:val="center"/>
          </w:tcPr>
          <w:p w14:paraId="4155509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0100F63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CF160A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7316095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4.住区景观绿化种植和养护的管理制度</w:t>
            </w:r>
          </w:p>
        </w:tc>
        <w:tc>
          <w:tcPr>
            <w:tcW w:w="708" w:type="dxa"/>
            <w:shd w:val="clear" w:color="auto" w:fill="auto"/>
            <w:vAlign w:val="center"/>
          </w:tcPr>
          <w:p w14:paraId="2F711AB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2119F6D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7C20016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30D70A1" w14:textId="77777777">
        <w:trPr>
          <w:trHeight w:val="420"/>
        </w:trPr>
        <w:tc>
          <w:tcPr>
            <w:tcW w:w="457" w:type="dxa"/>
            <w:vMerge/>
            <w:vAlign w:val="center"/>
          </w:tcPr>
          <w:p w14:paraId="5B97F9B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05474D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73134A3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461453B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5.住区生活垃圾和可回收垃圾管理制度</w:t>
            </w:r>
          </w:p>
        </w:tc>
        <w:tc>
          <w:tcPr>
            <w:tcW w:w="708" w:type="dxa"/>
            <w:shd w:val="clear" w:color="auto" w:fill="auto"/>
            <w:vAlign w:val="center"/>
          </w:tcPr>
          <w:p w14:paraId="14DB6A1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4080F3E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2E1ABE9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B81FE38" w14:textId="77777777">
        <w:trPr>
          <w:trHeight w:val="420"/>
        </w:trPr>
        <w:tc>
          <w:tcPr>
            <w:tcW w:w="457" w:type="dxa"/>
            <w:vMerge/>
            <w:vAlign w:val="center"/>
          </w:tcPr>
          <w:p w14:paraId="45A6B3E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275119A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8.3</w:t>
            </w:r>
          </w:p>
        </w:tc>
        <w:tc>
          <w:tcPr>
            <w:tcW w:w="5812" w:type="dxa"/>
            <w:gridSpan w:val="4"/>
            <w:shd w:val="clear" w:color="auto" w:fill="auto"/>
            <w:vAlign w:val="center"/>
          </w:tcPr>
          <w:p w14:paraId="6D513ED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实施资源管理激励机制，管理业绩与节约资源、提高经济效益挂钩。</w:t>
            </w:r>
          </w:p>
        </w:tc>
        <w:tc>
          <w:tcPr>
            <w:tcW w:w="708" w:type="dxa"/>
            <w:shd w:val="clear" w:color="auto" w:fill="auto"/>
            <w:vAlign w:val="center"/>
          </w:tcPr>
          <w:p w14:paraId="60E44931"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30D8D88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09F6C8C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31A8A0B" w14:textId="77777777">
        <w:trPr>
          <w:trHeight w:val="420"/>
        </w:trPr>
        <w:tc>
          <w:tcPr>
            <w:tcW w:w="457" w:type="dxa"/>
            <w:vMerge/>
            <w:vAlign w:val="center"/>
          </w:tcPr>
          <w:p w14:paraId="2502887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6D39A95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8.4</w:t>
            </w:r>
          </w:p>
        </w:tc>
        <w:tc>
          <w:tcPr>
            <w:tcW w:w="5812" w:type="dxa"/>
            <w:gridSpan w:val="4"/>
            <w:shd w:val="clear" w:color="auto" w:fill="auto"/>
            <w:vAlign w:val="center"/>
          </w:tcPr>
          <w:p w14:paraId="58239C8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定期检查、调试公共设施设备，根据环境与能耗的检测数据，进行设备系统的运行优化与能效管理。</w:t>
            </w:r>
          </w:p>
        </w:tc>
        <w:tc>
          <w:tcPr>
            <w:tcW w:w="708" w:type="dxa"/>
            <w:shd w:val="clear" w:color="auto" w:fill="auto"/>
            <w:vAlign w:val="center"/>
          </w:tcPr>
          <w:p w14:paraId="6939643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59C6D5D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3C0691F7"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B059904" w14:textId="77777777">
        <w:trPr>
          <w:trHeight w:val="420"/>
        </w:trPr>
        <w:tc>
          <w:tcPr>
            <w:tcW w:w="457" w:type="dxa"/>
            <w:vMerge/>
            <w:vAlign w:val="center"/>
          </w:tcPr>
          <w:p w14:paraId="0C2EB59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76FA3E4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8.5</w:t>
            </w:r>
          </w:p>
        </w:tc>
        <w:tc>
          <w:tcPr>
            <w:tcW w:w="5812" w:type="dxa"/>
            <w:gridSpan w:val="4"/>
            <w:shd w:val="clear" w:color="auto" w:fill="auto"/>
            <w:vAlign w:val="center"/>
          </w:tcPr>
          <w:p w14:paraId="7933CF07"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利用非传统水源时，物业对水质进行日常定期检测并完整记录。</w:t>
            </w:r>
          </w:p>
        </w:tc>
        <w:tc>
          <w:tcPr>
            <w:tcW w:w="708" w:type="dxa"/>
            <w:shd w:val="clear" w:color="auto" w:fill="auto"/>
            <w:vAlign w:val="center"/>
          </w:tcPr>
          <w:p w14:paraId="539A4A6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shd w:val="clear" w:color="auto" w:fill="auto"/>
            <w:vAlign w:val="center"/>
          </w:tcPr>
          <w:p w14:paraId="612481C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5093392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628E886" w14:textId="77777777">
        <w:trPr>
          <w:trHeight w:val="420"/>
        </w:trPr>
        <w:tc>
          <w:tcPr>
            <w:tcW w:w="457" w:type="dxa"/>
            <w:vMerge/>
            <w:vAlign w:val="center"/>
          </w:tcPr>
          <w:p w14:paraId="60CBF93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0C2530E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8.6</w:t>
            </w:r>
          </w:p>
        </w:tc>
        <w:tc>
          <w:tcPr>
            <w:tcW w:w="5812" w:type="dxa"/>
            <w:gridSpan w:val="4"/>
            <w:shd w:val="clear" w:color="auto" w:fill="auto"/>
            <w:vAlign w:val="center"/>
          </w:tcPr>
          <w:p w14:paraId="09D24ABE"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住区内无排放超标的污染物。</w:t>
            </w:r>
          </w:p>
        </w:tc>
        <w:tc>
          <w:tcPr>
            <w:tcW w:w="708" w:type="dxa"/>
            <w:shd w:val="clear" w:color="auto" w:fill="auto"/>
            <w:vAlign w:val="center"/>
          </w:tcPr>
          <w:p w14:paraId="638A044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40D427C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26062E3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EFB0847" w14:textId="77777777">
        <w:trPr>
          <w:trHeight w:val="420"/>
        </w:trPr>
        <w:tc>
          <w:tcPr>
            <w:tcW w:w="457" w:type="dxa"/>
            <w:vMerge/>
            <w:vAlign w:val="center"/>
          </w:tcPr>
          <w:p w14:paraId="7A6D3B0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4B7DD63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8.7</w:t>
            </w:r>
          </w:p>
        </w:tc>
        <w:tc>
          <w:tcPr>
            <w:tcW w:w="1559" w:type="dxa"/>
            <w:vMerge w:val="restart"/>
            <w:shd w:val="clear" w:color="auto" w:fill="auto"/>
            <w:vAlign w:val="center"/>
          </w:tcPr>
          <w:p w14:paraId="35905DE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实现生活垃圾分类及处理。</w:t>
            </w:r>
          </w:p>
        </w:tc>
        <w:tc>
          <w:tcPr>
            <w:tcW w:w="4253" w:type="dxa"/>
            <w:gridSpan w:val="3"/>
            <w:shd w:val="clear" w:color="auto" w:fill="auto"/>
            <w:vAlign w:val="center"/>
          </w:tcPr>
          <w:p w14:paraId="7E6EC01A"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1.住区垃圾投放点布局合理，并设置密闭性良好的生活垃圾分类容器，垃圾站（间）设冲洗和排水设</w:t>
            </w:r>
            <w:r>
              <w:rPr>
                <w:rFonts w:ascii="仿宋_GB2312" w:eastAsia="仿宋_GB2312" w:hAnsi="宋体" w:cs="宋体" w:hint="eastAsia"/>
                <w:kern w:val="0"/>
                <w:sz w:val="18"/>
                <w:szCs w:val="18"/>
              </w:rPr>
              <w:lastRenderedPageBreak/>
              <w:t>施。</w:t>
            </w:r>
          </w:p>
        </w:tc>
        <w:tc>
          <w:tcPr>
            <w:tcW w:w="708" w:type="dxa"/>
            <w:shd w:val="clear" w:color="auto" w:fill="auto"/>
            <w:vAlign w:val="center"/>
          </w:tcPr>
          <w:p w14:paraId="79CCA23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0.5</w:t>
            </w:r>
          </w:p>
        </w:tc>
        <w:tc>
          <w:tcPr>
            <w:tcW w:w="709" w:type="dxa"/>
            <w:vMerge w:val="restart"/>
            <w:shd w:val="clear" w:color="auto" w:fill="auto"/>
            <w:vAlign w:val="center"/>
          </w:tcPr>
          <w:p w14:paraId="3A77690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12040330"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CAABF4D" w14:textId="77777777">
        <w:trPr>
          <w:trHeight w:val="420"/>
        </w:trPr>
        <w:tc>
          <w:tcPr>
            <w:tcW w:w="457" w:type="dxa"/>
            <w:vMerge/>
            <w:vAlign w:val="center"/>
          </w:tcPr>
          <w:p w14:paraId="3F795C5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2DD8599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FF0A8A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E81EE9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2.厨余垃圾、可回收垃圾进行单独收集和资源化处理，处理过程无二次污染。</w:t>
            </w:r>
          </w:p>
        </w:tc>
        <w:tc>
          <w:tcPr>
            <w:tcW w:w="708" w:type="dxa"/>
            <w:shd w:val="clear" w:color="auto" w:fill="auto"/>
            <w:vAlign w:val="center"/>
          </w:tcPr>
          <w:p w14:paraId="49AC243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6BF59B9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85E81E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52B5CC3" w14:textId="77777777">
        <w:trPr>
          <w:trHeight w:val="420"/>
        </w:trPr>
        <w:tc>
          <w:tcPr>
            <w:tcW w:w="457" w:type="dxa"/>
            <w:vMerge/>
            <w:vAlign w:val="center"/>
          </w:tcPr>
          <w:p w14:paraId="6D79F03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A0283B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4D83F3C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5A2CBDBD"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3.住区设置用于回收有害垃圾的密闭容器，荧光灯管、电池应单独放置并避免破损。</w:t>
            </w:r>
          </w:p>
        </w:tc>
        <w:tc>
          <w:tcPr>
            <w:tcW w:w="708" w:type="dxa"/>
            <w:shd w:val="clear" w:color="auto" w:fill="auto"/>
            <w:vAlign w:val="center"/>
          </w:tcPr>
          <w:p w14:paraId="0177D35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6CF304E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210AF8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05A8420" w14:textId="77777777">
        <w:trPr>
          <w:trHeight w:val="420"/>
        </w:trPr>
        <w:tc>
          <w:tcPr>
            <w:tcW w:w="457" w:type="dxa"/>
            <w:vMerge/>
            <w:vAlign w:val="center"/>
          </w:tcPr>
          <w:p w14:paraId="3B92629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79DCBB60"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240D5C7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2FA2291D"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4.居民户内设置户用分类垃圾桶，户内垃圾投放采用分类垃圾袋</w:t>
            </w:r>
          </w:p>
        </w:tc>
        <w:tc>
          <w:tcPr>
            <w:tcW w:w="708" w:type="dxa"/>
            <w:shd w:val="clear" w:color="auto" w:fill="auto"/>
            <w:vAlign w:val="center"/>
          </w:tcPr>
          <w:p w14:paraId="7B10011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3007D5F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37A7EDC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87952EC" w14:textId="77777777">
        <w:trPr>
          <w:trHeight w:val="420"/>
        </w:trPr>
        <w:tc>
          <w:tcPr>
            <w:tcW w:w="457" w:type="dxa"/>
            <w:vMerge/>
            <w:vAlign w:val="center"/>
          </w:tcPr>
          <w:p w14:paraId="6B8B915F"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6454C9D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8.8</w:t>
            </w:r>
          </w:p>
        </w:tc>
        <w:tc>
          <w:tcPr>
            <w:tcW w:w="5812" w:type="dxa"/>
            <w:gridSpan w:val="4"/>
            <w:shd w:val="clear" w:color="auto" w:fill="auto"/>
            <w:vAlign w:val="center"/>
          </w:tcPr>
          <w:p w14:paraId="23D13A45"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栽种和移植的树木成活率大于90％，植物生长状态良好。</w:t>
            </w:r>
          </w:p>
        </w:tc>
        <w:tc>
          <w:tcPr>
            <w:tcW w:w="708" w:type="dxa"/>
            <w:shd w:val="clear" w:color="auto" w:fill="auto"/>
            <w:vAlign w:val="center"/>
          </w:tcPr>
          <w:p w14:paraId="2CB51CC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3B1D71C8"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73A2D2AE"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A7C6AC2" w14:textId="77777777">
        <w:trPr>
          <w:trHeight w:val="420"/>
        </w:trPr>
        <w:tc>
          <w:tcPr>
            <w:tcW w:w="457" w:type="dxa"/>
            <w:vMerge/>
            <w:vAlign w:val="center"/>
          </w:tcPr>
          <w:p w14:paraId="716F0F5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4CAD1E4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8.9</w:t>
            </w:r>
          </w:p>
        </w:tc>
        <w:tc>
          <w:tcPr>
            <w:tcW w:w="5812" w:type="dxa"/>
            <w:gridSpan w:val="4"/>
            <w:shd w:val="clear" w:color="auto" w:fill="auto"/>
            <w:vAlign w:val="center"/>
          </w:tcPr>
          <w:p w14:paraId="286F6C5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制定并监督实施住区居民用户手册，对住区居民的用能、用水、垃圾投放、绿色行车、绿色生活等行为提出绿色要求。</w:t>
            </w:r>
          </w:p>
        </w:tc>
        <w:tc>
          <w:tcPr>
            <w:tcW w:w="708" w:type="dxa"/>
            <w:shd w:val="clear" w:color="auto" w:fill="auto"/>
            <w:vAlign w:val="center"/>
          </w:tcPr>
          <w:p w14:paraId="559B8085"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499E5C6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vAlign w:val="center"/>
          </w:tcPr>
          <w:p w14:paraId="5B4B1549"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14F4BAE7" w14:textId="77777777">
        <w:trPr>
          <w:trHeight w:val="420"/>
        </w:trPr>
        <w:tc>
          <w:tcPr>
            <w:tcW w:w="457" w:type="dxa"/>
            <w:vMerge/>
            <w:vAlign w:val="center"/>
          </w:tcPr>
          <w:p w14:paraId="42187B21"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000000" w:fill="FFFFFF"/>
            <w:vAlign w:val="center"/>
          </w:tcPr>
          <w:p w14:paraId="403874F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8.10 </w:t>
            </w:r>
          </w:p>
        </w:tc>
        <w:tc>
          <w:tcPr>
            <w:tcW w:w="1559" w:type="dxa"/>
            <w:vMerge w:val="restart"/>
            <w:shd w:val="clear" w:color="auto" w:fill="auto"/>
            <w:vAlign w:val="center"/>
          </w:tcPr>
          <w:p w14:paraId="50ECB2C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设置多种绿色宣传标志，定期发布有利于创建绿色社区的信息。</w:t>
            </w:r>
          </w:p>
        </w:tc>
        <w:tc>
          <w:tcPr>
            <w:tcW w:w="4253" w:type="dxa"/>
            <w:gridSpan w:val="3"/>
            <w:shd w:val="clear" w:color="auto" w:fill="auto"/>
            <w:vAlign w:val="center"/>
          </w:tcPr>
          <w:p w14:paraId="23933DDB"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1.在不同类型的环境、场所设置绿色信息标志牌，起到提示作用</w:t>
            </w:r>
          </w:p>
        </w:tc>
        <w:tc>
          <w:tcPr>
            <w:tcW w:w="708" w:type="dxa"/>
            <w:shd w:val="clear" w:color="auto" w:fill="auto"/>
            <w:vAlign w:val="center"/>
          </w:tcPr>
          <w:p w14:paraId="62B8D1E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675A42F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vAlign w:val="center"/>
          </w:tcPr>
          <w:p w14:paraId="0CC8F89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90AFC9F" w14:textId="77777777">
        <w:trPr>
          <w:trHeight w:val="420"/>
        </w:trPr>
        <w:tc>
          <w:tcPr>
            <w:tcW w:w="457" w:type="dxa"/>
            <w:vMerge/>
            <w:vAlign w:val="center"/>
          </w:tcPr>
          <w:p w14:paraId="0BB2FCC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6C98DF85"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3FC3E11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589FC94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2.定期发布、更新社区能源管理信息，推动节约行为</w:t>
            </w:r>
          </w:p>
        </w:tc>
        <w:tc>
          <w:tcPr>
            <w:tcW w:w="708" w:type="dxa"/>
            <w:shd w:val="clear" w:color="auto" w:fill="auto"/>
            <w:vAlign w:val="center"/>
          </w:tcPr>
          <w:p w14:paraId="04FAC94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24073EC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4500C178"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56ED8AF" w14:textId="77777777">
        <w:trPr>
          <w:trHeight w:val="420"/>
        </w:trPr>
        <w:tc>
          <w:tcPr>
            <w:tcW w:w="457" w:type="dxa"/>
            <w:vMerge/>
            <w:vAlign w:val="center"/>
          </w:tcPr>
          <w:p w14:paraId="458A4C6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65A21A2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16D24B59"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1CA14E81"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3.利用广播或多媒体终端播放绿色科技方面的宣传片</w:t>
            </w:r>
          </w:p>
        </w:tc>
        <w:tc>
          <w:tcPr>
            <w:tcW w:w="708" w:type="dxa"/>
            <w:shd w:val="clear" w:color="auto" w:fill="auto"/>
            <w:vAlign w:val="center"/>
          </w:tcPr>
          <w:p w14:paraId="734D750A"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7D8FFA17"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77A2F2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ABA2C54" w14:textId="77777777">
        <w:trPr>
          <w:trHeight w:val="420"/>
        </w:trPr>
        <w:tc>
          <w:tcPr>
            <w:tcW w:w="457" w:type="dxa"/>
            <w:vMerge/>
            <w:vAlign w:val="center"/>
          </w:tcPr>
          <w:p w14:paraId="487B874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ign w:val="center"/>
          </w:tcPr>
          <w:p w14:paraId="46021A4B"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vAlign w:val="center"/>
          </w:tcPr>
          <w:p w14:paraId="59B7851D"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shd w:val="clear" w:color="auto" w:fill="auto"/>
            <w:vAlign w:val="center"/>
          </w:tcPr>
          <w:p w14:paraId="707A898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4.配备环保书籍报刊，设立绿色宣传固定专栏</w:t>
            </w:r>
          </w:p>
        </w:tc>
        <w:tc>
          <w:tcPr>
            <w:tcW w:w="708" w:type="dxa"/>
            <w:shd w:val="clear" w:color="auto" w:fill="auto"/>
            <w:vAlign w:val="center"/>
          </w:tcPr>
          <w:p w14:paraId="27FA80F2"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ign w:val="center"/>
          </w:tcPr>
          <w:p w14:paraId="50317E4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vAlign w:val="center"/>
          </w:tcPr>
          <w:p w14:paraId="15C67D1B"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76B8E621" w14:textId="77777777">
        <w:trPr>
          <w:trHeight w:val="420"/>
        </w:trPr>
        <w:tc>
          <w:tcPr>
            <w:tcW w:w="457" w:type="dxa"/>
            <w:vMerge w:val="restart"/>
            <w:shd w:val="clear" w:color="auto" w:fill="auto"/>
            <w:vAlign w:val="center"/>
          </w:tcPr>
          <w:p w14:paraId="53438335" w14:textId="77777777" w:rsidR="006E4E46" w:rsidRDefault="00000000">
            <w:pPr>
              <w:ind w:firstLine="360"/>
              <w:jc w:val="center"/>
              <w:rPr>
                <w:rFonts w:ascii="仿宋_GB2312" w:eastAsia="仿宋_GB2312" w:hAnsi="宋体" w:cs="宋体" w:hint="eastAsia"/>
                <w:kern w:val="0"/>
                <w:sz w:val="18"/>
                <w:szCs w:val="18"/>
              </w:rPr>
            </w:pPr>
            <w:r>
              <w:rPr>
                <w:rFonts w:ascii="仿宋_GB2312" w:eastAsia="仿宋_GB2312" w:hAnsi="宋体" w:cs="宋体"/>
                <w:kern w:val="0"/>
                <w:sz w:val="18"/>
                <w:szCs w:val="18"/>
              </w:rPr>
              <w:t>99</w:t>
            </w:r>
            <w:r>
              <w:rPr>
                <w:rFonts w:ascii="仿宋_GB2312" w:eastAsia="仿宋_GB2312" w:hAnsi="宋体" w:cs="宋体" w:hint="eastAsia"/>
                <w:kern w:val="0"/>
                <w:sz w:val="18"/>
                <w:szCs w:val="18"/>
              </w:rPr>
              <w:br/>
              <w:t>创新引领</w:t>
            </w:r>
          </w:p>
        </w:tc>
        <w:tc>
          <w:tcPr>
            <w:tcW w:w="1485" w:type="dxa"/>
            <w:shd w:val="clear" w:color="auto" w:fill="auto"/>
            <w:vAlign w:val="center"/>
          </w:tcPr>
          <w:p w14:paraId="600D694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.1</w:t>
            </w:r>
          </w:p>
        </w:tc>
        <w:tc>
          <w:tcPr>
            <w:tcW w:w="5812" w:type="dxa"/>
            <w:gridSpan w:val="4"/>
            <w:shd w:val="clear" w:color="auto" w:fill="auto"/>
            <w:vAlign w:val="center"/>
          </w:tcPr>
          <w:p w14:paraId="7D8CF7F9"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项目根据自身特色创新性地采用了未在评分表里出现的策略或措施，并获得了显著的成效，可得2分，最多4分</w:t>
            </w:r>
          </w:p>
        </w:tc>
        <w:tc>
          <w:tcPr>
            <w:tcW w:w="708" w:type="dxa"/>
            <w:shd w:val="clear" w:color="auto" w:fill="auto"/>
            <w:vAlign w:val="center"/>
          </w:tcPr>
          <w:p w14:paraId="2411FF3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kern w:val="0"/>
                <w:sz w:val="18"/>
                <w:szCs w:val="18"/>
              </w:rPr>
              <w:t>4</w:t>
            </w:r>
          </w:p>
        </w:tc>
        <w:tc>
          <w:tcPr>
            <w:tcW w:w="709" w:type="dxa"/>
            <w:shd w:val="clear" w:color="auto" w:fill="auto"/>
            <w:vAlign w:val="center"/>
          </w:tcPr>
          <w:p w14:paraId="6178F99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709" w:type="dxa"/>
            <w:vMerge w:val="restart"/>
            <w:shd w:val="clear" w:color="auto" w:fill="auto"/>
            <w:vAlign w:val="center"/>
          </w:tcPr>
          <w:p w14:paraId="790CAF95" w14:textId="77777777" w:rsidR="006E4E46" w:rsidRDefault="00000000">
            <w:pPr>
              <w:ind w:firstLineChars="0" w:firstLine="0"/>
              <w:jc w:val="center"/>
              <w:rPr>
                <w:rFonts w:ascii="仿宋_GB2312" w:eastAsia="仿宋_GB2312" w:hAnsi="宋体" w:cs="宋体" w:hint="eastAsia"/>
                <w:kern w:val="0"/>
                <w:sz w:val="18"/>
                <w:szCs w:val="18"/>
              </w:rPr>
            </w:pPr>
            <w:r>
              <w:rPr>
                <w:rFonts w:ascii="仿宋_GB2312" w:eastAsia="仿宋_GB2312" w:hAnsi="宋体" w:cs="宋体"/>
                <w:kern w:val="0"/>
                <w:sz w:val="18"/>
                <w:szCs w:val="18"/>
              </w:rPr>
              <w:t>12</w:t>
            </w:r>
          </w:p>
        </w:tc>
      </w:tr>
      <w:tr w:rsidR="006E4E46" w14:paraId="755DA0F7" w14:textId="77777777">
        <w:trPr>
          <w:trHeight w:val="420"/>
        </w:trPr>
        <w:tc>
          <w:tcPr>
            <w:tcW w:w="457" w:type="dxa"/>
            <w:vMerge/>
            <w:shd w:val="clear" w:color="auto" w:fill="auto"/>
            <w:vAlign w:val="center"/>
          </w:tcPr>
          <w:p w14:paraId="2E617BB2" w14:textId="77777777" w:rsidR="006E4E46" w:rsidRDefault="006E4E46">
            <w:pPr>
              <w:widowControl/>
              <w:ind w:firstLineChars="0" w:firstLine="0"/>
              <w:jc w:val="center"/>
              <w:rPr>
                <w:rFonts w:ascii="仿宋_GB2312" w:eastAsia="仿宋_GB2312" w:hAnsi="宋体" w:cs="宋体" w:hint="eastAsia"/>
                <w:kern w:val="0"/>
                <w:sz w:val="18"/>
                <w:szCs w:val="18"/>
              </w:rPr>
            </w:pPr>
          </w:p>
        </w:tc>
        <w:tc>
          <w:tcPr>
            <w:tcW w:w="1485" w:type="dxa"/>
            <w:shd w:val="clear" w:color="auto" w:fill="auto"/>
            <w:vAlign w:val="center"/>
          </w:tcPr>
          <w:p w14:paraId="6CD3314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2</w:t>
            </w:r>
          </w:p>
        </w:tc>
        <w:tc>
          <w:tcPr>
            <w:tcW w:w="5812" w:type="dxa"/>
            <w:gridSpan w:val="4"/>
            <w:shd w:val="clear" w:color="auto" w:fill="auto"/>
            <w:vAlign w:val="center"/>
          </w:tcPr>
          <w:p w14:paraId="7D176EC6"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建设低能耗被动房示范工程。</w:t>
            </w:r>
          </w:p>
        </w:tc>
        <w:tc>
          <w:tcPr>
            <w:tcW w:w="708" w:type="dxa"/>
            <w:shd w:val="clear" w:color="auto" w:fill="auto"/>
            <w:vAlign w:val="center"/>
          </w:tcPr>
          <w:p w14:paraId="0701A26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64C1439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654A7B00" w14:textId="77777777" w:rsidR="006E4E46" w:rsidRDefault="006E4E46">
            <w:pPr>
              <w:widowControl/>
              <w:ind w:firstLineChars="0" w:firstLine="0"/>
              <w:jc w:val="center"/>
              <w:rPr>
                <w:rFonts w:ascii="仿宋_GB2312" w:eastAsia="仿宋_GB2312" w:hAnsi="宋体" w:cs="宋体" w:hint="eastAsia"/>
                <w:kern w:val="0"/>
                <w:sz w:val="18"/>
                <w:szCs w:val="18"/>
              </w:rPr>
            </w:pPr>
          </w:p>
        </w:tc>
      </w:tr>
      <w:tr w:rsidR="006E4E46" w14:paraId="1C0E4149" w14:textId="77777777">
        <w:trPr>
          <w:trHeight w:val="420"/>
        </w:trPr>
        <w:tc>
          <w:tcPr>
            <w:tcW w:w="457" w:type="dxa"/>
            <w:vMerge/>
            <w:shd w:val="clear" w:color="auto" w:fill="auto"/>
            <w:vAlign w:val="center"/>
          </w:tcPr>
          <w:p w14:paraId="23F5082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0A45E97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3</w:t>
            </w:r>
          </w:p>
        </w:tc>
        <w:tc>
          <w:tcPr>
            <w:tcW w:w="5812" w:type="dxa"/>
            <w:gridSpan w:val="4"/>
            <w:shd w:val="clear" w:color="auto" w:fill="auto"/>
            <w:vAlign w:val="center"/>
          </w:tcPr>
          <w:p w14:paraId="371AC117"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住区采用新型高效的垃圾分类收集系统。</w:t>
            </w:r>
          </w:p>
        </w:tc>
        <w:tc>
          <w:tcPr>
            <w:tcW w:w="708" w:type="dxa"/>
            <w:shd w:val="clear" w:color="auto" w:fill="auto"/>
            <w:vAlign w:val="center"/>
          </w:tcPr>
          <w:p w14:paraId="186E6C0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5F33AFEC"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5CF0C6F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5BEA7C2" w14:textId="77777777">
        <w:trPr>
          <w:trHeight w:val="420"/>
        </w:trPr>
        <w:tc>
          <w:tcPr>
            <w:tcW w:w="457" w:type="dxa"/>
            <w:vMerge/>
            <w:shd w:val="clear" w:color="auto" w:fill="auto"/>
            <w:vAlign w:val="center"/>
          </w:tcPr>
          <w:p w14:paraId="69EB468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01FDFEB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4</w:t>
            </w:r>
          </w:p>
        </w:tc>
        <w:tc>
          <w:tcPr>
            <w:tcW w:w="5812" w:type="dxa"/>
            <w:gridSpan w:val="4"/>
            <w:shd w:val="clear" w:color="auto" w:fill="auto"/>
            <w:vAlign w:val="center"/>
          </w:tcPr>
          <w:p w14:paraId="08227400"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住区采用新型能源循环模式。</w:t>
            </w:r>
          </w:p>
        </w:tc>
        <w:tc>
          <w:tcPr>
            <w:tcW w:w="708" w:type="dxa"/>
            <w:shd w:val="clear" w:color="auto" w:fill="auto"/>
            <w:vAlign w:val="center"/>
          </w:tcPr>
          <w:p w14:paraId="2CC8E79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3269502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0D35D87B"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005BC211" w14:textId="77777777">
        <w:trPr>
          <w:trHeight w:val="420"/>
        </w:trPr>
        <w:tc>
          <w:tcPr>
            <w:tcW w:w="457" w:type="dxa"/>
            <w:vMerge/>
            <w:shd w:val="clear" w:color="auto" w:fill="auto"/>
            <w:vAlign w:val="center"/>
          </w:tcPr>
          <w:p w14:paraId="5E36A118"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70CEEF2E"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5</w:t>
            </w:r>
          </w:p>
        </w:tc>
        <w:tc>
          <w:tcPr>
            <w:tcW w:w="5812" w:type="dxa"/>
            <w:gridSpan w:val="4"/>
            <w:shd w:val="clear" w:color="auto" w:fill="auto"/>
            <w:vAlign w:val="center"/>
          </w:tcPr>
          <w:p w14:paraId="4DBAB344"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住区设置独立的中水或雨水等再生水处理系统，选用新型、高效、安全、无污染的再生水处理技术。</w:t>
            </w:r>
          </w:p>
        </w:tc>
        <w:tc>
          <w:tcPr>
            <w:tcW w:w="708" w:type="dxa"/>
            <w:shd w:val="clear" w:color="auto" w:fill="auto"/>
            <w:vAlign w:val="center"/>
          </w:tcPr>
          <w:p w14:paraId="0E7C25C7"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4BC1F04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6A2AA07D"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2DCB248F" w14:textId="77777777">
        <w:trPr>
          <w:trHeight w:val="600"/>
        </w:trPr>
        <w:tc>
          <w:tcPr>
            <w:tcW w:w="457" w:type="dxa"/>
            <w:vMerge/>
            <w:shd w:val="clear" w:color="auto" w:fill="auto"/>
            <w:vAlign w:val="center"/>
          </w:tcPr>
          <w:p w14:paraId="5B30B3CE"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766ED76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6</w:t>
            </w:r>
          </w:p>
        </w:tc>
        <w:tc>
          <w:tcPr>
            <w:tcW w:w="5812" w:type="dxa"/>
            <w:gridSpan w:val="4"/>
            <w:shd w:val="clear" w:color="auto" w:fill="auto"/>
            <w:vAlign w:val="center"/>
          </w:tcPr>
          <w:p w14:paraId="154B66EA"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住区在设计或施工过程中采用建筑信息模型技术，并实现住区建筑信息模型数据传递，确认信息模型提供的数据格式可以满足物业管理的需求，在全寿命期运行、维护、利用信息模型，评估每栋建筑的信息化应用水平。</w:t>
            </w:r>
          </w:p>
        </w:tc>
        <w:tc>
          <w:tcPr>
            <w:tcW w:w="708" w:type="dxa"/>
            <w:shd w:val="clear" w:color="auto" w:fill="auto"/>
            <w:vAlign w:val="center"/>
          </w:tcPr>
          <w:p w14:paraId="08B7CB4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shd w:val="clear" w:color="auto" w:fill="auto"/>
            <w:vAlign w:val="center"/>
          </w:tcPr>
          <w:p w14:paraId="0DFEBD23"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09" w:type="dxa"/>
            <w:vMerge/>
            <w:shd w:val="clear" w:color="auto" w:fill="auto"/>
            <w:vAlign w:val="center"/>
          </w:tcPr>
          <w:p w14:paraId="00AAA6BC"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3D33A590" w14:textId="77777777">
        <w:trPr>
          <w:trHeight w:val="420"/>
        </w:trPr>
        <w:tc>
          <w:tcPr>
            <w:tcW w:w="457" w:type="dxa"/>
            <w:vMerge/>
            <w:shd w:val="clear" w:color="auto" w:fill="auto"/>
            <w:vAlign w:val="center"/>
          </w:tcPr>
          <w:p w14:paraId="65464682"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shd w:val="clear" w:color="auto" w:fill="auto"/>
            <w:vAlign w:val="center"/>
          </w:tcPr>
          <w:p w14:paraId="540BD649"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7</w:t>
            </w:r>
          </w:p>
        </w:tc>
        <w:tc>
          <w:tcPr>
            <w:tcW w:w="5812" w:type="dxa"/>
            <w:gridSpan w:val="4"/>
            <w:shd w:val="clear" w:color="auto" w:fill="auto"/>
            <w:vAlign w:val="center"/>
          </w:tcPr>
          <w:p w14:paraId="652883A3"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实现信息化管理，住区内公共建筑设置能耗、用水设施和设备的自动监控系统，长期记录并定期检查、监管绿色住区内的运行数据。</w:t>
            </w:r>
          </w:p>
        </w:tc>
        <w:tc>
          <w:tcPr>
            <w:tcW w:w="708" w:type="dxa"/>
            <w:shd w:val="clear" w:color="auto" w:fill="auto"/>
            <w:vAlign w:val="center"/>
          </w:tcPr>
          <w:p w14:paraId="5E4EEB3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shd w:val="clear" w:color="auto" w:fill="auto"/>
            <w:vAlign w:val="center"/>
          </w:tcPr>
          <w:p w14:paraId="14A37A00"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5E8C089F"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55AE948A" w14:textId="77777777">
        <w:trPr>
          <w:trHeight w:val="465"/>
        </w:trPr>
        <w:tc>
          <w:tcPr>
            <w:tcW w:w="457" w:type="dxa"/>
            <w:vMerge/>
            <w:shd w:val="clear" w:color="auto" w:fill="auto"/>
            <w:vAlign w:val="center"/>
          </w:tcPr>
          <w:p w14:paraId="01634B13"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val="restart"/>
            <w:shd w:val="clear" w:color="auto" w:fill="auto"/>
            <w:vAlign w:val="center"/>
          </w:tcPr>
          <w:p w14:paraId="5943CF7F"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8</w:t>
            </w:r>
          </w:p>
        </w:tc>
        <w:tc>
          <w:tcPr>
            <w:tcW w:w="1559" w:type="dxa"/>
            <w:vMerge w:val="restart"/>
            <w:shd w:val="clear" w:color="auto" w:fill="auto"/>
            <w:vAlign w:val="center"/>
          </w:tcPr>
          <w:p w14:paraId="197C32CD"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同步贯彻北京市相关的绿色政策措施，并有定期组织的绿色文化活动和宣传活动。</w:t>
            </w:r>
          </w:p>
        </w:tc>
        <w:tc>
          <w:tcPr>
            <w:tcW w:w="4253" w:type="dxa"/>
            <w:gridSpan w:val="3"/>
            <w:shd w:val="clear" w:color="auto" w:fill="auto"/>
            <w:vAlign w:val="center"/>
          </w:tcPr>
          <w:p w14:paraId="4CB5A47C"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1.设有专门服务于绿色行为的机构，配备组织绿色活动的人员</w:t>
            </w:r>
          </w:p>
        </w:tc>
        <w:tc>
          <w:tcPr>
            <w:tcW w:w="708" w:type="dxa"/>
            <w:shd w:val="clear" w:color="auto" w:fill="auto"/>
            <w:vAlign w:val="center"/>
          </w:tcPr>
          <w:p w14:paraId="6F7403DB"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val="restart"/>
            <w:shd w:val="clear" w:color="auto" w:fill="auto"/>
            <w:vAlign w:val="center"/>
          </w:tcPr>
          <w:p w14:paraId="50C4EE74"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709" w:type="dxa"/>
            <w:vMerge/>
            <w:shd w:val="clear" w:color="auto" w:fill="auto"/>
            <w:vAlign w:val="center"/>
          </w:tcPr>
          <w:p w14:paraId="2DFCC8C2"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4CD2B53D" w14:textId="77777777">
        <w:trPr>
          <w:trHeight w:val="465"/>
        </w:trPr>
        <w:tc>
          <w:tcPr>
            <w:tcW w:w="457" w:type="dxa"/>
            <w:vMerge/>
            <w:tcBorders>
              <w:bottom w:val="single" w:sz="8" w:space="0" w:color="auto"/>
            </w:tcBorders>
            <w:shd w:val="clear" w:color="auto" w:fill="auto"/>
            <w:vAlign w:val="center"/>
          </w:tcPr>
          <w:p w14:paraId="258558B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485" w:type="dxa"/>
            <w:vMerge/>
            <w:tcBorders>
              <w:bottom w:val="single" w:sz="8" w:space="0" w:color="auto"/>
            </w:tcBorders>
            <w:vAlign w:val="center"/>
          </w:tcPr>
          <w:p w14:paraId="07A90B26"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1559" w:type="dxa"/>
            <w:vMerge/>
            <w:tcBorders>
              <w:bottom w:val="single" w:sz="8" w:space="0" w:color="auto"/>
            </w:tcBorders>
            <w:vAlign w:val="center"/>
          </w:tcPr>
          <w:p w14:paraId="7B1D59CA"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4253" w:type="dxa"/>
            <w:gridSpan w:val="3"/>
            <w:tcBorders>
              <w:bottom w:val="single" w:sz="8" w:space="0" w:color="auto"/>
            </w:tcBorders>
            <w:shd w:val="clear" w:color="auto" w:fill="auto"/>
            <w:vAlign w:val="center"/>
          </w:tcPr>
          <w:p w14:paraId="300A81EF" w14:textId="77777777" w:rsidR="006E4E46" w:rsidRDefault="00000000">
            <w:pPr>
              <w:widowControl/>
              <w:ind w:firstLineChars="0" w:firstLine="0"/>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2.开展广泛参与的绿色文化活动</w:t>
            </w:r>
          </w:p>
        </w:tc>
        <w:tc>
          <w:tcPr>
            <w:tcW w:w="708" w:type="dxa"/>
            <w:tcBorders>
              <w:bottom w:val="single" w:sz="8" w:space="0" w:color="auto"/>
            </w:tcBorders>
            <w:shd w:val="clear" w:color="auto" w:fill="auto"/>
            <w:vAlign w:val="center"/>
          </w:tcPr>
          <w:p w14:paraId="1E2788DD" w14:textId="77777777"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709" w:type="dxa"/>
            <w:vMerge/>
            <w:tcBorders>
              <w:bottom w:val="single" w:sz="8" w:space="0" w:color="auto"/>
            </w:tcBorders>
            <w:vAlign w:val="center"/>
          </w:tcPr>
          <w:p w14:paraId="6DBA545C" w14:textId="77777777" w:rsidR="006E4E46" w:rsidRDefault="006E4E46">
            <w:pPr>
              <w:widowControl/>
              <w:ind w:firstLineChars="0" w:firstLine="0"/>
              <w:jc w:val="left"/>
              <w:rPr>
                <w:rFonts w:ascii="仿宋_GB2312" w:eastAsia="仿宋_GB2312" w:hAnsi="宋体" w:cs="宋体" w:hint="eastAsia"/>
                <w:kern w:val="0"/>
                <w:sz w:val="18"/>
                <w:szCs w:val="18"/>
              </w:rPr>
            </w:pPr>
          </w:p>
        </w:tc>
        <w:tc>
          <w:tcPr>
            <w:tcW w:w="709" w:type="dxa"/>
            <w:vMerge/>
            <w:tcBorders>
              <w:bottom w:val="single" w:sz="8" w:space="0" w:color="auto"/>
            </w:tcBorders>
            <w:shd w:val="clear" w:color="auto" w:fill="auto"/>
            <w:vAlign w:val="center"/>
          </w:tcPr>
          <w:p w14:paraId="2043319A" w14:textId="77777777" w:rsidR="006E4E46" w:rsidRDefault="006E4E46">
            <w:pPr>
              <w:widowControl/>
              <w:ind w:firstLineChars="0" w:firstLine="0"/>
              <w:jc w:val="left"/>
              <w:rPr>
                <w:rFonts w:ascii="仿宋_GB2312" w:eastAsia="仿宋_GB2312" w:hAnsi="宋体" w:cs="宋体" w:hint="eastAsia"/>
                <w:kern w:val="0"/>
                <w:sz w:val="18"/>
                <w:szCs w:val="18"/>
              </w:rPr>
            </w:pPr>
          </w:p>
        </w:tc>
      </w:tr>
      <w:tr w:rsidR="006E4E46" w14:paraId="63D3BA85" w14:textId="77777777">
        <w:trPr>
          <w:trHeight w:val="420"/>
        </w:trPr>
        <w:tc>
          <w:tcPr>
            <w:tcW w:w="9171" w:type="dxa"/>
            <w:gridSpan w:val="8"/>
            <w:shd w:val="clear" w:color="auto" w:fill="D9D9D9" w:themeFill="background1" w:themeFillShade="D9"/>
            <w:vAlign w:val="center"/>
          </w:tcPr>
          <w:p w14:paraId="4A7FCC43" w14:textId="77777777" w:rsidR="006E4E46" w:rsidRDefault="00000000">
            <w:pPr>
              <w:widowControl/>
              <w:ind w:firstLineChars="0" w:firstLine="0"/>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合计</w:t>
            </w:r>
          </w:p>
        </w:tc>
        <w:tc>
          <w:tcPr>
            <w:tcW w:w="709" w:type="dxa"/>
            <w:shd w:val="clear" w:color="auto" w:fill="D9D9D9" w:themeFill="background1" w:themeFillShade="D9"/>
            <w:vAlign w:val="center"/>
          </w:tcPr>
          <w:p w14:paraId="23CBFDC9" w14:textId="33BF337C" w:rsidR="006E4E46" w:rsidRDefault="00000000">
            <w:pPr>
              <w:widowControl/>
              <w:ind w:firstLineChars="0" w:firstLine="0"/>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r w:rsidR="009F3844">
              <w:rPr>
                <w:rFonts w:ascii="仿宋_GB2312" w:eastAsia="仿宋_GB2312" w:hAnsi="宋体" w:cs="宋体" w:hint="eastAsia"/>
                <w:kern w:val="0"/>
                <w:sz w:val="18"/>
                <w:szCs w:val="18"/>
              </w:rPr>
              <w:t>2</w:t>
            </w:r>
            <w:r w:rsidR="000F38EF">
              <w:rPr>
                <w:rFonts w:ascii="仿宋_GB2312" w:eastAsia="仿宋_GB2312" w:hAnsi="宋体" w:cs="宋体" w:hint="eastAsia"/>
                <w:kern w:val="0"/>
                <w:sz w:val="18"/>
                <w:szCs w:val="18"/>
              </w:rPr>
              <w:t>6</w:t>
            </w:r>
          </w:p>
        </w:tc>
      </w:tr>
    </w:tbl>
    <w:p w14:paraId="4CA76A7D" w14:textId="77777777" w:rsidR="006E4E46" w:rsidRDefault="006E4E46">
      <w:pPr>
        <w:ind w:firstLine="420"/>
      </w:pPr>
    </w:p>
    <w:p w14:paraId="4DAD2602" w14:textId="77777777" w:rsidR="006E4E46" w:rsidRDefault="006E4E46">
      <w:pPr>
        <w:ind w:firstLine="420"/>
      </w:pPr>
    </w:p>
    <w:sectPr w:rsidR="006E4E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6E4B" w14:textId="77777777" w:rsidR="00611BD5" w:rsidRDefault="00611BD5">
      <w:pPr>
        <w:ind w:firstLine="420"/>
      </w:pPr>
      <w:r>
        <w:separator/>
      </w:r>
    </w:p>
  </w:endnote>
  <w:endnote w:type="continuationSeparator" w:id="0">
    <w:p w14:paraId="2F5F074B" w14:textId="77777777" w:rsidR="00611BD5" w:rsidRDefault="00611BD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7D0D" w14:textId="77777777" w:rsidR="006E4E46" w:rsidRDefault="006E4E4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B9CB" w14:textId="77777777" w:rsidR="006E4E46" w:rsidRDefault="006E4E4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9BF1" w14:textId="77777777" w:rsidR="006E4E46" w:rsidRDefault="006E4E4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674D" w14:textId="77777777" w:rsidR="00611BD5" w:rsidRDefault="00611BD5">
      <w:pPr>
        <w:ind w:firstLine="420"/>
      </w:pPr>
      <w:r>
        <w:separator/>
      </w:r>
    </w:p>
  </w:footnote>
  <w:footnote w:type="continuationSeparator" w:id="0">
    <w:p w14:paraId="287A1081" w14:textId="77777777" w:rsidR="00611BD5" w:rsidRDefault="00611BD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C31A" w14:textId="77777777" w:rsidR="006E4E46" w:rsidRDefault="006E4E4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0F82" w14:textId="77777777" w:rsidR="006E4E46" w:rsidRDefault="006E4E4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D846" w14:textId="77777777" w:rsidR="006E4E46" w:rsidRDefault="006E4E46">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21E"/>
    <w:rsid w:val="FDFF9C3A"/>
    <w:rsid w:val="00024479"/>
    <w:rsid w:val="0004021E"/>
    <w:rsid w:val="000922CE"/>
    <w:rsid w:val="000E4F01"/>
    <w:rsid w:val="000F38EF"/>
    <w:rsid w:val="00116B64"/>
    <w:rsid w:val="001616B6"/>
    <w:rsid w:val="00292977"/>
    <w:rsid w:val="002C2E6C"/>
    <w:rsid w:val="003066F6"/>
    <w:rsid w:val="00325156"/>
    <w:rsid w:val="00342FD6"/>
    <w:rsid w:val="004249E0"/>
    <w:rsid w:val="00432C3A"/>
    <w:rsid w:val="00450D87"/>
    <w:rsid w:val="00507B57"/>
    <w:rsid w:val="00512D45"/>
    <w:rsid w:val="00567747"/>
    <w:rsid w:val="005853A7"/>
    <w:rsid w:val="00595A82"/>
    <w:rsid w:val="00611BD5"/>
    <w:rsid w:val="00655EED"/>
    <w:rsid w:val="006732A7"/>
    <w:rsid w:val="00696197"/>
    <w:rsid w:val="006C7DA6"/>
    <w:rsid w:val="006E4E46"/>
    <w:rsid w:val="00700E14"/>
    <w:rsid w:val="00710FD2"/>
    <w:rsid w:val="00724CCF"/>
    <w:rsid w:val="007B41F8"/>
    <w:rsid w:val="00844BF5"/>
    <w:rsid w:val="009514EC"/>
    <w:rsid w:val="00965F93"/>
    <w:rsid w:val="009F3844"/>
    <w:rsid w:val="00A23605"/>
    <w:rsid w:val="00A4106A"/>
    <w:rsid w:val="00AB08B4"/>
    <w:rsid w:val="00AC20AC"/>
    <w:rsid w:val="00B31263"/>
    <w:rsid w:val="00B44A9C"/>
    <w:rsid w:val="00B94198"/>
    <w:rsid w:val="00BA0ACE"/>
    <w:rsid w:val="00BA3B04"/>
    <w:rsid w:val="00C06C44"/>
    <w:rsid w:val="00D67775"/>
    <w:rsid w:val="00E3541B"/>
    <w:rsid w:val="00FA40D7"/>
    <w:rsid w:val="507A36A4"/>
    <w:rsid w:val="5D0B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46E6"/>
  <w15:docId w15:val="{9F59AB2A-194E-4AF6-A480-27EBCD87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Calibri" w:eastAsia="宋体" w:hAnsi="Calibri" w:cs="Times New Roman"/>
      <w:kern w:val="2"/>
      <w:sz w:val="21"/>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qFormat/>
    <w:rPr>
      <w:rFonts w:ascii="Calibri" w:eastAsia="宋体" w:hAnsi="Calibri" w:cs="Times New Roman"/>
      <w:b/>
      <w:bCs/>
      <w:sz w:val="32"/>
      <w:szCs w:val="32"/>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批注主题 字符"/>
    <w:basedOn w:val="a4"/>
    <w:link w:val="ab"/>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e">
    <w:name w:val="Revision"/>
    <w:hidden/>
    <w:uiPriority w:val="99"/>
    <w:unhideWhenUsed/>
    <w:rsid w:val="00342FD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1084</Words>
  <Characters>6184</Characters>
  <Application>Microsoft Office Word</Application>
  <DocSecurity>0</DocSecurity>
  <Lines>51</Lines>
  <Paragraphs>14</Paragraphs>
  <ScaleCrop>false</ScaleCrop>
  <Company>Microsoft</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王晓利</cp:lastModifiedBy>
  <cp:revision>13</cp:revision>
  <dcterms:created xsi:type="dcterms:W3CDTF">2023-11-06T20:47:00Z</dcterms:created>
  <dcterms:modified xsi:type="dcterms:W3CDTF">2024-09-26T13:49:00Z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