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hint="eastAsia" w:eastAsia="宋体"/>
          <w:sz w:val="28"/>
          <w:szCs w:val="28"/>
          <w:lang w:eastAsia="zh-CN"/>
        </w:rPr>
      </w:pPr>
      <w:r>
        <w:rPr>
          <w:rFonts w:hint="eastAsia"/>
          <w:sz w:val="28"/>
          <w:szCs w:val="28"/>
        </w:rPr>
        <w:t>附件</w:t>
      </w:r>
      <w:bookmarkStart w:id="0" w:name="_Toc375152475"/>
      <w:r>
        <w:rPr>
          <w:rFonts w:hint="eastAsia"/>
          <w:sz w:val="28"/>
          <w:szCs w:val="28"/>
          <w:lang w:val="en-US" w:eastAsia="zh-CN"/>
        </w:rPr>
        <w:t>4</w:t>
      </w:r>
      <w:bookmarkStart w:id="1" w:name="_GoBack"/>
      <w:bookmarkEnd w:id="1"/>
    </w:p>
    <w:p>
      <w:pPr>
        <w:pStyle w:val="2"/>
        <w:ind w:firstLine="0" w:firstLineChars="0"/>
        <w:jc w:val="center"/>
      </w:pPr>
      <w:r>
        <w:rPr>
          <w:rFonts w:hint="eastAsia"/>
        </w:rPr>
        <w:t>北京市绿色生态示范区评</w:t>
      </w:r>
      <w:bookmarkEnd w:id="0"/>
      <w:r>
        <w:rPr>
          <w:rFonts w:hint="eastAsia"/>
        </w:rPr>
        <w:t>分表（居住区类）</w:t>
      </w:r>
    </w:p>
    <w:p>
      <w:pPr>
        <w:spacing w:line="360" w:lineRule="auto"/>
        <w:ind w:firstLine="0" w:firstLineChars="0"/>
        <w:rPr>
          <w:rFonts w:asciiTheme="minorEastAsia" w:hAnsiTheme="minorEastAsia" w:eastAsiaTheme="minorEastAsia"/>
          <w:b/>
          <w:szCs w:val="21"/>
        </w:rPr>
      </w:pPr>
      <w:r>
        <w:rPr>
          <w:rFonts w:hint="eastAsia" w:asciiTheme="minorEastAsia" w:hAnsiTheme="minorEastAsia" w:eastAsiaTheme="minorEastAsia"/>
          <w:b/>
          <w:szCs w:val="21"/>
        </w:rPr>
        <w:t>计分标准：</w:t>
      </w:r>
      <w:r>
        <w:rPr>
          <w:rFonts w:hint="eastAsia" w:asciiTheme="minorEastAsia" w:hAnsiTheme="minorEastAsia" w:eastAsiaTheme="minorEastAsia"/>
          <w:szCs w:val="21"/>
        </w:rPr>
        <w:t>各功能区或园区的最终得分按评分项实际得分值除以适用于该园区的评分项总分值再乘以100分计算。</w:t>
      </w:r>
    </w:p>
    <w:p>
      <w:pPr>
        <w:ind w:firstLine="0" w:firstLineChars="0"/>
        <w:rPr>
          <w:rFonts w:asciiTheme="minorEastAsia" w:hAnsiTheme="minorEastAsia" w:eastAsiaTheme="minorEastAsia"/>
        </w:rPr>
      </w:pPr>
    </w:p>
    <w:p>
      <w:pPr>
        <w:spacing w:line="360" w:lineRule="auto"/>
        <w:ind w:firstLine="0" w:firstLineChars="0"/>
        <w:rPr>
          <w:rFonts w:asciiTheme="minorEastAsia" w:hAnsiTheme="minorEastAsia" w:eastAsiaTheme="minorEastAsia"/>
          <w:sz w:val="24"/>
          <w:szCs w:val="24"/>
          <w:u w:val="single"/>
        </w:rPr>
      </w:pPr>
      <w:r>
        <w:rPr>
          <w:rFonts w:hint="eastAsia" w:asciiTheme="minorEastAsia" w:hAnsiTheme="minorEastAsia" w:eastAsiaTheme="minorEastAsia"/>
          <w:szCs w:val="21"/>
        </w:rPr>
        <w:t>居住区名称：</w:t>
      </w:r>
      <w:r>
        <w:rPr>
          <w:rFonts w:hint="eastAsia" w:asciiTheme="minorEastAsia" w:hAnsiTheme="minorEastAsia" w:eastAsiaTheme="minorEastAsia"/>
          <w:szCs w:val="21"/>
          <w:u w:val="single"/>
        </w:rPr>
        <w:t xml:space="preserve">                                                                    </w:t>
      </w:r>
    </w:p>
    <w:p>
      <w:pPr>
        <w:spacing w:line="360" w:lineRule="auto"/>
        <w:ind w:firstLine="0" w:firstLineChars="0"/>
        <w:rPr>
          <w:sz w:val="24"/>
          <w:szCs w:val="24"/>
        </w:rPr>
      </w:pPr>
    </w:p>
    <w:tbl>
      <w:tblPr>
        <w:tblStyle w:val="10"/>
        <w:tblW w:w="9880" w:type="dxa"/>
        <w:tblInd w:w="-45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7"/>
        <w:gridCol w:w="1485"/>
        <w:gridCol w:w="1559"/>
        <w:gridCol w:w="1559"/>
        <w:gridCol w:w="756"/>
        <w:gridCol w:w="1938"/>
        <w:gridCol w:w="708"/>
        <w:gridCol w:w="709"/>
        <w:gridCol w:w="70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75" w:hRule="atLeast"/>
        </w:trPr>
        <w:tc>
          <w:tcPr>
            <w:tcW w:w="457" w:type="dxa"/>
            <w:shd w:val="clear" w:color="auto" w:fill="D8D8D8" w:themeFill="background1" w:themeFillShade="D9"/>
            <w:vAlign w:val="center"/>
          </w:tcPr>
          <w:p>
            <w:pPr>
              <w:widowControl/>
              <w:ind w:firstLine="0" w:firstLineChars="0"/>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类别</w:t>
            </w:r>
          </w:p>
        </w:tc>
        <w:tc>
          <w:tcPr>
            <w:tcW w:w="1485" w:type="dxa"/>
            <w:shd w:val="clear" w:color="auto" w:fill="D8D8D8" w:themeFill="background1" w:themeFillShade="D9"/>
            <w:vAlign w:val="center"/>
          </w:tcPr>
          <w:p>
            <w:pPr>
              <w:widowControl/>
              <w:ind w:firstLine="0" w:firstLineChars="0"/>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编号</w:t>
            </w:r>
          </w:p>
        </w:tc>
        <w:tc>
          <w:tcPr>
            <w:tcW w:w="1559" w:type="dxa"/>
            <w:shd w:val="clear" w:color="auto" w:fill="D8D8D8" w:themeFill="background1" w:themeFillShade="D9"/>
            <w:vAlign w:val="center"/>
          </w:tcPr>
          <w:p>
            <w:pPr>
              <w:widowControl/>
              <w:ind w:firstLine="0" w:firstLineChars="0"/>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评价条目</w:t>
            </w:r>
          </w:p>
        </w:tc>
        <w:tc>
          <w:tcPr>
            <w:tcW w:w="4253" w:type="dxa"/>
            <w:gridSpan w:val="3"/>
            <w:shd w:val="clear" w:color="auto" w:fill="D8D8D8" w:themeFill="background1" w:themeFillShade="D9"/>
            <w:vAlign w:val="center"/>
          </w:tcPr>
          <w:p>
            <w:pPr>
              <w:widowControl/>
              <w:ind w:firstLine="0" w:firstLineChars="0"/>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分级量化</w:t>
            </w:r>
          </w:p>
        </w:tc>
        <w:tc>
          <w:tcPr>
            <w:tcW w:w="708" w:type="dxa"/>
            <w:shd w:val="clear" w:color="auto" w:fill="D8D8D8" w:themeFill="background1" w:themeFillShade="D9"/>
            <w:vAlign w:val="center"/>
          </w:tcPr>
          <w:p>
            <w:pPr>
              <w:widowControl/>
              <w:ind w:firstLine="0" w:firstLineChars="0"/>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评价分值</w:t>
            </w:r>
          </w:p>
        </w:tc>
        <w:tc>
          <w:tcPr>
            <w:tcW w:w="709" w:type="dxa"/>
            <w:shd w:val="clear" w:color="auto" w:fill="D8D8D8" w:themeFill="background1" w:themeFillShade="D9"/>
            <w:vAlign w:val="center"/>
          </w:tcPr>
          <w:p>
            <w:pPr>
              <w:widowControl/>
              <w:ind w:firstLine="0" w:firstLineChars="0"/>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条文总分</w:t>
            </w:r>
          </w:p>
        </w:tc>
        <w:tc>
          <w:tcPr>
            <w:tcW w:w="709" w:type="dxa"/>
            <w:shd w:val="clear" w:color="auto" w:fill="D8D8D8" w:themeFill="background1" w:themeFillShade="D9"/>
            <w:vAlign w:val="center"/>
          </w:tcPr>
          <w:p>
            <w:pPr>
              <w:widowControl/>
              <w:ind w:firstLine="0" w:firstLineChars="0"/>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类别总分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节约用地</w:t>
            </w: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1.1</w:t>
            </w:r>
          </w:p>
        </w:tc>
        <w:tc>
          <w:tcPr>
            <w:tcW w:w="5812" w:type="dxa"/>
            <w:gridSpan w:val="4"/>
            <w:shd w:val="clear" w:color="000000" w:fill="FFFFFF"/>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住区场地安全，无洪涝、滑坡、 泥石流等灾害的威胁, 无危险化学品、 易燃易爆等危险源的威胁, 且无电磁辐射、含氡土壤等危害。</w:t>
            </w:r>
          </w:p>
        </w:tc>
        <w:tc>
          <w:tcPr>
            <w:tcW w:w="708"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1.2</w:t>
            </w:r>
          </w:p>
        </w:tc>
        <w:tc>
          <w:tcPr>
            <w:tcW w:w="5812" w:type="dxa"/>
            <w:gridSpan w:val="4"/>
            <w:shd w:val="clear" w:color="000000" w:fill="FFFFFF"/>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住区内的建筑和公共绿地符合相关日照标准要求。</w:t>
            </w:r>
          </w:p>
        </w:tc>
        <w:tc>
          <w:tcPr>
            <w:tcW w:w="708"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1.3</w:t>
            </w:r>
          </w:p>
        </w:tc>
        <w:tc>
          <w:tcPr>
            <w:tcW w:w="1559" w:type="dxa"/>
            <w:vMerge w:val="restart"/>
            <w:shd w:val="clear" w:color="000000" w:fill="FFFFFF"/>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以合理容积率为基础，提高土地资源利用效率。</w:t>
            </w:r>
          </w:p>
        </w:tc>
        <w:tc>
          <w:tcPr>
            <w:tcW w:w="4253" w:type="dxa"/>
            <w:gridSpan w:val="3"/>
            <w:shd w:val="clear" w:color="000000" w:fill="FFFFFF"/>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1.住区中不大于90</w:t>
            </w:r>
            <w:r>
              <w:rPr>
                <w:rFonts w:hint="eastAsia" w:ascii="仿宋_GB2312" w:hAnsi="宋体" w:cs="宋体"/>
                <w:kern w:val="0"/>
                <w:sz w:val="18"/>
                <w:szCs w:val="18"/>
              </w:rPr>
              <w:t>㎡</w:t>
            </w:r>
            <w:r>
              <w:rPr>
                <w:rFonts w:hint="eastAsia" w:ascii="仿宋_GB2312" w:hAnsi="宋体" w:eastAsia="仿宋_GB2312" w:cs="宋体"/>
                <w:kern w:val="0"/>
                <w:sz w:val="18"/>
                <w:szCs w:val="18"/>
              </w:rPr>
              <w:t>小户型的住宅面积比例不小于70%</w:t>
            </w:r>
          </w:p>
        </w:tc>
        <w:tc>
          <w:tcPr>
            <w:tcW w:w="708"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65"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2.住区人均居住用地指标</w:t>
            </w: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3层及以下：35＜A≤41</w:t>
            </w:r>
            <w:r>
              <w:rPr>
                <w:rFonts w:hint="eastAsia" w:ascii="仿宋_GB2312" w:hAnsi="宋体" w:cs="宋体"/>
                <w:kern w:val="0"/>
                <w:sz w:val="18"/>
                <w:szCs w:val="18"/>
              </w:rPr>
              <w:t>㎡</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4-6层：23＜A≤26</w:t>
            </w:r>
            <w:r>
              <w:rPr>
                <w:rFonts w:hint="eastAsia" w:ascii="仿宋_GB2312" w:hAnsi="宋体" w:cs="宋体"/>
                <w:kern w:val="0"/>
                <w:sz w:val="18"/>
                <w:szCs w:val="18"/>
              </w:rPr>
              <w:t>㎡</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7-12层：22＜A≤24</w:t>
            </w:r>
            <w:r>
              <w:rPr>
                <w:rFonts w:hint="eastAsia" w:ascii="仿宋_GB2312" w:hAnsi="宋体" w:cs="宋体"/>
                <w:kern w:val="0"/>
                <w:sz w:val="18"/>
                <w:szCs w:val="18"/>
              </w:rPr>
              <w:t>㎡</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13-18层：20＜A≤22</w:t>
            </w:r>
            <w:r>
              <w:rPr>
                <w:rFonts w:hint="eastAsia" w:ascii="仿宋_GB2312" w:hAnsi="宋体" w:cs="宋体"/>
                <w:kern w:val="0"/>
                <w:sz w:val="18"/>
                <w:szCs w:val="18"/>
              </w:rPr>
              <w:t>㎡</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19层及以上：11＜A≤14</w:t>
            </w:r>
            <w:r>
              <w:rPr>
                <w:rFonts w:hint="eastAsia" w:ascii="仿宋_GB2312" w:hAnsi="宋体" w:cs="宋体"/>
                <w:kern w:val="0"/>
                <w:sz w:val="18"/>
                <w:szCs w:val="18"/>
              </w:rPr>
              <w:t>㎡</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09"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455"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3层及以下：≤35</w:t>
            </w:r>
            <w:r>
              <w:rPr>
                <w:rFonts w:hint="eastAsia" w:ascii="仿宋_GB2312" w:hAnsi="宋体" w:cs="宋体"/>
                <w:kern w:val="0"/>
                <w:sz w:val="18"/>
                <w:szCs w:val="18"/>
              </w:rPr>
              <w:t>㎡</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4-6层：≤23</w:t>
            </w:r>
            <w:r>
              <w:rPr>
                <w:rFonts w:hint="eastAsia" w:ascii="仿宋_GB2312" w:hAnsi="宋体" w:cs="宋体"/>
                <w:kern w:val="0"/>
                <w:sz w:val="18"/>
                <w:szCs w:val="18"/>
              </w:rPr>
              <w:t>㎡</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7-12层：≤22</w:t>
            </w:r>
            <w:r>
              <w:rPr>
                <w:rFonts w:hint="eastAsia" w:ascii="仿宋_GB2312" w:hAnsi="宋体" w:cs="宋体"/>
                <w:kern w:val="0"/>
                <w:sz w:val="18"/>
                <w:szCs w:val="18"/>
              </w:rPr>
              <w:t>㎡</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13-18层：≤20</w:t>
            </w:r>
            <w:r>
              <w:rPr>
                <w:rFonts w:hint="eastAsia" w:ascii="仿宋_GB2312" w:hAnsi="宋体" w:cs="宋体"/>
                <w:kern w:val="0"/>
                <w:sz w:val="18"/>
                <w:szCs w:val="18"/>
              </w:rPr>
              <w:t>㎡</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19层及以上：≤11</w:t>
            </w:r>
            <w:r>
              <w:rPr>
                <w:rFonts w:hint="eastAsia" w:ascii="仿宋_GB2312" w:hAnsi="宋体" w:cs="宋体"/>
                <w:kern w:val="0"/>
                <w:sz w:val="18"/>
                <w:szCs w:val="18"/>
              </w:rPr>
              <w:t>㎡</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1.4</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合理开发利用地下空间。</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地下建筑面积占地上建筑面积的比率</w:t>
            </w: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不小于15%</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不小于30%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住区利用废弃场地进行建设，对被轻度污染的部分或全部用地进行有效处理，未对人居环境造成不利影响。</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环境营造                              </w:t>
            </w:r>
          </w:p>
        </w:tc>
        <w:tc>
          <w:tcPr>
            <w:tcW w:w="1485"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2.1</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住区建设充分保护和利用原有场地的地形地貌、自然水系和植被等自然资源。</w:t>
            </w: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1.保护和利用原有场地的地形地貌、水系和湿地，保证住区内湿地率不减少。</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2.保留或生态恢复原有场地内的生态植被，包括绿地、树木等</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2.2</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住区绿地采用集中与分散相结合，形成点、线面相结合的绿网系统。</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1.绿地率（既有住区改造项目可减少5%）</w:t>
            </w: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不小于30%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不小于33%</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不小于36%</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2.人均公共绿地面积</w:t>
            </w: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不小于0.5</w:t>
            </w:r>
            <w:r>
              <w:rPr>
                <w:rFonts w:hint="eastAsia" w:ascii="仿宋_GB2312" w:hAnsi="宋体" w:cs="宋体"/>
                <w:kern w:val="0"/>
                <w:sz w:val="18"/>
                <w:szCs w:val="18"/>
              </w:rPr>
              <w:t>㎡</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不小于1</w:t>
            </w:r>
            <w:r>
              <w:rPr>
                <w:rFonts w:hint="eastAsia" w:ascii="仿宋_GB2312" w:hAnsi="宋体" w:cs="宋体"/>
                <w:kern w:val="0"/>
                <w:sz w:val="18"/>
                <w:szCs w:val="18"/>
              </w:rPr>
              <w:t>㎡</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.3</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住区达到“3</w:t>
            </w:r>
            <w:r>
              <w:rPr>
                <w:rFonts w:ascii="仿宋_GB2312" w:hAnsi="宋体" w:eastAsia="仿宋_GB2312" w:cs="宋体"/>
                <w:kern w:val="0"/>
                <w:sz w:val="18"/>
                <w:szCs w:val="18"/>
              </w:rPr>
              <w:t>00</w:t>
            </w:r>
            <w:r>
              <w:rPr>
                <w:rFonts w:hint="eastAsia" w:ascii="仿宋_GB2312" w:hAnsi="宋体" w:eastAsia="仿宋_GB2312" w:cs="宋体"/>
                <w:kern w:val="0"/>
                <w:sz w:val="18"/>
                <w:szCs w:val="18"/>
              </w:rPr>
              <w:t>米见绿，5</w:t>
            </w:r>
            <w:r>
              <w:rPr>
                <w:rFonts w:ascii="仿宋_GB2312" w:hAnsi="宋体" w:eastAsia="仿宋_GB2312" w:cs="宋体"/>
                <w:kern w:val="0"/>
                <w:sz w:val="18"/>
                <w:szCs w:val="18"/>
              </w:rPr>
              <w:t>00</w:t>
            </w:r>
            <w:r>
              <w:rPr>
                <w:rFonts w:hint="eastAsia" w:ascii="仿宋_GB2312" w:hAnsi="宋体" w:eastAsia="仿宋_GB2312" w:cs="宋体"/>
                <w:kern w:val="0"/>
                <w:sz w:val="18"/>
                <w:szCs w:val="18"/>
              </w:rPr>
              <w:t>米入园”的要求，即住区周围3</w:t>
            </w:r>
            <w:r>
              <w:rPr>
                <w:rFonts w:ascii="仿宋_GB2312" w:hAnsi="宋体" w:eastAsia="仿宋_GB2312" w:cs="宋体"/>
                <w:kern w:val="0"/>
                <w:sz w:val="18"/>
                <w:szCs w:val="18"/>
              </w:rPr>
              <w:t>00</w:t>
            </w:r>
            <w:r>
              <w:rPr>
                <w:rFonts w:hint="eastAsia" w:ascii="仿宋_GB2312" w:hAnsi="宋体" w:eastAsia="仿宋_GB2312" w:cs="宋体"/>
                <w:kern w:val="0"/>
                <w:sz w:val="18"/>
                <w:szCs w:val="18"/>
              </w:rPr>
              <w:t>米步行范围内具有小型绿地，5</w:t>
            </w:r>
            <w:r>
              <w:rPr>
                <w:rFonts w:ascii="仿宋_GB2312" w:hAnsi="宋体" w:eastAsia="仿宋_GB2312" w:cs="宋体"/>
                <w:kern w:val="0"/>
                <w:sz w:val="18"/>
                <w:szCs w:val="18"/>
              </w:rPr>
              <w:t>00</w:t>
            </w:r>
            <w:r>
              <w:rPr>
                <w:rFonts w:hint="eastAsia" w:ascii="仿宋_GB2312" w:hAnsi="宋体" w:eastAsia="仿宋_GB2312" w:cs="宋体"/>
                <w:kern w:val="0"/>
                <w:sz w:val="18"/>
                <w:szCs w:val="18"/>
              </w:rPr>
              <w:t>米步行范围内具有公园绿地。</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4</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绿化物种选择适应北京地区气候和土壤条件的乡土植物，选用少维护、耐候性强、病虫害少、对人体无害的植物。</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5</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住区绿化方式采用乔、灌、草及层间植物相结合的复层绿化。每100</w:t>
            </w:r>
            <w:r>
              <w:rPr>
                <w:rFonts w:hint="eastAsia" w:ascii="仿宋_GB2312" w:hAnsi="宋体" w:cs="宋体"/>
                <w:kern w:val="0"/>
                <w:sz w:val="18"/>
                <w:szCs w:val="18"/>
              </w:rPr>
              <w:t>㎡</w:t>
            </w:r>
            <w:r>
              <w:rPr>
                <w:rFonts w:hint="eastAsia" w:ascii="仿宋_GB2312" w:hAnsi="宋体" w:eastAsia="仿宋_GB2312" w:cs="宋体"/>
                <w:kern w:val="0"/>
                <w:sz w:val="18"/>
                <w:szCs w:val="18"/>
              </w:rPr>
              <w:t>绿地上乔木量不少于3株，灌木量不少于10株。</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6</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绿化选用木本植物种类满足住区用地面积≤5万</w:t>
            </w:r>
            <w:r>
              <w:rPr>
                <w:rFonts w:hint="eastAsia" w:ascii="仿宋_GB2312" w:hAnsi="宋体" w:cs="宋体"/>
                <w:kern w:val="0"/>
                <w:sz w:val="18"/>
                <w:szCs w:val="18"/>
              </w:rPr>
              <w:t>㎡</w:t>
            </w:r>
            <w:r>
              <w:rPr>
                <w:rFonts w:hint="eastAsia" w:ascii="仿宋_GB2312" w:hAnsi="宋体" w:eastAsia="仿宋_GB2312" w:cs="宋体"/>
                <w:kern w:val="0"/>
                <w:sz w:val="18"/>
                <w:szCs w:val="18"/>
              </w:rPr>
              <w:t>时不少于30种，住区用地面积5~10万</w:t>
            </w:r>
            <w:r>
              <w:rPr>
                <w:rFonts w:hint="eastAsia" w:ascii="仿宋_GB2312" w:hAnsi="宋体" w:cs="宋体"/>
                <w:kern w:val="0"/>
                <w:sz w:val="18"/>
                <w:szCs w:val="18"/>
              </w:rPr>
              <w:t>㎡</w:t>
            </w:r>
            <w:r>
              <w:rPr>
                <w:rFonts w:hint="eastAsia" w:ascii="仿宋_GB2312" w:hAnsi="宋体" w:eastAsia="仿宋_GB2312" w:cs="宋体"/>
                <w:kern w:val="0"/>
                <w:sz w:val="18"/>
                <w:szCs w:val="18"/>
              </w:rPr>
              <w:t>时不少于35种，住区用地面积≥10万</w:t>
            </w:r>
            <w:r>
              <w:rPr>
                <w:rFonts w:hint="eastAsia" w:ascii="仿宋_GB2312" w:hAnsi="宋体" w:cs="宋体"/>
                <w:kern w:val="0"/>
                <w:sz w:val="18"/>
                <w:szCs w:val="18"/>
              </w:rPr>
              <w:t>㎡</w:t>
            </w:r>
            <w:r>
              <w:rPr>
                <w:rFonts w:hint="eastAsia" w:ascii="仿宋_GB2312" w:hAnsi="宋体" w:eastAsia="仿宋_GB2312" w:cs="宋体"/>
                <w:kern w:val="0"/>
                <w:sz w:val="18"/>
                <w:szCs w:val="18"/>
              </w:rPr>
              <w:t>时不少于40种。</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5"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7</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住区光环境有效控制。</w:t>
            </w: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1.控制室外照明中射向夜空、住户外窗和溢出场地边界的光束，夜景照明设计符合《城市夜景照明设计规范》JGJ/T 163 的要求</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2.建筑外立面未采用镜面玻璃或抛光金属板等材料，不对周围环境产生光污染</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3.玻璃幕墙材料在城市主干道、立交桥、高架桥两侧建筑高20m以下部分，其余路段高10m以下部分采用反射比不大于0.16 的低反射玻璃，且其余部位的玻璃幕墙材料的反射比：</w:t>
            </w: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不大于0.30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5"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不大于0.20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5"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8</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住区的布局使得风环境有利于冬季防风、室外行走舒适及过渡季、夏季的自然通风。</w:t>
            </w: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1.在冬季典型风速和风向条件下，建筑物周围人行区风速小于5m/s，且室外风速放大系数小于2</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5"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2.在冬季典型风速和风向条件下，除迎风第一排建筑外，建筑迎风面与背风面表面风压差不大于5Pa</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5"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3.过渡季、夏季典型风速和风向条件下，场地内人活动区不出现涡旋或无风区</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4.过渡季、夏季典型风速和风向条件下，50%以上可开启外窗室内外表面的风压差大于0.5Pa</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9</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住区采用适宜措施降低室外热岛强度。</w:t>
            </w: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1.住区内的步道、游憩场、庭院、广场等室外活动场地设有乔木、 花架等遮阴措施的比例不少于50%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2.住区内机动车道设有行道树的路段长度超过70%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3.地面停车位均采取遮阴措施，包括处于建筑阴影区、绿化遮阴或遮阳棚等</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10</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住区声环境营造，并满足下列任意一项或多项要求：</w:t>
            </w: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1.住区内声功能分区合理，避免相互干扰，设有针对周边噪声的防噪措施</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2.住区环境噪声满足《声环境质量标准》中1类声环境功能区的要求</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绿色交通</w:t>
            </w: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3.1</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住区道路交通实现人车分流，互不干扰。</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3.2</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住区被城市支路划分的地块最短边不大于200m，地块内的机动车道采用通而不畅的道路设计。</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3.3</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住区与城市公共交通系统合理衔接。</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1.住区人行出入口距2条及以上线路的公交站点的步行距离</w:t>
            </w: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≤500m</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≤250m</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2.住区人行出入口距轻轨、地铁站的步行距离≤800m</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3.4</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住区道路设计优先考虑慢行交通，鼓励居民选择步行出行。</w:t>
            </w: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1.住区慢行网络结构简洁、流线清晰，步行网络形成环路，提高步行可达性 </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2.住区有2个人行出入口通向不同的城市道路</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3.5</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住区内应合理设置自行车停放设施。</w:t>
            </w: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1.结合住宅建筑出入口合理设置地面或地下一层自行车停放场所。</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9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2.住区内公共服务设施（学校、幼儿园、卫生服务站、商业网点、活动站）出入口150m范围内设置专门的自行车停车区域，宜满足人流量5~10%的停车需求。</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3.6</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住区内机动车停车采用地下停车库方式，既有住区改造项目采用机械式停车或停车楼方式，减少地面停车。</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3.7</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合理设置地面机动车停车位，不挤占步行空间及活动场所，住区内地面停车率不超过10%。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3.8</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结合停车位设计为新能源汽车服务的充电桩，实际充电桩安装数量占总停车量的比例不少于18%。</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绿色建筑</w:t>
            </w:r>
          </w:p>
        </w:tc>
        <w:tc>
          <w:tcPr>
            <w:tcW w:w="1485"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4.1</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住区内所有建筑全部达到北京市《绿色建筑评价标准》中的一星级及以上标准，提高达到高星级绿色建筑标准的建筑面积比例。</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1.达到北京市地方标准《绿色建筑评价标准》二星级及以上标准 </w:t>
            </w: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不少于40%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不少于70%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2.达到国家标准或北京市地方标准《绿色建筑评价标准》三星级标准</w:t>
            </w: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不少于25%</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不少于50%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不少于75%</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4.2</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住区内实施装配式建筑的范围和标准不低于北京市发展装配式建筑相关政策文件的要求。</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4.3</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保障性住房项目全部实施全装修成品交房，全装修成品住宅比例达到住区新建住宅总量的100%。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p>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4.4</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住区场地中构筑物的景观小品、亭台、座椅等采用节能环保材料。</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8" w:hRule="atLeast"/>
        </w:trPr>
        <w:tc>
          <w:tcPr>
            <w:tcW w:w="457" w:type="dxa"/>
            <w:vMerge w:val="continue"/>
            <w:vAlign w:val="center"/>
          </w:tcPr>
          <w:p>
            <w:pPr>
              <w:widowControl/>
              <w:ind w:firstLine="0" w:firstLineChars="0"/>
              <w:jc w:val="left"/>
              <w:rPr>
                <w:rFonts w:ascii="仿宋_GB2312" w:hAnsi="宋体" w:eastAsia="仿宋_GB2312" w:cs="宋体"/>
                <w:kern w:val="0"/>
                <w:sz w:val="24"/>
                <w:szCs w:val="24"/>
              </w:rPr>
            </w:pPr>
          </w:p>
        </w:tc>
        <w:tc>
          <w:tcPr>
            <w:tcW w:w="1485" w:type="dxa"/>
            <w:vMerge w:val="restart"/>
            <w:shd w:val="clear" w:color="auto" w:fill="auto"/>
          </w:tcPr>
          <w:p>
            <w:pPr>
              <w:widowControl/>
              <w:ind w:firstLine="0" w:firstLineChars="0"/>
              <w:jc w:val="center"/>
              <w:rPr>
                <w:rFonts w:ascii="仿宋_GB2312" w:hAnsi="宋体" w:eastAsia="仿宋_GB2312" w:cs="宋体"/>
                <w:kern w:val="0"/>
                <w:sz w:val="18"/>
                <w:szCs w:val="18"/>
              </w:rPr>
            </w:pPr>
          </w:p>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r>
              <w:rPr>
                <w:rFonts w:ascii="仿宋_GB2312" w:hAnsi="宋体" w:eastAsia="仿宋_GB2312" w:cs="宋体"/>
                <w:kern w:val="0"/>
                <w:sz w:val="18"/>
                <w:szCs w:val="18"/>
              </w:rPr>
              <w:t>.5</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住区在可绿化屋面实施屋顶绿化或采用垂直绿化</w:t>
            </w:r>
          </w:p>
        </w:tc>
        <w:tc>
          <w:tcPr>
            <w:tcW w:w="2315" w:type="dxa"/>
            <w:gridSpan w:val="2"/>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1.屋顶绿化面积占建筑屋顶可绿化屋顶总面积的比例</w:t>
            </w:r>
          </w:p>
        </w:tc>
        <w:tc>
          <w:tcPr>
            <w:tcW w:w="1938" w:type="dxa"/>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不少于10%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w:t>
            </w:r>
            <w:r>
              <w:rPr>
                <w:rFonts w:ascii="仿宋_GB2312" w:hAnsi="宋体" w:eastAsia="仿宋_GB2312" w:cs="宋体"/>
                <w:kern w:val="0"/>
                <w:sz w:val="18"/>
                <w:szCs w:val="18"/>
              </w:rPr>
              <w:t>.5</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8" w:hRule="atLeast"/>
        </w:trPr>
        <w:tc>
          <w:tcPr>
            <w:tcW w:w="457" w:type="dxa"/>
            <w:vMerge w:val="continue"/>
            <w:vAlign w:val="center"/>
          </w:tcPr>
          <w:p>
            <w:pPr>
              <w:widowControl/>
              <w:ind w:firstLine="0" w:firstLineChars="0"/>
              <w:jc w:val="left"/>
              <w:rPr>
                <w:rFonts w:ascii="仿宋_GB2312" w:hAnsi="宋体" w:eastAsia="仿宋_GB2312" w:cs="宋体"/>
                <w:kern w:val="0"/>
                <w:sz w:val="24"/>
                <w:szCs w:val="24"/>
              </w:rPr>
            </w:pPr>
          </w:p>
        </w:tc>
        <w:tc>
          <w:tcPr>
            <w:tcW w:w="1485" w:type="dxa"/>
            <w:vMerge w:val="continue"/>
            <w:shd w:val="clear" w:color="auto" w:fill="auto"/>
            <w:vAlign w:val="center"/>
          </w:tcPr>
          <w:p>
            <w:pPr>
              <w:widowControl/>
              <w:ind w:firstLine="0" w:firstLineChars="0"/>
              <w:jc w:val="center"/>
              <w:rPr>
                <w:rFonts w:ascii="仿宋_GB2312" w:hAnsi="宋体" w:eastAsia="仿宋_GB2312" w:cs="宋体"/>
                <w:kern w:val="0"/>
                <w:sz w:val="18"/>
                <w:szCs w:val="18"/>
              </w:rPr>
            </w:pPr>
          </w:p>
        </w:tc>
        <w:tc>
          <w:tcPr>
            <w:tcW w:w="1559" w:type="dxa"/>
            <w:vMerge w:val="continue"/>
            <w:shd w:val="clear" w:color="auto" w:fill="auto"/>
            <w:vAlign w:val="center"/>
          </w:tcPr>
          <w:p>
            <w:pPr>
              <w:widowControl/>
              <w:ind w:firstLine="0" w:firstLineChars="0"/>
              <w:jc w:val="left"/>
              <w:rPr>
                <w:rFonts w:ascii="仿宋_GB2312" w:hAnsi="宋体" w:eastAsia="仿宋_GB2312" w:cs="宋体"/>
                <w:kern w:val="0"/>
                <w:sz w:val="18"/>
                <w:szCs w:val="18"/>
              </w:rPr>
            </w:pPr>
          </w:p>
        </w:tc>
        <w:tc>
          <w:tcPr>
            <w:tcW w:w="2315" w:type="dxa"/>
            <w:gridSpan w:val="2"/>
            <w:vMerge w:val="continue"/>
            <w:shd w:val="clear" w:color="auto" w:fill="auto"/>
            <w:vAlign w:val="center"/>
          </w:tcPr>
          <w:p>
            <w:pPr>
              <w:widowControl/>
              <w:ind w:firstLine="0" w:firstLineChars="0"/>
              <w:jc w:val="left"/>
              <w:rPr>
                <w:rFonts w:ascii="仿宋_GB2312" w:hAnsi="宋体" w:eastAsia="仿宋_GB2312" w:cs="宋体"/>
                <w:kern w:val="0"/>
                <w:sz w:val="18"/>
                <w:szCs w:val="18"/>
              </w:rPr>
            </w:pPr>
          </w:p>
        </w:tc>
        <w:tc>
          <w:tcPr>
            <w:tcW w:w="1938" w:type="dxa"/>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不少2</w:t>
            </w:r>
            <w:r>
              <w:rPr>
                <w:rFonts w:ascii="仿宋_GB2312" w:hAnsi="宋体" w:eastAsia="仿宋_GB2312" w:cs="宋体"/>
                <w:kern w:val="0"/>
                <w:sz w:val="18"/>
                <w:szCs w:val="18"/>
              </w:rPr>
              <w:t>0</w:t>
            </w:r>
            <w:r>
              <w:rPr>
                <w:rFonts w:hint="eastAsia" w:ascii="仿宋_GB2312" w:hAnsi="宋体" w:eastAsia="仿宋_GB2312" w:cs="宋体"/>
                <w:kern w:val="0"/>
                <w:sz w:val="18"/>
                <w:szCs w:val="18"/>
              </w:rPr>
              <w:t>%</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shd w:val="clear" w:color="auto" w:fill="auto"/>
            <w:vAlign w:val="center"/>
          </w:tcPr>
          <w:p>
            <w:pPr>
              <w:widowControl/>
              <w:ind w:firstLine="0" w:firstLineChars="0"/>
              <w:jc w:val="center"/>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8" w:hRule="atLeast"/>
        </w:trPr>
        <w:tc>
          <w:tcPr>
            <w:tcW w:w="457" w:type="dxa"/>
            <w:vMerge w:val="continue"/>
            <w:vAlign w:val="center"/>
          </w:tcPr>
          <w:p>
            <w:pPr>
              <w:widowControl/>
              <w:ind w:firstLine="0" w:firstLineChars="0"/>
              <w:jc w:val="left"/>
              <w:rPr>
                <w:rFonts w:ascii="仿宋_GB2312" w:hAnsi="宋体" w:eastAsia="仿宋_GB2312" w:cs="宋体"/>
                <w:kern w:val="0"/>
                <w:sz w:val="24"/>
                <w:szCs w:val="24"/>
              </w:rPr>
            </w:pPr>
          </w:p>
        </w:tc>
        <w:tc>
          <w:tcPr>
            <w:tcW w:w="1485" w:type="dxa"/>
            <w:vMerge w:val="continue"/>
            <w:shd w:val="clear" w:color="auto" w:fill="auto"/>
            <w:vAlign w:val="center"/>
          </w:tcPr>
          <w:p>
            <w:pPr>
              <w:widowControl/>
              <w:ind w:firstLine="0" w:firstLineChars="0"/>
              <w:jc w:val="center"/>
              <w:rPr>
                <w:rFonts w:ascii="仿宋_GB2312" w:hAnsi="宋体" w:eastAsia="仿宋_GB2312" w:cs="宋体"/>
                <w:kern w:val="0"/>
                <w:sz w:val="18"/>
                <w:szCs w:val="18"/>
              </w:rPr>
            </w:pPr>
          </w:p>
        </w:tc>
        <w:tc>
          <w:tcPr>
            <w:tcW w:w="1559" w:type="dxa"/>
            <w:vMerge w:val="continue"/>
            <w:shd w:val="clear" w:color="auto" w:fill="auto"/>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2.采用垂直绿化</w:t>
            </w:r>
          </w:p>
        </w:tc>
        <w:tc>
          <w:tcPr>
            <w:tcW w:w="708" w:type="dxa"/>
            <w:shd w:val="clear" w:color="auto" w:fill="auto"/>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shd w:val="clear" w:color="auto" w:fill="auto"/>
            <w:vAlign w:val="center"/>
          </w:tcPr>
          <w:p>
            <w:pPr>
              <w:widowControl/>
              <w:ind w:firstLine="0" w:firstLineChars="0"/>
              <w:jc w:val="center"/>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能源节约</w:t>
            </w: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5.1</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电源（变电站）、水源（泵站）、热源（换热站、锅炉房）和冷源（制冷机组）数量及布局合理，尽量靠近用户中心。</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5.2</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住区内住宅建筑的围护结构热工性能满足北京市《居住建筑节能设计标准》DB11/891的规定。</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5.3</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根据住区场地环境资源和经济技术条件，合理设置可再生能源系统。</w:t>
            </w: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可再生能源产生的生活热水量不低于总生活热水消耗量的25%，或可再生能源技术承担总供暖供冷量的25%</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5"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可再生能源产生的生活热水量不低于总生活热水消耗量的50%，或可再生能源技术承担总供暖供冷量的50%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5"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住区照明光源的光效、灯具效率、照明功率密度满足《建筑照明设计标准》 GB50034的相关规定。住区公共空间功能照明光源的光效不低于80 lm/W。</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5"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所有人工电光源照明控制方式不少于3种，并且各种场所电光源均具有相应的节能控制方式，实现充分利用自然光照明、降低人工照明耗电量。</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5.6</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住区公用设施用电设备能效等级达到相关国家标准规定的能效二级及以上水平。</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5.7</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住区内的水、电、气、暖实现对应的分类、分项、分户计量。</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75"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5.8</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除了专门设计的大规模电动车停车库设充电专用变压器之外，住区配建电动车充电设施充分利用建筑现有设计指标对应的变压器安装容量，与传统建筑负荷兼用变压器，并采用必要的计量、监控措施，提高谷电利用率。</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水资源节约</w:t>
            </w: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6.1</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设置计量水表，对不同用途、不同水质的用水量进行监测。</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8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6.2</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住区绿地设置下凹式绿地，即低于周边硬质铺装地面或道路标高5~10cm的绿地，有利于雨水汇入绿地，增强雨水入渗。</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场地内下凹式绿地面积占总绿地面积的百分比</w:t>
            </w: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不小于50%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不小于65%</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6.3</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住区非机动车道路、公共停车场、休闲广场及其他硬质铺地采用透水铺装，透水铺装率不小于70%。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6.4</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场地雨水实施外排总量控制。</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场地年径流总量控制率</w:t>
            </w: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不小于85%</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不小于70%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6.5</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住区中水系统由附近集中再生水厂供给再生水。</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6.6</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使用非传统水源时，采取用水安全保障措施，且不对人体健康与周围环境产生不良影响。</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6.7</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绿化灌溉采用节水、低能耗的高效灌溉方式，如滴灌、微喷灌等，采用高效灌溉方式的面积比例达到80%。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6.8</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采取有效措施减少住区给水管网漏损量。</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6.9</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充分利用非传统水源。</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非传统水源利用率</w:t>
            </w: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室外利用率不小于60%或总利用率不小于10%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室外利用率不小于80%或总利用率不小于20%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2694" w:type="dxa"/>
            <w:gridSpan w:val="2"/>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室外利用率不小于100%或总利用率不小于30%</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绿色人文</w:t>
            </w: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7.1</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住区符合国家标准《无障碍设计规范》的相关要求，设置完善的盲道、无障碍电梯、洗手间等设施，并定期维护，保障无障碍设施的正常使用。</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shd w:val="clear" w:color="auto" w:fill="auto"/>
            <w:vAlign w:val="center"/>
          </w:tcPr>
          <w:p>
            <w:pPr>
              <w:widowControl/>
              <w:ind w:firstLine="0" w:firstLineChars="0"/>
              <w:jc w:val="center"/>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r>
              <w:rPr>
                <w:rFonts w:ascii="仿宋_GB2312" w:hAnsi="宋体" w:eastAsia="仿宋_GB2312" w:cs="宋体"/>
                <w:kern w:val="0"/>
                <w:sz w:val="18"/>
                <w:szCs w:val="18"/>
              </w:rPr>
              <w:t>.2</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建设适老设施，充分考虑老年人的身体机能及行动特点并做出相应的设计。</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shd w:val="clear" w:color="auto" w:fill="auto"/>
            <w:vAlign w:val="center"/>
          </w:tcPr>
          <w:p>
            <w:pPr>
              <w:widowControl/>
              <w:ind w:firstLine="0" w:firstLineChars="0"/>
              <w:jc w:val="center"/>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shd w:val="clear" w:color="auto" w:fill="auto"/>
            <w:vAlign w:val="center"/>
          </w:tcPr>
          <w:p>
            <w:pPr>
              <w:widowControl/>
              <w:ind w:firstLine="0" w:firstLineChars="0"/>
              <w:jc w:val="center"/>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r>
              <w:rPr>
                <w:rFonts w:ascii="仿宋_GB2312" w:hAnsi="宋体" w:eastAsia="仿宋_GB2312" w:cs="宋体"/>
                <w:kern w:val="0"/>
                <w:sz w:val="18"/>
                <w:szCs w:val="18"/>
              </w:rPr>
              <w:t>.3</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建设儿童友好型设施，并保障设施的安全稳定运行。</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shd w:val="clear" w:color="auto" w:fill="auto"/>
            <w:vAlign w:val="center"/>
          </w:tcPr>
          <w:p>
            <w:pPr>
              <w:widowControl/>
              <w:ind w:firstLine="0" w:firstLineChars="0"/>
              <w:jc w:val="center"/>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r>
              <w:rPr>
                <w:rFonts w:ascii="仿宋_GB2312" w:hAnsi="宋体" w:eastAsia="仿宋_GB2312" w:cs="宋体"/>
                <w:kern w:val="0"/>
                <w:sz w:val="18"/>
                <w:szCs w:val="18"/>
              </w:rPr>
              <w:t>.4</w:t>
            </w:r>
          </w:p>
        </w:tc>
        <w:tc>
          <w:tcPr>
            <w:tcW w:w="1559" w:type="dxa"/>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一刻钟住区服务圈</w:t>
            </w:r>
          </w:p>
        </w:tc>
        <w:tc>
          <w:tcPr>
            <w:tcW w:w="4253" w:type="dxa"/>
            <w:gridSpan w:val="3"/>
            <w:shd w:val="clear" w:color="auto" w:fill="auto"/>
            <w:vAlign w:val="center"/>
          </w:tcPr>
          <w:p>
            <w:pPr>
              <w:widowControl/>
              <w:ind w:firstLine="0" w:firstLineChars="0"/>
              <w:jc w:val="left"/>
              <w:rPr>
                <w:rFonts w:ascii="仿宋_GB2312" w:hAnsi="Times New Roman" w:eastAsia="仿宋_GB2312"/>
                <w:kern w:val="0"/>
                <w:sz w:val="18"/>
                <w:szCs w:val="18"/>
              </w:rPr>
            </w:pPr>
            <w:r>
              <w:rPr>
                <w:rFonts w:hint="eastAsia" w:ascii="仿宋_GB2312" w:hAnsi="Times New Roman" w:eastAsia="仿宋_GB2312"/>
                <w:kern w:val="0"/>
                <w:sz w:val="18"/>
                <w:szCs w:val="18"/>
              </w:rPr>
              <w:t>住区1</w:t>
            </w:r>
            <w:r>
              <w:rPr>
                <w:rFonts w:ascii="仿宋_GB2312" w:hAnsi="Times New Roman" w:eastAsia="仿宋_GB2312"/>
                <w:kern w:val="0"/>
                <w:sz w:val="18"/>
                <w:szCs w:val="18"/>
              </w:rPr>
              <w:t>5</w:t>
            </w:r>
            <w:r>
              <w:rPr>
                <w:rFonts w:hint="eastAsia" w:ascii="仿宋_GB2312" w:hAnsi="Times New Roman" w:eastAsia="仿宋_GB2312"/>
                <w:kern w:val="0"/>
                <w:sz w:val="18"/>
                <w:szCs w:val="18"/>
              </w:rPr>
              <w:t>分钟步行范围内可达到六种以上的便民服务设施。便民服务设施包括：居民和家庭服务设施、健康服务设施、养老服务设施、旅游服务设施、体育服务设施、文化服务设施、法律服务设施、批发零售服务设施、住宿餐饮服务设施和教育培训服务设施等。</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r>
              <w:rPr>
                <w:rFonts w:ascii="仿宋_GB2312" w:hAnsi="宋体" w:eastAsia="仿宋_GB2312" w:cs="宋体"/>
                <w:kern w:val="0"/>
                <w:sz w:val="18"/>
                <w:szCs w:val="18"/>
              </w:rPr>
              <w:t>5</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周边和内部设置的公共服务设施形成完整的公共服务系统。</w:t>
            </w:r>
          </w:p>
        </w:tc>
        <w:tc>
          <w:tcPr>
            <w:tcW w:w="4253" w:type="dxa"/>
            <w:gridSpan w:val="3"/>
            <w:shd w:val="clear" w:color="auto" w:fill="auto"/>
            <w:vAlign w:val="center"/>
          </w:tcPr>
          <w:p>
            <w:pPr>
              <w:widowControl/>
              <w:ind w:firstLine="0" w:firstLineChars="0"/>
              <w:jc w:val="left"/>
              <w:rPr>
                <w:rFonts w:ascii="仿宋_GB2312" w:hAnsi="Times New Roman" w:eastAsia="仿宋_GB2312"/>
                <w:kern w:val="0"/>
                <w:sz w:val="18"/>
                <w:szCs w:val="18"/>
              </w:rPr>
            </w:pPr>
            <w:r>
              <w:rPr>
                <w:rFonts w:hint="eastAsia" w:ascii="仿宋_GB2312" w:hAnsi="Times New Roman" w:eastAsia="仿宋_GB2312"/>
                <w:kern w:val="0"/>
                <w:sz w:val="18"/>
                <w:szCs w:val="18"/>
              </w:rPr>
              <w:t>1.</w:t>
            </w:r>
            <w:r>
              <w:rPr>
                <w:rFonts w:hint="eastAsia" w:ascii="仿宋_GB2312" w:hAnsi="宋体" w:eastAsia="仿宋_GB2312"/>
                <w:kern w:val="0"/>
                <w:sz w:val="18"/>
                <w:szCs w:val="18"/>
              </w:rPr>
              <w:t>住区主要出入口</w:t>
            </w:r>
            <w:r>
              <w:rPr>
                <w:rFonts w:hint="eastAsia" w:ascii="仿宋_GB2312" w:hAnsi="Times New Roman" w:eastAsia="仿宋_GB2312"/>
                <w:kern w:val="0"/>
                <w:sz w:val="18"/>
                <w:szCs w:val="18"/>
              </w:rPr>
              <w:t>500m</w:t>
            </w:r>
            <w:r>
              <w:rPr>
                <w:rFonts w:hint="eastAsia" w:ascii="仿宋_GB2312" w:hAnsi="宋体" w:eastAsia="仿宋_GB2312"/>
                <w:kern w:val="0"/>
                <w:sz w:val="18"/>
                <w:szCs w:val="18"/>
              </w:rPr>
              <w:t>以内设有幼儿园和小学</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Times New Roman" w:eastAsia="仿宋_GB2312"/>
                <w:kern w:val="0"/>
                <w:sz w:val="18"/>
                <w:szCs w:val="18"/>
              </w:rPr>
            </w:pPr>
            <w:r>
              <w:rPr>
                <w:rFonts w:hint="eastAsia" w:ascii="仿宋_GB2312" w:hAnsi="Times New Roman" w:eastAsia="仿宋_GB2312"/>
                <w:kern w:val="0"/>
                <w:sz w:val="18"/>
                <w:szCs w:val="18"/>
              </w:rPr>
              <w:t>2.</w:t>
            </w:r>
            <w:r>
              <w:rPr>
                <w:rFonts w:hint="eastAsia" w:ascii="仿宋_GB2312" w:hAnsi="宋体" w:eastAsia="仿宋_GB2312"/>
                <w:kern w:val="0"/>
                <w:sz w:val="18"/>
                <w:szCs w:val="18"/>
              </w:rPr>
              <w:t>住区主要出入口</w:t>
            </w:r>
            <w:r>
              <w:rPr>
                <w:rFonts w:hint="eastAsia" w:ascii="仿宋_GB2312" w:hAnsi="Times New Roman" w:eastAsia="仿宋_GB2312"/>
                <w:kern w:val="0"/>
                <w:sz w:val="18"/>
                <w:szCs w:val="18"/>
              </w:rPr>
              <w:t>500m</w:t>
            </w:r>
            <w:r>
              <w:rPr>
                <w:rFonts w:hint="eastAsia" w:ascii="仿宋_GB2312" w:hAnsi="宋体" w:eastAsia="仿宋_GB2312"/>
                <w:kern w:val="0"/>
                <w:sz w:val="18"/>
                <w:szCs w:val="18"/>
              </w:rPr>
              <w:t>以内至少有以下两个非重复商业设施：菜市场或农贸市场、小型超市或便利店、便民零售店</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Times New Roman" w:eastAsia="仿宋_GB2312"/>
                <w:kern w:val="0"/>
                <w:sz w:val="18"/>
                <w:szCs w:val="18"/>
              </w:rPr>
            </w:pPr>
            <w:r>
              <w:rPr>
                <w:rFonts w:hint="eastAsia" w:ascii="仿宋_GB2312" w:hAnsi="Times New Roman" w:eastAsia="仿宋_GB2312"/>
                <w:kern w:val="0"/>
                <w:sz w:val="18"/>
                <w:szCs w:val="18"/>
              </w:rPr>
              <w:t>3.</w:t>
            </w:r>
            <w:r>
              <w:rPr>
                <w:rFonts w:hint="eastAsia" w:ascii="仿宋_GB2312" w:hAnsi="宋体" w:eastAsia="仿宋_GB2312"/>
                <w:kern w:val="0"/>
                <w:sz w:val="18"/>
                <w:szCs w:val="18"/>
              </w:rPr>
              <w:t>住区主要出入口</w:t>
            </w:r>
            <w:r>
              <w:rPr>
                <w:rFonts w:hint="eastAsia" w:ascii="仿宋_GB2312" w:hAnsi="Times New Roman" w:eastAsia="仿宋_GB2312"/>
                <w:kern w:val="0"/>
                <w:sz w:val="18"/>
                <w:szCs w:val="18"/>
              </w:rPr>
              <w:t>1000m</w:t>
            </w:r>
            <w:r>
              <w:rPr>
                <w:rFonts w:hint="eastAsia" w:ascii="仿宋_GB2312" w:hAnsi="宋体" w:eastAsia="仿宋_GB2312"/>
                <w:kern w:val="0"/>
                <w:sz w:val="18"/>
                <w:szCs w:val="18"/>
              </w:rPr>
              <w:t>以内至少有一个社区公园、居住区公园或综合性公园，</w:t>
            </w:r>
            <w:r>
              <w:rPr>
                <w:rFonts w:hint="eastAsia" w:ascii="仿宋_GB2312" w:hAnsi="Times New Roman" w:eastAsia="仿宋_GB2312"/>
                <w:kern w:val="0"/>
                <w:sz w:val="18"/>
                <w:szCs w:val="18"/>
              </w:rPr>
              <w:t>500m</w:t>
            </w:r>
            <w:r>
              <w:rPr>
                <w:rFonts w:hint="eastAsia" w:ascii="仿宋_GB2312" w:hAnsi="宋体" w:eastAsia="仿宋_GB2312"/>
                <w:kern w:val="0"/>
                <w:sz w:val="18"/>
                <w:szCs w:val="18"/>
              </w:rPr>
              <w:t>范围内至少有一个小区游园</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r>
              <w:rPr>
                <w:rFonts w:ascii="仿宋_GB2312" w:hAnsi="宋体" w:eastAsia="仿宋_GB2312" w:cs="宋体"/>
                <w:kern w:val="0"/>
                <w:sz w:val="18"/>
                <w:szCs w:val="18"/>
              </w:rPr>
              <w:t>6</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设置各类型的居民活动设施，服务于不同需要的人群。</w:t>
            </w: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1.文化娱乐广场、体育健身场（馆）或设施、慢跑步道及按摩步道等</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2.儿童娱乐场地或儿童活动场（馆）</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3.老年活动中心、老年服务中心（站）或托老所</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4.残疾人康复托养中心</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r>
              <w:rPr>
                <w:rFonts w:ascii="仿宋_GB2312" w:hAnsi="宋体" w:eastAsia="仿宋_GB2312" w:cs="宋体"/>
                <w:kern w:val="0"/>
                <w:sz w:val="18"/>
                <w:szCs w:val="18"/>
              </w:rPr>
              <w:t>7</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公共服务设施建筑集中设置，并与周边公共服务设施协调共享。</w:t>
            </w: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1.三种及以上的公共服务设施的建筑集中设置，或建筑兼容3种及以上的公共服务功能</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2.公共服务设施可向住区外部开放</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r>
              <w:rPr>
                <w:rFonts w:ascii="仿宋_GB2312" w:hAnsi="宋体" w:eastAsia="仿宋_GB2312" w:cs="宋体"/>
                <w:kern w:val="0"/>
                <w:sz w:val="18"/>
                <w:szCs w:val="18"/>
              </w:rPr>
              <w:t>8</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设有永久性用于绿色文化展示和绿色教育，或举办绿色文化活动的场所或设施。</w:t>
            </w: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1.将室外广场或活动场地纳入绿色活动场地所</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2.在其它活动场馆的厅堂或多功能空间中长期设置绿色展示，并提供绿色活动场所</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3.提供不少于一间展厅和教室专用于绿色宣传、教育和活动</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4.专设绿色文化中心，与周边社区共享或同时有以上三条中的两款</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r>
              <w:rPr>
                <w:rFonts w:ascii="仿宋_GB2312" w:hAnsi="宋体" w:eastAsia="仿宋_GB2312" w:cs="宋体"/>
                <w:kern w:val="0"/>
                <w:sz w:val="18"/>
                <w:szCs w:val="18"/>
              </w:rPr>
              <w:t>9</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智能化系统健全，安防、消防系统增强住区安全、和谐程度，通讯、信息系统增强住区服务便捷性，人文、科技融入住区生活环境。</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r>
              <w:rPr>
                <w:rFonts w:ascii="仿宋_GB2312" w:hAnsi="宋体" w:eastAsia="仿宋_GB2312" w:cs="宋体"/>
                <w:kern w:val="0"/>
                <w:sz w:val="18"/>
                <w:szCs w:val="18"/>
              </w:rPr>
              <w:t>10</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住区范围内的历史文化建筑物、构筑物被有效保护，并作为住区的文化标志加以活化利用。</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绿色管理</w:t>
            </w: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8.1</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物业管理部门通过IS0 14001环境管理体系、ISO 9001质量管理体系认证与GB/T 23331能源管理体系认证。</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8.2</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制定并实施完善、有效的资源节约和环境保护的物业管理制度。</w:t>
            </w: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1.住区公共区域节能、节水等资源节约的管理制度</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2.住区公共设备、机电系统清洁、维护和更新改造的管理制度</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3.住区内部机动车和非机动车的行车和停车管理制度</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4.住区景观绿化种植和养护的管理制度</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5.住区生活垃圾和可回收垃圾管理制度</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8.3</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实施资源管理激励机制，管理业绩与节约资源、提高经济效益挂钩。</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8.4</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定期检查、调试公共设施设备，根据环境与能耗的检测数据，进行设备系统的运行优化与能效管理。</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8.5</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利用非传统水源时，物业对水质进行日常定期检测并完整记录。</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8.6</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住区内无排放超标的污染物。</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8.7</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实现生活垃圾分类及处理。</w:t>
            </w: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1.住区垃圾投放点布局合理，并设置密闭性良好的生活垃圾分类容器，垃圾站（间）设冲洗和排水设施。</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2.厨余垃圾、可回收垃圾进行单独收集和资源化处理，处理过程无二次污染。</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3.住区设置用于回收有害垃圾的密闭容器，荧光灯管、电池应单独放置并避免破损。</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4.居民户内设置户用分类垃圾桶，户内垃圾投放采用分类垃圾袋</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8.8</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栽种和移植的树木成活率大于90％，植物生长状态良好。</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8.9</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制定并监督实施住区居民用户手册，对住区居民的用能、用水、垃圾投放、绿色行车、绿色生活等行为提出绿色要求。</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000000" w:fill="FFFFFF"/>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8.10 </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设置多种绿色宣传标志，定期发布有利于创建绿色社区的信息。</w:t>
            </w: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1.在不同类型的环境、场所设置绿色信息标志牌，起到提示作用</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2.定期发布、更新社区能源管理信息，推动节约行为</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3.利用广播或多媒体终端播放绿色科技方面的宣传片</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vAlign w:val="center"/>
          </w:tcPr>
          <w:p>
            <w:pPr>
              <w:widowControl/>
              <w:ind w:firstLine="0" w:firstLineChars="0"/>
              <w:jc w:val="left"/>
              <w:rPr>
                <w:rFonts w:ascii="仿宋_GB2312" w:hAnsi="宋体" w:eastAsia="仿宋_GB2312" w:cs="宋体"/>
                <w:kern w:val="0"/>
                <w:sz w:val="18"/>
                <w:szCs w:val="18"/>
              </w:rPr>
            </w:pP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4.配备环保书籍报刊，设立绿色宣传固定专栏</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restart"/>
            <w:shd w:val="clear" w:color="auto" w:fill="auto"/>
            <w:vAlign w:val="center"/>
          </w:tcPr>
          <w:p>
            <w:pPr>
              <w:ind w:firstLine="36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w:t>
            </w:r>
            <w:r>
              <w:rPr>
                <w:rFonts w:ascii="仿宋_GB2312" w:hAnsi="宋体" w:eastAsia="仿宋_GB2312" w:cs="宋体"/>
                <w:kern w:val="0"/>
                <w:sz w:val="18"/>
                <w:szCs w:val="18"/>
              </w:rPr>
              <w:t>9</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创新引领</w:t>
            </w: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w:t>
            </w:r>
            <w:r>
              <w:rPr>
                <w:rFonts w:ascii="仿宋_GB2312" w:hAnsi="宋体" w:eastAsia="仿宋_GB2312" w:cs="宋体"/>
                <w:kern w:val="0"/>
                <w:sz w:val="18"/>
                <w:szCs w:val="18"/>
              </w:rPr>
              <w:t>.1</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项目从上述指标项中选取对本项目具有优先性、特色性的指标（指标分值≥3），如果在对应的该项指标中获得满分，则可在项目特色中得一分，最多2分。</w:t>
            </w:r>
          </w:p>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选取的特色项需陈述背景及特色原因</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restart"/>
            <w:shd w:val="clear" w:color="auto" w:fill="auto"/>
            <w:vAlign w:val="center"/>
          </w:tcPr>
          <w:p>
            <w:pPr>
              <w:ind w:firstLine="0" w:firstLineChars="0"/>
              <w:jc w:val="center"/>
              <w:rPr>
                <w:rFonts w:ascii="仿宋_GB2312" w:hAnsi="宋体" w:eastAsia="仿宋_GB2312" w:cs="宋体"/>
                <w:kern w:val="0"/>
                <w:sz w:val="18"/>
                <w:szCs w:val="18"/>
              </w:rPr>
            </w:pPr>
            <w:r>
              <w:rPr>
                <w:rFonts w:ascii="仿宋_GB2312" w:hAnsi="宋体" w:eastAsia="仿宋_GB2312" w:cs="宋体"/>
                <w:kern w:val="0"/>
                <w:sz w:val="18"/>
                <w:szCs w:val="18"/>
              </w:rPr>
              <w:t>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shd w:val="clear" w:color="auto" w:fill="auto"/>
            <w:vAlign w:val="center"/>
          </w:tcPr>
          <w:p>
            <w:pPr>
              <w:ind w:firstLine="360"/>
              <w:jc w:val="center"/>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w:t>
            </w:r>
            <w:r>
              <w:rPr>
                <w:rFonts w:ascii="仿宋_GB2312" w:hAnsi="宋体" w:eastAsia="仿宋_GB2312" w:cs="宋体"/>
                <w:kern w:val="0"/>
                <w:sz w:val="18"/>
                <w:szCs w:val="18"/>
              </w:rPr>
              <w:t>.2</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项目根据自身特色创新性地采用了未在评分表里出现的策略或措施，并获得了显著的成效，可得2分，最多4分</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09" w:type="dxa"/>
            <w:vMerge w:val="continue"/>
            <w:shd w:val="clear" w:color="auto" w:fill="auto"/>
            <w:vAlign w:val="center"/>
          </w:tcPr>
          <w:p>
            <w:pPr>
              <w:ind w:firstLine="360"/>
              <w:jc w:val="center"/>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shd w:val="clear" w:color="auto" w:fill="auto"/>
            <w:vAlign w:val="center"/>
          </w:tcPr>
          <w:p>
            <w:pPr>
              <w:widowControl/>
              <w:ind w:firstLine="0" w:firstLineChars="0"/>
              <w:jc w:val="center"/>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w:t>
            </w:r>
            <w:r>
              <w:rPr>
                <w:rFonts w:ascii="仿宋_GB2312" w:hAnsi="宋体" w:eastAsia="仿宋_GB2312" w:cs="宋体"/>
                <w:kern w:val="0"/>
                <w:sz w:val="18"/>
                <w:szCs w:val="18"/>
              </w:rPr>
              <w:t>3</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建设低能耗被动房示范工程。</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shd w:val="clear" w:color="auto" w:fill="auto"/>
            <w:vAlign w:val="center"/>
          </w:tcPr>
          <w:p>
            <w:pPr>
              <w:widowControl/>
              <w:ind w:firstLine="0" w:firstLineChars="0"/>
              <w:jc w:val="center"/>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w:t>
            </w:r>
            <w:r>
              <w:rPr>
                <w:rFonts w:ascii="仿宋_GB2312" w:hAnsi="宋体" w:eastAsia="仿宋_GB2312" w:cs="宋体"/>
                <w:kern w:val="0"/>
                <w:sz w:val="18"/>
                <w:szCs w:val="18"/>
              </w:rPr>
              <w:t>4</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住区采用新型高效的垃圾分类收集系统。</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w:t>
            </w:r>
            <w:r>
              <w:rPr>
                <w:rFonts w:ascii="仿宋_GB2312" w:hAnsi="宋体" w:eastAsia="仿宋_GB2312" w:cs="宋体"/>
                <w:kern w:val="0"/>
                <w:sz w:val="18"/>
                <w:szCs w:val="18"/>
              </w:rPr>
              <w:t>5</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住区采用新型能源循环模式。</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w:t>
            </w:r>
            <w:r>
              <w:rPr>
                <w:rFonts w:ascii="仿宋_GB2312" w:hAnsi="宋体" w:eastAsia="仿宋_GB2312" w:cs="宋体"/>
                <w:kern w:val="0"/>
                <w:sz w:val="18"/>
                <w:szCs w:val="18"/>
              </w:rPr>
              <w:t>6</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住区设置独立的中水或雨水等再生水处理系统，选用新型、高效、安全、无污染的再生水处理技术。</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w:t>
            </w:r>
            <w:r>
              <w:rPr>
                <w:rFonts w:ascii="仿宋_GB2312" w:hAnsi="宋体" w:eastAsia="仿宋_GB2312" w:cs="宋体"/>
                <w:kern w:val="0"/>
                <w:sz w:val="18"/>
                <w:szCs w:val="18"/>
              </w:rPr>
              <w:t>7</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区在设计或施工过程中采用建筑信息模型技术，并实现住区建筑信息模型数据传递，确认信息模型提供的数据格式可以满足物业管理的需求，在全寿命期运行、维护、利用信息模型，评估每栋建筑的信息化应用水平。</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w:t>
            </w:r>
            <w:r>
              <w:rPr>
                <w:rFonts w:ascii="仿宋_GB2312" w:hAnsi="宋体" w:eastAsia="仿宋_GB2312" w:cs="宋体"/>
                <w:kern w:val="0"/>
                <w:sz w:val="18"/>
                <w:szCs w:val="18"/>
              </w:rPr>
              <w:t>8</w:t>
            </w:r>
          </w:p>
        </w:tc>
        <w:tc>
          <w:tcPr>
            <w:tcW w:w="5812" w:type="dxa"/>
            <w:gridSpan w:val="4"/>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实现信息化管理，住区内公共建筑设置能耗、用水设施和设备的自动监控系统，长期记录并定期检查、监管绿色住区内的运行数据。</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trPr>
        <w:tc>
          <w:tcPr>
            <w:tcW w:w="457" w:type="dxa"/>
            <w:vMerge w:val="continue"/>
            <w:vAlign w:val="center"/>
          </w:tcPr>
          <w:p>
            <w:pPr>
              <w:widowControl/>
              <w:ind w:firstLine="0" w:firstLineChars="0"/>
              <w:jc w:val="left"/>
              <w:rPr>
                <w:rFonts w:ascii="仿宋_GB2312" w:hAnsi="宋体" w:eastAsia="仿宋_GB2312" w:cs="宋体"/>
                <w:kern w:val="0"/>
                <w:sz w:val="18"/>
                <w:szCs w:val="18"/>
              </w:rPr>
            </w:pPr>
          </w:p>
        </w:tc>
        <w:tc>
          <w:tcPr>
            <w:tcW w:w="1485"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w:t>
            </w:r>
            <w:r>
              <w:rPr>
                <w:rFonts w:ascii="仿宋_GB2312" w:hAnsi="宋体" w:eastAsia="仿宋_GB2312" w:cs="宋体"/>
                <w:kern w:val="0"/>
                <w:sz w:val="18"/>
                <w:szCs w:val="18"/>
              </w:rPr>
              <w:t>9</w:t>
            </w:r>
          </w:p>
        </w:tc>
        <w:tc>
          <w:tcPr>
            <w:tcW w:w="1559" w:type="dxa"/>
            <w:vMerge w:val="restart"/>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同步贯彻北京市相关的绿色政策措施，并有定期组织的绿色文化活动和宣传活动。</w:t>
            </w:r>
          </w:p>
        </w:tc>
        <w:tc>
          <w:tcPr>
            <w:tcW w:w="4253" w:type="dxa"/>
            <w:gridSpan w:val="3"/>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1.设有专门服务于绿色行为的机构，配备组织绿色活动的人员</w:t>
            </w:r>
          </w:p>
        </w:tc>
        <w:tc>
          <w:tcPr>
            <w:tcW w:w="708" w:type="dxa"/>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restart"/>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709" w:type="dxa"/>
            <w:vMerge w:val="continue"/>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trPr>
        <w:tc>
          <w:tcPr>
            <w:tcW w:w="457" w:type="dxa"/>
            <w:vMerge w:val="continue"/>
            <w:tcBorders>
              <w:bottom w:val="single" w:color="auto" w:sz="8" w:space="0"/>
            </w:tcBorders>
            <w:vAlign w:val="center"/>
          </w:tcPr>
          <w:p>
            <w:pPr>
              <w:widowControl/>
              <w:ind w:firstLine="0" w:firstLineChars="0"/>
              <w:jc w:val="left"/>
              <w:rPr>
                <w:rFonts w:ascii="仿宋_GB2312" w:hAnsi="宋体" w:eastAsia="仿宋_GB2312" w:cs="宋体"/>
                <w:kern w:val="0"/>
                <w:sz w:val="18"/>
                <w:szCs w:val="18"/>
              </w:rPr>
            </w:pPr>
          </w:p>
        </w:tc>
        <w:tc>
          <w:tcPr>
            <w:tcW w:w="1485" w:type="dxa"/>
            <w:vMerge w:val="continue"/>
            <w:tcBorders>
              <w:bottom w:val="single" w:color="auto" w:sz="8" w:space="0"/>
            </w:tcBorders>
            <w:vAlign w:val="center"/>
          </w:tcPr>
          <w:p>
            <w:pPr>
              <w:widowControl/>
              <w:ind w:firstLine="0" w:firstLineChars="0"/>
              <w:jc w:val="left"/>
              <w:rPr>
                <w:rFonts w:ascii="仿宋_GB2312" w:hAnsi="宋体" w:eastAsia="仿宋_GB2312" w:cs="宋体"/>
                <w:kern w:val="0"/>
                <w:sz w:val="18"/>
                <w:szCs w:val="18"/>
              </w:rPr>
            </w:pPr>
          </w:p>
        </w:tc>
        <w:tc>
          <w:tcPr>
            <w:tcW w:w="1559" w:type="dxa"/>
            <w:vMerge w:val="continue"/>
            <w:tcBorders>
              <w:bottom w:val="single" w:color="auto" w:sz="8" w:space="0"/>
            </w:tcBorders>
            <w:vAlign w:val="center"/>
          </w:tcPr>
          <w:p>
            <w:pPr>
              <w:widowControl/>
              <w:ind w:firstLine="0" w:firstLineChars="0"/>
              <w:jc w:val="left"/>
              <w:rPr>
                <w:rFonts w:ascii="仿宋_GB2312" w:hAnsi="宋体" w:eastAsia="仿宋_GB2312" w:cs="宋体"/>
                <w:kern w:val="0"/>
                <w:sz w:val="18"/>
                <w:szCs w:val="18"/>
              </w:rPr>
            </w:pPr>
          </w:p>
        </w:tc>
        <w:tc>
          <w:tcPr>
            <w:tcW w:w="4253" w:type="dxa"/>
            <w:gridSpan w:val="3"/>
            <w:tcBorders>
              <w:bottom w:val="single" w:color="auto" w:sz="8" w:space="0"/>
            </w:tcBorders>
            <w:shd w:val="clear" w:color="auto" w:fill="auto"/>
            <w:vAlign w:val="center"/>
          </w:tcPr>
          <w:p>
            <w:pPr>
              <w:widowControl/>
              <w:ind w:firstLine="0" w:firstLineChars="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2.开展广泛参与的绿色文化活动</w:t>
            </w:r>
          </w:p>
        </w:tc>
        <w:tc>
          <w:tcPr>
            <w:tcW w:w="708" w:type="dxa"/>
            <w:tcBorders>
              <w:bottom w:val="single" w:color="auto" w:sz="8" w:space="0"/>
            </w:tcBorders>
            <w:shd w:val="clear" w:color="auto" w:fill="auto"/>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709" w:type="dxa"/>
            <w:vMerge w:val="continue"/>
            <w:tcBorders>
              <w:bottom w:val="single" w:color="auto" w:sz="8" w:space="0"/>
            </w:tcBorders>
            <w:vAlign w:val="center"/>
          </w:tcPr>
          <w:p>
            <w:pPr>
              <w:widowControl/>
              <w:ind w:firstLine="0" w:firstLineChars="0"/>
              <w:jc w:val="left"/>
              <w:rPr>
                <w:rFonts w:ascii="仿宋_GB2312" w:hAnsi="宋体" w:eastAsia="仿宋_GB2312" w:cs="宋体"/>
                <w:kern w:val="0"/>
                <w:sz w:val="18"/>
                <w:szCs w:val="18"/>
              </w:rPr>
            </w:pPr>
          </w:p>
        </w:tc>
        <w:tc>
          <w:tcPr>
            <w:tcW w:w="709" w:type="dxa"/>
            <w:vMerge w:val="continue"/>
            <w:tcBorders>
              <w:bottom w:val="single" w:color="auto" w:sz="8" w:space="0"/>
            </w:tcBorders>
            <w:vAlign w:val="center"/>
          </w:tcPr>
          <w:p>
            <w:pPr>
              <w:widowControl/>
              <w:ind w:firstLine="0" w:firstLineChars="0"/>
              <w:jc w:val="left"/>
              <w:rPr>
                <w:rFonts w:ascii="仿宋_GB2312" w:hAnsi="宋体" w:eastAsia="仿宋_GB2312"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atLeast"/>
        </w:trPr>
        <w:tc>
          <w:tcPr>
            <w:tcW w:w="9171" w:type="dxa"/>
            <w:gridSpan w:val="8"/>
            <w:shd w:val="clear" w:color="auto" w:fill="D8D8D8" w:themeFill="background1" w:themeFillShade="D9"/>
            <w:vAlign w:val="center"/>
          </w:tcPr>
          <w:p>
            <w:pPr>
              <w:widowControl/>
              <w:ind w:firstLine="0" w:firstLineChars="0"/>
              <w:rPr>
                <w:rFonts w:ascii="仿宋_GB2312" w:hAnsi="宋体" w:eastAsia="仿宋_GB2312" w:cs="宋体"/>
                <w:kern w:val="0"/>
                <w:sz w:val="18"/>
                <w:szCs w:val="18"/>
              </w:rPr>
            </w:pPr>
            <w:r>
              <w:rPr>
                <w:rFonts w:hint="eastAsia" w:ascii="仿宋_GB2312" w:hAnsi="宋体" w:eastAsia="仿宋_GB2312" w:cs="宋体"/>
                <w:kern w:val="0"/>
                <w:sz w:val="18"/>
                <w:szCs w:val="18"/>
              </w:rPr>
              <w:t>合计</w:t>
            </w:r>
          </w:p>
        </w:tc>
        <w:tc>
          <w:tcPr>
            <w:tcW w:w="709" w:type="dxa"/>
            <w:shd w:val="clear" w:color="auto" w:fill="D8D8D8" w:themeFill="background1" w:themeFillShade="D9"/>
            <w:vAlign w:val="center"/>
          </w:tcPr>
          <w:p>
            <w:pPr>
              <w:widowControl/>
              <w:ind w:firstLine="0" w:firstLineChars="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ascii="仿宋_GB2312" w:hAnsi="宋体" w:eastAsia="仿宋_GB2312" w:cs="宋体"/>
                <w:kern w:val="0"/>
                <w:sz w:val="18"/>
                <w:szCs w:val="18"/>
              </w:rPr>
              <w:t>20</w:t>
            </w:r>
          </w:p>
        </w:tc>
      </w:tr>
    </w:tbl>
    <w:p>
      <w:pPr>
        <w:ind w:firstLine="420"/>
      </w:pPr>
    </w:p>
    <w:p>
      <w:pPr>
        <w:ind w:firstLine="42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021E"/>
    <w:rsid w:val="00024479"/>
    <w:rsid w:val="0004021E"/>
    <w:rsid w:val="00116B64"/>
    <w:rsid w:val="00512D45"/>
    <w:rsid w:val="006732A7"/>
    <w:rsid w:val="00710FD2"/>
    <w:rsid w:val="00A23605"/>
    <w:rsid w:val="507A36A4"/>
    <w:rsid w:val="5D0B4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styleId="2">
    <w:name w:val="heading 3"/>
    <w:basedOn w:val="1"/>
    <w:next w:val="1"/>
    <w:link w:val="13"/>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15"/>
    <w:semiHidden/>
    <w:unhideWhenUsed/>
    <w:uiPriority w:val="99"/>
    <w:rPr>
      <w:b/>
      <w:bCs/>
    </w:rPr>
  </w:style>
  <w:style w:type="paragraph" w:styleId="4">
    <w:name w:val="annotation text"/>
    <w:basedOn w:val="1"/>
    <w:link w:val="14"/>
    <w:semiHidden/>
    <w:unhideWhenUsed/>
    <w:qFormat/>
    <w:uiPriority w:val="99"/>
    <w:pPr>
      <w:jc w:val="left"/>
    </w:pPr>
  </w:style>
  <w:style w:type="paragraph" w:styleId="5">
    <w:name w:val="Balloon Text"/>
    <w:basedOn w:val="1"/>
    <w:link w:val="16"/>
    <w:semiHidden/>
    <w:unhideWhenUsed/>
    <w:qFormat/>
    <w:uiPriority w:val="99"/>
    <w:rPr>
      <w:sz w:val="18"/>
      <w:szCs w:val="18"/>
    </w:rPr>
  </w:style>
  <w:style w:type="paragraph" w:styleId="6">
    <w:name w:val="footer"/>
    <w:basedOn w:val="1"/>
    <w:link w:val="12"/>
    <w:semiHidden/>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ind w:firstLine="0" w:firstLineChars="0"/>
      <w:jc w:val="center"/>
    </w:pPr>
    <w:rPr>
      <w:rFonts w:asciiTheme="minorHAnsi" w:hAnsiTheme="minorHAnsi" w:eastAsiaTheme="minorEastAsia" w:cstheme="minorBidi"/>
      <w:sz w:val="18"/>
      <w:szCs w:val="18"/>
    </w:rPr>
  </w:style>
  <w:style w:type="character" w:styleId="9">
    <w:name w:val="annotation reference"/>
    <w:basedOn w:val="8"/>
    <w:semiHidden/>
    <w:unhideWhenUsed/>
    <w:uiPriority w:val="99"/>
    <w:rPr>
      <w:sz w:val="21"/>
      <w:szCs w:val="21"/>
    </w:rPr>
  </w:style>
  <w:style w:type="character" w:customStyle="1" w:styleId="11">
    <w:name w:val="页眉 字符"/>
    <w:basedOn w:val="8"/>
    <w:link w:val="7"/>
    <w:qFormat/>
    <w:uiPriority w:val="99"/>
    <w:rPr>
      <w:sz w:val="18"/>
      <w:szCs w:val="18"/>
    </w:rPr>
  </w:style>
  <w:style w:type="character" w:customStyle="1" w:styleId="12">
    <w:name w:val="页脚 字符"/>
    <w:basedOn w:val="8"/>
    <w:link w:val="6"/>
    <w:semiHidden/>
    <w:qFormat/>
    <w:uiPriority w:val="99"/>
    <w:rPr>
      <w:sz w:val="18"/>
      <w:szCs w:val="18"/>
    </w:rPr>
  </w:style>
  <w:style w:type="character" w:customStyle="1" w:styleId="13">
    <w:name w:val="标题 3 字符"/>
    <w:basedOn w:val="8"/>
    <w:link w:val="2"/>
    <w:qFormat/>
    <w:uiPriority w:val="9"/>
    <w:rPr>
      <w:rFonts w:ascii="Calibri" w:hAnsi="Calibri" w:eastAsia="宋体" w:cs="Times New Roman"/>
      <w:b/>
      <w:bCs/>
      <w:sz w:val="32"/>
      <w:szCs w:val="32"/>
    </w:rPr>
  </w:style>
  <w:style w:type="character" w:customStyle="1" w:styleId="14">
    <w:name w:val="批注文字 字符"/>
    <w:basedOn w:val="8"/>
    <w:link w:val="4"/>
    <w:semiHidden/>
    <w:qFormat/>
    <w:uiPriority w:val="99"/>
    <w:rPr>
      <w:rFonts w:ascii="Calibri" w:hAnsi="Calibri" w:eastAsia="宋体" w:cs="Times New Roman"/>
    </w:rPr>
  </w:style>
  <w:style w:type="character" w:customStyle="1" w:styleId="15">
    <w:name w:val="批注主题 字符"/>
    <w:basedOn w:val="14"/>
    <w:link w:val="3"/>
    <w:semiHidden/>
    <w:qFormat/>
    <w:uiPriority w:val="99"/>
    <w:rPr>
      <w:rFonts w:ascii="Calibri" w:hAnsi="Calibri" w:eastAsia="宋体" w:cs="Times New Roman"/>
      <w:b/>
      <w:bCs/>
    </w:rPr>
  </w:style>
  <w:style w:type="character" w:customStyle="1" w:styleId="16">
    <w:name w:val="批注框文本 字符"/>
    <w:basedOn w:val="8"/>
    <w:link w:val="5"/>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1035</Words>
  <Characters>5901</Characters>
  <Lines>49</Lines>
  <Paragraphs>13</Paragraphs>
  <TotalTime>6</TotalTime>
  <ScaleCrop>false</ScaleCrop>
  <LinksUpToDate>false</LinksUpToDate>
  <CharactersWithSpaces>6923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2019-06-21T02:59:00Z</dcterms:created>
  <dc:creator>dell</dc:creator>
  <cp:lastModifiedBy>dell</cp:lastModifiedBy>
  <dcterms:modified xsi:type="dcterms:W3CDTF">2020-07-24T08:03:18Z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