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ascii="黑体" w:hAnsi="黑体" w:eastAsia="黑体"/>
          <w:b/>
          <w:sz w:val="48"/>
          <w:szCs w:val="48"/>
        </w:rPr>
      </w:pPr>
    </w:p>
    <w:p>
      <w:pPr>
        <w:spacing w:line="360" w:lineRule="auto"/>
        <w:ind w:firstLine="0" w:firstLineChars="0"/>
        <w:jc w:val="center"/>
        <w:rPr>
          <w:rFonts w:ascii="黑体" w:hAnsi="黑体" w:eastAsia="黑体"/>
          <w:b/>
          <w:sz w:val="48"/>
          <w:szCs w:val="48"/>
        </w:rPr>
      </w:pPr>
    </w:p>
    <w:p>
      <w:pPr>
        <w:spacing w:line="360" w:lineRule="auto"/>
        <w:ind w:firstLine="0" w:firstLineChars="0"/>
        <w:jc w:val="center"/>
        <w:rPr>
          <w:rFonts w:ascii="黑体" w:hAnsi="黑体" w:eastAsia="黑体"/>
          <w:b/>
          <w:sz w:val="48"/>
          <w:szCs w:val="48"/>
        </w:rPr>
      </w:pPr>
    </w:p>
    <w:p>
      <w:pPr>
        <w:ind w:firstLine="0" w:firstLineChars="0"/>
        <w:jc w:val="center"/>
        <w:rPr>
          <w:rFonts w:ascii="黑体" w:hAnsi="黑体" w:eastAsia="黑体" w:cs="黑体"/>
          <w:b/>
          <w:bCs/>
          <w:sz w:val="44"/>
          <w:szCs w:val="44"/>
        </w:rPr>
      </w:pPr>
      <w:r>
        <w:rPr>
          <w:rFonts w:hint="eastAsia" w:ascii="黑体" w:hAnsi="黑体" w:eastAsia="黑体" w:cs="黑体"/>
          <w:b/>
          <w:bCs/>
          <w:sz w:val="44"/>
          <w:szCs w:val="44"/>
        </w:rPr>
        <w:t>海淀区四季青镇普安店地面塌陷地质灾害</w:t>
      </w:r>
    </w:p>
    <w:p>
      <w:pPr>
        <w:ind w:firstLine="0" w:firstLineChars="0"/>
        <w:jc w:val="center"/>
        <w:rPr>
          <w:rFonts w:ascii="黑体" w:hAnsi="黑体" w:eastAsia="黑体" w:cs="黑体"/>
          <w:sz w:val="44"/>
          <w:szCs w:val="44"/>
        </w:rPr>
      </w:pPr>
      <w:r>
        <w:rPr>
          <w:rFonts w:hint="eastAsia" w:ascii="黑体" w:hAnsi="黑体" w:eastAsia="黑体" w:cs="黑体"/>
          <w:b/>
          <w:bCs/>
          <w:sz w:val="44"/>
          <w:szCs w:val="44"/>
        </w:rPr>
        <w:t>隐患点治理工作-监测预警工程建设监理</w:t>
      </w:r>
    </w:p>
    <w:p>
      <w:pPr>
        <w:spacing w:line="360" w:lineRule="auto"/>
        <w:ind w:firstLine="0" w:firstLineChars="0"/>
        <w:jc w:val="center"/>
        <w:rPr>
          <w:rFonts w:ascii="黑体" w:hAnsi="黑体" w:eastAsia="黑体" w:cs="黑体"/>
          <w:b/>
          <w:sz w:val="48"/>
          <w:szCs w:val="48"/>
        </w:rPr>
      </w:pPr>
    </w:p>
    <w:p>
      <w:pPr>
        <w:spacing w:line="360" w:lineRule="auto"/>
        <w:ind w:firstLine="0" w:firstLineChars="0"/>
        <w:jc w:val="center"/>
        <w:rPr>
          <w:rFonts w:ascii="黑体" w:hAnsi="黑体" w:eastAsia="黑体" w:cs="黑体"/>
          <w:b/>
          <w:sz w:val="72"/>
          <w:szCs w:val="72"/>
        </w:rPr>
      </w:pPr>
      <w:r>
        <w:rPr>
          <w:rFonts w:hint="eastAsia" w:ascii="黑体" w:hAnsi="黑体" w:eastAsia="黑体" w:cs="黑体"/>
          <w:b/>
          <w:sz w:val="72"/>
          <w:szCs w:val="72"/>
        </w:rPr>
        <w:t>比 选 文 件</w:t>
      </w:r>
    </w:p>
    <w:p>
      <w:pPr>
        <w:spacing w:line="360" w:lineRule="auto"/>
        <w:ind w:firstLine="0" w:firstLineChars="0"/>
        <w:jc w:val="center"/>
        <w:rPr>
          <w:rFonts w:ascii="黑体" w:hAnsi="黑体" w:eastAsia="黑体" w:cs="黑体"/>
          <w:b/>
          <w:sz w:val="84"/>
          <w:szCs w:val="84"/>
        </w:rPr>
      </w:pPr>
    </w:p>
    <w:p>
      <w:pPr>
        <w:spacing w:line="360" w:lineRule="auto"/>
        <w:ind w:firstLine="0" w:firstLineChars="0"/>
        <w:jc w:val="center"/>
        <w:rPr>
          <w:rFonts w:ascii="黑体" w:hAnsi="黑体" w:eastAsia="黑体" w:cs="黑体"/>
          <w:b/>
          <w:sz w:val="84"/>
          <w:szCs w:val="84"/>
        </w:rPr>
      </w:pPr>
    </w:p>
    <w:p>
      <w:pPr>
        <w:spacing w:line="360" w:lineRule="auto"/>
        <w:ind w:firstLine="0" w:firstLineChars="0"/>
        <w:jc w:val="center"/>
        <w:rPr>
          <w:rFonts w:ascii="黑体" w:hAnsi="黑体" w:eastAsia="黑体" w:cs="黑体"/>
          <w:b/>
          <w:sz w:val="84"/>
          <w:szCs w:val="84"/>
        </w:rPr>
      </w:pPr>
    </w:p>
    <w:p>
      <w:pPr>
        <w:spacing w:line="360" w:lineRule="auto"/>
        <w:ind w:firstLine="0" w:firstLineChars="0"/>
        <w:rPr>
          <w:rFonts w:ascii="黑体" w:hAnsi="黑体" w:eastAsia="黑体" w:cs="黑体"/>
          <w:b/>
          <w:sz w:val="84"/>
          <w:szCs w:val="84"/>
        </w:rPr>
      </w:pPr>
    </w:p>
    <w:p>
      <w:pPr>
        <w:spacing w:line="360" w:lineRule="auto"/>
        <w:ind w:firstLine="0" w:firstLineChars="0"/>
        <w:rPr>
          <w:rFonts w:ascii="黑体" w:hAnsi="黑体" w:eastAsia="黑体" w:cs="黑体"/>
          <w:b/>
          <w:sz w:val="84"/>
          <w:szCs w:val="84"/>
        </w:rPr>
      </w:pPr>
    </w:p>
    <w:p>
      <w:pPr>
        <w:spacing w:line="360" w:lineRule="auto"/>
        <w:ind w:firstLine="0" w:firstLineChars="0"/>
        <w:jc w:val="center"/>
        <w:rPr>
          <w:rFonts w:ascii="黑体" w:hAnsi="黑体" w:eastAsia="黑体" w:cs="黑体"/>
          <w:b/>
          <w:szCs w:val="32"/>
        </w:rPr>
      </w:pPr>
      <w:r>
        <w:rPr>
          <w:rFonts w:hint="eastAsia" w:ascii="黑体" w:hAnsi="黑体" w:eastAsia="黑体" w:cs="黑体"/>
          <w:b/>
          <w:szCs w:val="24"/>
        </w:rPr>
        <w:t>比选人:</w:t>
      </w:r>
      <w:r>
        <w:fldChar w:fldCharType="begin"/>
      </w:r>
      <w:r>
        <w:instrText xml:space="preserve"> HYPERLINK "https://mp.weixin.qq.com/s?__biz=MzA5NTUzOTYxNQ==&amp;idx=1&amp;mid=2651036293&amp;sn=c80509c02678295538855a20583251e5" \t "https://www.so.com/_blank" </w:instrText>
      </w:r>
      <w:r>
        <w:fldChar w:fldCharType="separate"/>
      </w:r>
      <w:r>
        <w:rPr>
          <w:rFonts w:hint="eastAsia" w:ascii="黑体" w:hAnsi="黑体" w:eastAsia="黑体" w:cs="黑体"/>
          <w:b/>
          <w:szCs w:val="24"/>
        </w:rPr>
        <w:t>北京市规划和自然资源委员会海淀分局</w:t>
      </w:r>
      <w:r>
        <w:rPr>
          <w:rFonts w:hint="eastAsia" w:ascii="黑体" w:hAnsi="黑体" w:eastAsia="黑体" w:cs="黑体"/>
          <w:b/>
          <w:szCs w:val="24"/>
        </w:rPr>
        <w:fldChar w:fldCharType="end"/>
      </w:r>
    </w:p>
    <w:p>
      <w:pPr>
        <w:spacing w:line="360" w:lineRule="auto"/>
        <w:ind w:firstLine="0" w:firstLineChars="0"/>
        <w:rPr>
          <w:rFonts w:ascii="黑体" w:hAnsi="黑体" w:eastAsia="黑体" w:cs="黑体"/>
          <w:b/>
          <w:szCs w:val="24"/>
        </w:rPr>
      </w:pPr>
    </w:p>
    <w:p>
      <w:pPr>
        <w:spacing w:line="360" w:lineRule="auto"/>
        <w:ind w:firstLine="1308" w:firstLineChars="545"/>
        <w:rPr>
          <w:rFonts w:ascii="黑体" w:hAnsi="黑体" w:eastAsia="黑体" w:cs="黑体"/>
          <w:sz w:val="24"/>
          <w:szCs w:val="24"/>
        </w:rPr>
      </w:pPr>
      <w:r>
        <w:rPr>
          <w:rFonts w:hint="eastAsia" w:ascii="黑体" w:hAnsi="黑体" w:eastAsia="黑体" w:cs="黑体"/>
          <w:sz w:val="24"/>
          <w:szCs w:val="24"/>
        </w:rPr>
        <w:t xml:space="preserve">           </w:t>
      </w:r>
    </w:p>
    <w:p>
      <w:pPr>
        <w:spacing w:line="360" w:lineRule="auto"/>
        <w:ind w:firstLine="1308" w:firstLineChars="545"/>
        <w:rPr>
          <w:rFonts w:ascii="黑体" w:hAnsi="黑体" w:eastAsia="黑体" w:cs="黑体"/>
          <w:sz w:val="24"/>
          <w:szCs w:val="24"/>
        </w:rPr>
      </w:pPr>
    </w:p>
    <w:p>
      <w:pPr>
        <w:spacing w:line="360" w:lineRule="auto"/>
        <w:ind w:firstLine="0" w:firstLineChars="0"/>
        <w:jc w:val="center"/>
        <w:rPr>
          <w:rFonts w:ascii="黑体" w:hAnsi="黑体" w:eastAsia="黑体" w:cs="黑体"/>
          <w:b/>
          <w:szCs w:val="24"/>
        </w:rPr>
      </w:pPr>
      <w:r>
        <w:rPr>
          <w:rFonts w:hint="eastAsia" w:ascii="黑体" w:hAnsi="黑体" w:eastAsia="黑体" w:cs="黑体"/>
          <w:b/>
          <w:szCs w:val="24"/>
          <w:u w:val="single"/>
        </w:rPr>
        <w:t xml:space="preserve">  2025  </w:t>
      </w:r>
      <w:r>
        <w:rPr>
          <w:rFonts w:hint="eastAsia" w:ascii="黑体" w:hAnsi="黑体" w:eastAsia="黑体" w:cs="黑体"/>
          <w:b/>
          <w:szCs w:val="24"/>
        </w:rPr>
        <w:t>年</w:t>
      </w:r>
      <w:r>
        <w:rPr>
          <w:rFonts w:hint="eastAsia" w:ascii="黑体" w:hAnsi="黑体" w:eastAsia="黑体" w:cs="黑体"/>
          <w:b/>
          <w:szCs w:val="24"/>
          <w:u w:val="single"/>
        </w:rPr>
        <w:t xml:space="preserve">  9  </w:t>
      </w:r>
      <w:r>
        <w:rPr>
          <w:rFonts w:hint="eastAsia" w:ascii="黑体" w:hAnsi="黑体" w:eastAsia="黑体" w:cs="黑体"/>
          <w:b/>
          <w:szCs w:val="24"/>
        </w:rPr>
        <w:t>月</w:t>
      </w:r>
    </w:p>
    <w:p>
      <w:pPr>
        <w:ind w:firstLine="199" w:firstLineChars="62"/>
        <w:jc w:val="center"/>
        <w:rPr>
          <w:rFonts w:ascii="宋体" w:hAnsi="宋体" w:eastAsia="宋体" w:cs="宋体"/>
          <w:sz w:val="30"/>
          <w:szCs w:val="30"/>
        </w:rPr>
      </w:pPr>
      <w:r>
        <w:rPr>
          <w:rFonts w:ascii="黑体" w:hAnsi="宋体" w:eastAsia="黑体"/>
          <w:b/>
          <w:szCs w:val="24"/>
        </w:rPr>
        <w:br w:type="page"/>
      </w:r>
      <w:r>
        <w:rPr>
          <w:rFonts w:hint="eastAsia" w:ascii="黑体" w:hAnsi="黑体" w:eastAsia="黑体" w:cs="黑体"/>
          <w:szCs w:val="32"/>
        </w:rPr>
        <w:t>目  录</w:t>
      </w:r>
    </w:p>
    <w:p>
      <w:pPr>
        <w:pStyle w:val="12"/>
        <w:tabs>
          <w:tab w:val="right" w:leader="dot" w:pos="8296"/>
        </w:tabs>
        <w:ind w:firstLine="600"/>
        <w:rPr>
          <w:rFonts w:ascii="仿宋_GB2312" w:eastAsia="仿宋_GB2312"/>
          <w:szCs w:val="32"/>
        </w:rPr>
      </w:pPr>
      <w:r>
        <w:rPr>
          <w:rFonts w:hint="eastAsia" w:ascii="宋体" w:hAnsi="宋体" w:eastAsia="宋体" w:cs="宋体"/>
          <w:kern w:val="0"/>
          <w:sz w:val="30"/>
          <w:szCs w:val="30"/>
        </w:rPr>
        <w:fldChar w:fldCharType="begin"/>
      </w:r>
      <w:r>
        <w:rPr>
          <w:rFonts w:hint="eastAsia" w:ascii="宋体" w:hAnsi="宋体" w:eastAsia="宋体" w:cs="宋体"/>
          <w:sz w:val="30"/>
          <w:szCs w:val="30"/>
        </w:rPr>
        <w:instrText xml:space="preserve">TOC \o "1-3" \h \u </w:instrText>
      </w:r>
      <w:r>
        <w:rPr>
          <w:rFonts w:hint="eastAsia" w:ascii="宋体" w:hAnsi="宋体" w:eastAsia="宋体" w:cs="宋体"/>
          <w:kern w:val="0"/>
          <w:sz w:val="30"/>
          <w:szCs w:val="30"/>
        </w:rPr>
        <w:fldChar w:fldCharType="separate"/>
      </w:r>
      <w:r>
        <w:fldChar w:fldCharType="begin"/>
      </w:r>
      <w:r>
        <w:instrText xml:space="preserve"> HYPERLINK \l "_Toc208314394" </w:instrText>
      </w:r>
      <w:r>
        <w:fldChar w:fldCharType="separate"/>
      </w:r>
      <w:r>
        <w:rPr>
          <w:rFonts w:hint="eastAsia" w:ascii="仿宋_GB2312" w:eastAsia="仿宋_GB2312"/>
          <w:szCs w:val="32"/>
        </w:rPr>
        <w:t>第一章 海淀区四季青镇普安店地面塌陷地质灾害隐患点治理工作-监测预警工程建设监理比选公告</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_Toc208314394 \h </w:instrText>
      </w:r>
      <w:r>
        <w:rPr>
          <w:rFonts w:hint="eastAsia" w:ascii="仿宋_GB2312" w:eastAsia="仿宋_GB2312"/>
          <w:szCs w:val="32"/>
        </w:rPr>
        <w:fldChar w:fldCharType="separate"/>
      </w:r>
      <w:r>
        <w:rPr>
          <w:rFonts w:hint="eastAsia" w:ascii="仿宋_GB2312" w:eastAsia="仿宋_GB2312"/>
          <w:szCs w:val="32"/>
        </w:rPr>
        <w:t>1</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"_Toc208314395" </w:instrText>
      </w:r>
      <w:r>
        <w:fldChar w:fldCharType="separate"/>
      </w:r>
      <w:r>
        <w:rPr>
          <w:rFonts w:hint="eastAsia" w:ascii="仿宋_GB2312" w:eastAsia="仿宋_GB2312"/>
          <w:szCs w:val="32"/>
        </w:rPr>
        <w:t>一、项目概况</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_Toc208314395 \h </w:instrText>
      </w:r>
      <w:r>
        <w:rPr>
          <w:rFonts w:hint="eastAsia" w:ascii="仿宋_GB2312" w:eastAsia="仿宋_GB2312"/>
          <w:szCs w:val="32"/>
        </w:rPr>
        <w:fldChar w:fldCharType="separate"/>
      </w:r>
      <w:r>
        <w:rPr>
          <w:rFonts w:hint="eastAsia" w:ascii="仿宋_GB2312" w:eastAsia="仿宋_GB2312"/>
          <w:szCs w:val="32"/>
        </w:rPr>
        <w:t>1</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"_Toc208314396" </w:instrText>
      </w:r>
      <w:r>
        <w:fldChar w:fldCharType="separate"/>
      </w:r>
      <w:r>
        <w:rPr>
          <w:rFonts w:hint="eastAsia" w:ascii="仿宋_GB2312" w:eastAsia="仿宋_GB2312"/>
          <w:szCs w:val="32"/>
        </w:rPr>
        <w:t>二、预算金额</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_Toc208314396 \h </w:instrText>
      </w:r>
      <w:r>
        <w:rPr>
          <w:rFonts w:hint="eastAsia" w:ascii="仿宋_GB2312" w:eastAsia="仿宋_GB2312"/>
          <w:szCs w:val="32"/>
        </w:rPr>
        <w:fldChar w:fldCharType="separate"/>
      </w:r>
      <w:r>
        <w:rPr>
          <w:rFonts w:hint="eastAsia" w:ascii="仿宋_GB2312" w:eastAsia="仿宋_GB2312"/>
          <w:szCs w:val="32"/>
        </w:rPr>
        <w:t>2</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"_Toc208314397" </w:instrText>
      </w:r>
      <w:r>
        <w:fldChar w:fldCharType="separate"/>
      </w:r>
      <w:r>
        <w:rPr>
          <w:rFonts w:hint="eastAsia" w:ascii="仿宋_GB2312" w:eastAsia="仿宋_GB2312"/>
          <w:szCs w:val="32"/>
        </w:rPr>
        <w:t>三、项目执行时间</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_Toc208314397 \h </w:instrText>
      </w:r>
      <w:r>
        <w:rPr>
          <w:rFonts w:hint="eastAsia" w:ascii="仿宋_GB2312" w:eastAsia="仿宋_GB2312"/>
          <w:szCs w:val="32"/>
        </w:rPr>
        <w:fldChar w:fldCharType="separate"/>
      </w:r>
      <w:r>
        <w:rPr>
          <w:rFonts w:hint="eastAsia" w:ascii="仿宋_GB2312" w:eastAsia="仿宋_GB2312"/>
          <w:szCs w:val="32"/>
        </w:rPr>
        <w:t>2</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"_Toc208314398" </w:instrText>
      </w:r>
      <w:r>
        <w:fldChar w:fldCharType="separate"/>
      </w:r>
      <w:r>
        <w:rPr>
          <w:rFonts w:hint="eastAsia" w:ascii="仿宋_GB2312" w:eastAsia="仿宋_GB2312"/>
          <w:szCs w:val="32"/>
        </w:rPr>
        <w:t>四、比选内容</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_Toc208314398 \h </w:instrText>
      </w:r>
      <w:r>
        <w:rPr>
          <w:rFonts w:hint="eastAsia" w:ascii="仿宋_GB2312" w:eastAsia="仿宋_GB2312"/>
          <w:szCs w:val="32"/>
        </w:rPr>
        <w:fldChar w:fldCharType="separate"/>
      </w:r>
      <w:r>
        <w:rPr>
          <w:rFonts w:hint="eastAsia" w:ascii="仿宋_GB2312" w:eastAsia="仿宋_GB2312"/>
          <w:szCs w:val="32"/>
        </w:rPr>
        <w:t>2</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"_Toc208314399" </w:instrText>
      </w:r>
      <w:r>
        <w:fldChar w:fldCharType="separate"/>
      </w:r>
      <w:r>
        <w:rPr>
          <w:rFonts w:hint="eastAsia" w:ascii="仿宋_GB2312" w:eastAsia="仿宋_GB2312"/>
          <w:szCs w:val="32"/>
        </w:rPr>
        <w:t>五、比选单位资格要求</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_Toc208314399 \h </w:instrText>
      </w:r>
      <w:r>
        <w:rPr>
          <w:rFonts w:hint="eastAsia" w:ascii="仿宋_GB2312" w:eastAsia="仿宋_GB2312"/>
          <w:szCs w:val="32"/>
        </w:rPr>
        <w:fldChar w:fldCharType="separate"/>
      </w:r>
      <w:r>
        <w:rPr>
          <w:rFonts w:hint="eastAsia" w:ascii="仿宋_GB2312" w:eastAsia="仿宋_GB2312"/>
          <w:szCs w:val="32"/>
        </w:rPr>
        <w:t>3</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"_Toc208314400" </w:instrText>
      </w:r>
      <w:r>
        <w:fldChar w:fldCharType="separate"/>
      </w:r>
      <w:r>
        <w:rPr>
          <w:rFonts w:hint="eastAsia" w:ascii="仿宋_GB2312" w:eastAsia="仿宋_GB2312"/>
          <w:szCs w:val="32"/>
        </w:rPr>
        <w:t>六、比选文件的获取</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_Toc208314400 \h </w:instrText>
      </w:r>
      <w:r>
        <w:rPr>
          <w:rFonts w:hint="eastAsia" w:ascii="仿宋_GB2312" w:eastAsia="仿宋_GB2312"/>
          <w:szCs w:val="32"/>
        </w:rPr>
        <w:fldChar w:fldCharType="separate"/>
      </w:r>
      <w:r>
        <w:rPr>
          <w:rFonts w:hint="eastAsia" w:ascii="仿宋_GB2312" w:eastAsia="仿宋_GB2312"/>
          <w:szCs w:val="32"/>
        </w:rPr>
        <w:t>3</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"_Toc208314401" </w:instrText>
      </w:r>
      <w:r>
        <w:fldChar w:fldCharType="separate"/>
      </w:r>
      <w:r>
        <w:rPr>
          <w:rFonts w:hint="eastAsia" w:ascii="仿宋_GB2312" w:eastAsia="仿宋_GB2312"/>
          <w:szCs w:val="32"/>
        </w:rPr>
        <w:t>七、比选申请书的递交</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_Toc208314401 \h </w:instrText>
      </w:r>
      <w:r>
        <w:rPr>
          <w:rFonts w:hint="eastAsia" w:ascii="仿宋_GB2312" w:eastAsia="仿宋_GB2312"/>
          <w:szCs w:val="32"/>
        </w:rPr>
        <w:fldChar w:fldCharType="separate"/>
      </w:r>
      <w:r>
        <w:rPr>
          <w:rFonts w:hint="eastAsia" w:ascii="仿宋_GB2312" w:eastAsia="仿宋_GB2312"/>
          <w:szCs w:val="32"/>
        </w:rPr>
        <w:t>3</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"_Toc208314402" </w:instrText>
      </w:r>
      <w:r>
        <w:fldChar w:fldCharType="separate"/>
      </w:r>
      <w:r>
        <w:rPr>
          <w:rFonts w:hint="eastAsia" w:ascii="仿宋_GB2312" w:eastAsia="仿宋_GB2312"/>
          <w:szCs w:val="32"/>
        </w:rPr>
        <w:t>八、联系方式</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_Toc208314402 \h </w:instrText>
      </w:r>
      <w:r>
        <w:rPr>
          <w:rFonts w:hint="eastAsia" w:ascii="仿宋_GB2312" w:eastAsia="仿宋_GB2312"/>
          <w:szCs w:val="32"/>
        </w:rPr>
        <w:fldChar w:fldCharType="separate"/>
      </w:r>
      <w:r>
        <w:rPr>
          <w:rFonts w:hint="eastAsia" w:ascii="仿宋_GB2312" w:eastAsia="仿宋_GB2312"/>
          <w:szCs w:val="32"/>
        </w:rPr>
        <w:t>4</w:t>
      </w:r>
      <w:r>
        <w:rPr>
          <w:rFonts w:hint="eastAsia" w:ascii="仿宋_GB2312" w:eastAsia="仿宋_GB2312"/>
          <w:szCs w:val="32"/>
        </w:rPr>
        <w:fldChar w:fldCharType="end"/>
      </w:r>
      <w:r>
        <w:rPr>
          <w:rFonts w:hint="eastAsia" w:ascii="仿宋_GB2312" w:eastAsia="仿宋_GB2312"/>
          <w:szCs w:val="32"/>
        </w:rPr>
        <w:fldChar w:fldCharType="end"/>
      </w:r>
    </w:p>
    <w:p>
      <w:pPr>
        <w:pStyle w:val="12"/>
        <w:tabs>
          <w:tab w:val="right" w:leader="dot" w:pos="8296"/>
        </w:tabs>
        <w:ind w:firstLine="640"/>
        <w:rPr>
          <w:rFonts w:ascii="仿宋_GB2312" w:eastAsia="仿宋_GB2312"/>
          <w:szCs w:val="32"/>
        </w:rPr>
      </w:pPr>
      <w:r>
        <w:fldChar w:fldCharType="begin"/>
      </w:r>
      <w:r>
        <w:instrText xml:space="preserve"> HYPERLINK \l "_Toc208314403" </w:instrText>
      </w:r>
      <w:r>
        <w:fldChar w:fldCharType="separate"/>
      </w:r>
      <w:r>
        <w:rPr>
          <w:rFonts w:hint="eastAsia" w:ascii="仿宋_GB2312" w:eastAsia="仿宋_GB2312"/>
          <w:szCs w:val="32"/>
        </w:rPr>
        <w:t>第二章  评审方法</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_Toc208314403 \h </w:instrText>
      </w:r>
      <w:r>
        <w:rPr>
          <w:rFonts w:hint="eastAsia" w:ascii="仿宋_GB2312" w:eastAsia="仿宋_GB2312"/>
          <w:szCs w:val="32"/>
        </w:rPr>
        <w:fldChar w:fldCharType="separate"/>
      </w:r>
      <w:r>
        <w:rPr>
          <w:rFonts w:hint="eastAsia" w:ascii="仿宋_GB2312" w:eastAsia="仿宋_GB2312"/>
          <w:szCs w:val="32"/>
        </w:rPr>
        <w:t>5</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"_Toc208314404" </w:instrText>
      </w:r>
      <w:r>
        <w:fldChar w:fldCharType="separate"/>
      </w:r>
      <w:r>
        <w:rPr>
          <w:rFonts w:hint="eastAsia" w:ascii="仿宋_GB2312" w:eastAsia="仿宋_GB2312"/>
          <w:szCs w:val="32"/>
        </w:rPr>
        <w:t>一、比选方法</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_Toc208314404 \h </w:instrText>
      </w:r>
      <w:r>
        <w:rPr>
          <w:rFonts w:hint="eastAsia" w:ascii="仿宋_GB2312" w:eastAsia="仿宋_GB2312"/>
          <w:szCs w:val="32"/>
        </w:rPr>
        <w:fldChar w:fldCharType="separate"/>
      </w:r>
      <w:r>
        <w:rPr>
          <w:rFonts w:hint="eastAsia" w:ascii="仿宋_GB2312" w:eastAsia="仿宋_GB2312"/>
          <w:szCs w:val="32"/>
        </w:rPr>
        <w:t>5</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"_Toc208314405" </w:instrText>
      </w:r>
      <w:r>
        <w:fldChar w:fldCharType="separate"/>
      </w:r>
      <w:r>
        <w:rPr>
          <w:rFonts w:hint="eastAsia" w:ascii="仿宋_GB2312" w:eastAsia="仿宋_GB2312"/>
          <w:szCs w:val="32"/>
        </w:rPr>
        <w:t>二、比选依据</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_Toc208314405 \h </w:instrText>
      </w:r>
      <w:r>
        <w:rPr>
          <w:rFonts w:hint="eastAsia" w:ascii="仿宋_GB2312" w:eastAsia="仿宋_GB2312"/>
          <w:szCs w:val="32"/>
        </w:rPr>
        <w:fldChar w:fldCharType="separate"/>
      </w:r>
      <w:r>
        <w:rPr>
          <w:rFonts w:hint="eastAsia" w:ascii="仿宋_GB2312" w:eastAsia="仿宋_GB2312"/>
          <w:szCs w:val="32"/>
        </w:rPr>
        <w:t>5</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"_Toc208314406" </w:instrText>
      </w:r>
      <w:r>
        <w:fldChar w:fldCharType="separate"/>
      </w:r>
      <w:r>
        <w:rPr>
          <w:rFonts w:hint="eastAsia" w:ascii="仿宋_GB2312" w:eastAsia="仿宋_GB2312"/>
          <w:szCs w:val="32"/>
        </w:rPr>
        <w:t>三、比选程序</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_Toc208314406 \h </w:instrText>
      </w:r>
      <w:r>
        <w:rPr>
          <w:rFonts w:hint="eastAsia" w:ascii="仿宋_GB2312" w:eastAsia="仿宋_GB2312"/>
          <w:szCs w:val="32"/>
        </w:rPr>
        <w:fldChar w:fldCharType="separate"/>
      </w:r>
      <w:r>
        <w:rPr>
          <w:rFonts w:hint="eastAsia" w:ascii="仿宋_GB2312" w:eastAsia="仿宋_GB2312"/>
          <w:szCs w:val="32"/>
        </w:rPr>
        <w:t>5</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"_Toc208314407" </w:instrText>
      </w:r>
      <w:r>
        <w:fldChar w:fldCharType="separate"/>
      </w:r>
      <w:r>
        <w:rPr>
          <w:rFonts w:hint="eastAsia" w:ascii="仿宋_GB2312" w:eastAsia="仿宋_GB2312"/>
          <w:szCs w:val="32"/>
        </w:rPr>
        <w:t>四、比选标准</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_Toc208314407 \h </w:instrText>
      </w:r>
      <w:r>
        <w:rPr>
          <w:rFonts w:hint="eastAsia" w:ascii="仿宋_GB2312" w:eastAsia="仿宋_GB2312"/>
          <w:szCs w:val="32"/>
        </w:rPr>
        <w:fldChar w:fldCharType="separate"/>
      </w:r>
      <w:r>
        <w:rPr>
          <w:rFonts w:hint="eastAsia" w:ascii="仿宋_GB2312" w:eastAsia="仿宋_GB2312"/>
          <w:szCs w:val="32"/>
        </w:rPr>
        <w:t>7</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"_Toc208314408" </w:instrText>
      </w:r>
      <w:r>
        <w:fldChar w:fldCharType="separate"/>
      </w:r>
      <w:r>
        <w:rPr>
          <w:rFonts w:hint="eastAsia" w:ascii="仿宋_GB2312" w:eastAsia="仿宋_GB2312"/>
          <w:szCs w:val="32"/>
        </w:rPr>
        <w:t>五、保密及其他注意事项</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_Toc208314408 \h </w:instrText>
      </w:r>
      <w:r>
        <w:rPr>
          <w:rFonts w:hint="eastAsia" w:ascii="仿宋_GB2312" w:eastAsia="仿宋_GB2312"/>
          <w:szCs w:val="32"/>
        </w:rPr>
        <w:fldChar w:fldCharType="separate"/>
      </w:r>
      <w:r>
        <w:rPr>
          <w:rFonts w:hint="eastAsia" w:ascii="仿宋_GB2312" w:eastAsia="仿宋_GB2312"/>
          <w:szCs w:val="32"/>
        </w:rPr>
        <w:t>11</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"_Toc208314409" </w:instrText>
      </w:r>
      <w:r>
        <w:fldChar w:fldCharType="separate"/>
      </w:r>
      <w:r>
        <w:rPr>
          <w:rFonts w:hint="eastAsia" w:ascii="仿宋_GB2312" w:eastAsia="仿宋_GB2312"/>
          <w:szCs w:val="32"/>
        </w:rPr>
        <w:t>六、无效比选条款</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_Toc208314409 \h </w:instrText>
      </w:r>
      <w:r>
        <w:rPr>
          <w:rFonts w:hint="eastAsia" w:ascii="仿宋_GB2312" w:eastAsia="仿宋_GB2312"/>
          <w:szCs w:val="32"/>
        </w:rPr>
        <w:fldChar w:fldCharType="separate"/>
      </w:r>
      <w:r>
        <w:rPr>
          <w:rFonts w:hint="eastAsia" w:ascii="仿宋_GB2312" w:eastAsia="仿宋_GB2312"/>
          <w:szCs w:val="32"/>
        </w:rPr>
        <w:t>11</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"_Toc208314410" </w:instrText>
      </w:r>
      <w:r>
        <w:fldChar w:fldCharType="separate"/>
      </w:r>
      <w:r>
        <w:rPr>
          <w:rFonts w:hint="eastAsia" w:ascii="仿宋_GB2312" w:eastAsia="仿宋_GB2312"/>
          <w:szCs w:val="32"/>
        </w:rPr>
        <w:t>七、废标条款</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_Toc208314410 \h </w:instrText>
      </w:r>
      <w:r>
        <w:rPr>
          <w:rFonts w:hint="eastAsia" w:ascii="仿宋_GB2312" w:eastAsia="仿宋_GB2312"/>
          <w:szCs w:val="32"/>
        </w:rPr>
        <w:fldChar w:fldCharType="separate"/>
      </w:r>
      <w:r>
        <w:rPr>
          <w:rFonts w:hint="eastAsia" w:ascii="仿宋_GB2312" w:eastAsia="仿宋_GB2312"/>
          <w:szCs w:val="32"/>
        </w:rPr>
        <w:t>11</w:t>
      </w:r>
      <w:r>
        <w:rPr>
          <w:rFonts w:hint="eastAsia" w:ascii="仿宋_GB2312" w:eastAsia="仿宋_GB2312"/>
          <w:szCs w:val="32"/>
        </w:rPr>
        <w:fldChar w:fldCharType="end"/>
      </w:r>
      <w:r>
        <w:rPr>
          <w:rFonts w:hint="eastAsia" w:ascii="仿宋_GB2312" w:eastAsia="仿宋_GB2312"/>
          <w:szCs w:val="32"/>
        </w:rPr>
        <w:fldChar w:fldCharType="end"/>
      </w:r>
    </w:p>
    <w:p>
      <w:pPr>
        <w:pStyle w:val="12"/>
        <w:tabs>
          <w:tab w:val="right" w:leader="dot" w:pos="8296"/>
        </w:tabs>
        <w:ind w:firstLine="640"/>
        <w:rPr>
          <w:rFonts w:ascii="仿宋_GB2312" w:eastAsia="仿宋_GB2312"/>
          <w:szCs w:val="32"/>
        </w:rPr>
      </w:pPr>
      <w:r>
        <w:fldChar w:fldCharType="begin"/>
      </w:r>
      <w:r>
        <w:instrText xml:space="preserve"> HYPERLINK \l "_Toc208314411" </w:instrText>
      </w:r>
      <w:r>
        <w:fldChar w:fldCharType="separate"/>
      </w:r>
      <w:r>
        <w:rPr>
          <w:rFonts w:hint="eastAsia" w:ascii="仿宋_GB2312" w:eastAsia="仿宋_GB2312"/>
          <w:szCs w:val="32"/>
        </w:rPr>
        <w:t>第三章  比选申请书主要格式</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_Toc208314411 \h </w:instrText>
      </w:r>
      <w:r>
        <w:rPr>
          <w:rFonts w:hint="eastAsia" w:ascii="仿宋_GB2312" w:eastAsia="仿宋_GB2312"/>
          <w:szCs w:val="32"/>
        </w:rPr>
        <w:fldChar w:fldCharType="separate"/>
      </w:r>
      <w:r>
        <w:rPr>
          <w:rFonts w:hint="eastAsia" w:ascii="仿宋_GB2312" w:eastAsia="仿宋_GB2312"/>
          <w:szCs w:val="32"/>
        </w:rPr>
        <w:t>12</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"_Toc208314412" </w:instrText>
      </w:r>
      <w:r>
        <w:fldChar w:fldCharType="separate"/>
      </w:r>
      <w:r>
        <w:rPr>
          <w:rFonts w:hint="eastAsia" w:ascii="仿宋_GB2312" w:eastAsia="仿宋_GB2312"/>
          <w:szCs w:val="32"/>
        </w:rPr>
        <w:t>一、比选确认函</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_Toc208314412 \h </w:instrText>
      </w:r>
      <w:r>
        <w:rPr>
          <w:rFonts w:hint="eastAsia" w:ascii="仿宋_GB2312" w:eastAsia="仿宋_GB2312"/>
          <w:szCs w:val="32"/>
        </w:rPr>
        <w:fldChar w:fldCharType="separate"/>
      </w:r>
      <w:r>
        <w:rPr>
          <w:rFonts w:hint="eastAsia" w:ascii="仿宋_GB2312" w:eastAsia="仿宋_GB2312"/>
          <w:szCs w:val="32"/>
        </w:rPr>
        <w:t>13</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"_Toc208314413" </w:instrText>
      </w:r>
      <w:r>
        <w:fldChar w:fldCharType="separate"/>
      </w:r>
      <w:r>
        <w:rPr>
          <w:rFonts w:hint="eastAsia" w:ascii="仿宋_GB2312" w:eastAsia="仿宋_GB2312"/>
          <w:szCs w:val="32"/>
        </w:rPr>
        <w:t>二、法定代表人资格证明书</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_Toc208314413 \h </w:instrText>
      </w:r>
      <w:r>
        <w:rPr>
          <w:rFonts w:hint="eastAsia" w:ascii="仿宋_GB2312" w:eastAsia="仿宋_GB2312"/>
          <w:szCs w:val="32"/>
        </w:rPr>
        <w:fldChar w:fldCharType="separate"/>
      </w:r>
      <w:r>
        <w:rPr>
          <w:rFonts w:hint="eastAsia" w:ascii="仿宋_GB2312" w:eastAsia="仿宋_GB2312"/>
          <w:szCs w:val="32"/>
        </w:rPr>
        <w:t>14</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宋体" w:hAnsi="宋体" w:eastAsia="宋体" w:cs="宋体"/>
          <w:sz w:val="30"/>
          <w:szCs w:val="30"/>
        </w:rPr>
      </w:pPr>
      <w:r>
        <w:fldChar w:fldCharType="begin"/>
      </w:r>
      <w:r>
        <w:instrText xml:space="preserve"> HYPERLINK \l "_Toc208314414" </w:instrText>
      </w:r>
      <w:r>
        <w:fldChar w:fldCharType="separate"/>
      </w:r>
      <w:r>
        <w:rPr>
          <w:rFonts w:hint="eastAsia" w:ascii="仿宋_GB2312" w:eastAsia="仿宋_GB2312"/>
          <w:szCs w:val="32"/>
        </w:rPr>
        <w:t>三、授权委托书</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_Toc208314414 \h </w:instrText>
      </w:r>
      <w:r>
        <w:rPr>
          <w:rFonts w:hint="eastAsia" w:ascii="仿宋_GB2312" w:eastAsia="仿宋_GB2312"/>
          <w:szCs w:val="32"/>
        </w:rPr>
        <w:fldChar w:fldCharType="separate"/>
      </w:r>
      <w:r>
        <w:rPr>
          <w:rFonts w:hint="eastAsia" w:ascii="仿宋_GB2312" w:eastAsia="仿宋_GB2312"/>
          <w:szCs w:val="32"/>
        </w:rPr>
        <w:t>15</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"_Toc208314415" </w:instrText>
      </w:r>
      <w:r>
        <w:fldChar w:fldCharType="separate"/>
      </w:r>
      <w:r>
        <w:rPr>
          <w:rFonts w:hint="eastAsia" w:ascii="仿宋_GB2312" w:eastAsia="仿宋_GB2312"/>
          <w:szCs w:val="32"/>
        </w:rPr>
        <w:t>四、参加本次政府采购活动前三年内，在经营活动中没有重大违法记录的声明</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_Toc208314415 \h </w:instrText>
      </w:r>
      <w:r>
        <w:rPr>
          <w:rFonts w:hint="eastAsia" w:ascii="仿宋_GB2312" w:eastAsia="仿宋_GB2312"/>
          <w:szCs w:val="32"/>
        </w:rPr>
        <w:fldChar w:fldCharType="separate"/>
      </w:r>
      <w:r>
        <w:rPr>
          <w:rFonts w:hint="eastAsia" w:ascii="仿宋_GB2312" w:eastAsia="仿宋_GB2312"/>
          <w:szCs w:val="32"/>
        </w:rPr>
        <w:t>16</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"_Toc208314416" </w:instrText>
      </w:r>
      <w:r>
        <w:fldChar w:fldCharType="separate"/>
      </w:r>
      <w:r>
        <w:rPr>
          <w:rFonts w:hint="eastAsia" w:ascii="仿宋_GB2312" w:eastAsia="仿宋_GB2312"/>
          <w:szCs w:val="32"/>
        </w:rPr>
        <w:t>五、公司简介</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_Toc208314416 \h </w:instrText>
      </w:r>
      <w:r>
        <w:rPr>
          <w:rFonts w:hint="eastAsia" w:ascii="仿宋_GB2312" w:eastAsia="仿宋_GB2312"/>
          <w:szCs w:val="32"/>
        </w:rPr>
        <w:fldChar w:fldCharType="separate"/>
      </w:r>
      <w:r>
        <w:rPr>
          <w:rFonts w:hint="eastAsia" w:ascii="仿宋_GB2312" w:eastAsia="仿宋_GB2312"/>
          <w:szCs w:val="32"/>
        </w:rPr>
        <w:t>17</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"_Toc208314417" </w:instrText>
      </w:r>
      <w:r>
        <w:fldChar w:fldCharType="separate"/>
      </w:r>
      <w:r>
        <w:rPr>
          <w:rFonts w:hint="eastAsia" w:ascii="仿宋_GB2312" w:eastAsia="仿宋_GB2312"/>
          <w:szCs w:val="32"/>
        </w:rPr>
        <w:t>六、业绩经验</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_Toc208314417 \h </w:instrText>
      </w:r>
      <w:r>
        <w:rPr>
          <w:rFonts w:hint="eastAsia" w:ascii="仿宋_GB2312" w:eastAsia="仿宋_GB2312"/>
          <w:szCs w:val="32"/>
        </w:rPr>
        <w:fldChar w:fldCharType="separate"/>
      </w:r>
      <w:r>
        <w:rPr>
          <w:rFonts w:hint="eastAsia" w:ascii="仿宋_GB2312" w:eastAsia="仿宋_GB2312"/>
          <w:szCs w:val="32"/>
        </w:rPr>
        <w:t>17</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"_Toc208314418" </w:instrText>
      </w:r>
      <w:r>
        <w:fldChar w:fldCharType="separate"/>
      </w:r>
      <w:r>
        <w:rPr>
          <w:rFonts w:hint="eastAsia" w:ascii="仿宋_GB2312" w:eastAsia="仿宋_GB2312"/>
          <w:szCs w:val="32"/>
        </w:rPr>
        <w:t>七、监理人员配备</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_Toc208314418 \h </w:instrText>
      </w:r>
      <w:r>
        <w:rPr>
          <w:rFonts w:hint="eastAsia" w:ascii="仿宋_GB2312" w:eastAsia="仿宋_GB2312"/>
          <w:szCs w:val="32"/>
        </w:rPr>
        <w:fldChar w:fldCharType="separate"/>
      </w:r>
      <w:r>
        <w:rPr>
          <w:rFonts w:hint="eastAsia" w:ascii="仿宋_GB2312" w:eastAsia="仿宋_GB2312"/>
          <w:szCs w:val="32"/>
        </w:rPr>
        <w:t>18</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"_Toc208314419" </w:instrText>
      </w:r>
      <w:r>
        <w:fldChar w:fldCharType="separate"/>
      </w:r>
      <w:r>
        <w:rPr>
          <w:rFonts w:hint="eastAsia" w:ascii="仿宋_GB2312" w:eastAsia="仿宋_GB2312"/>
          <w:szCs w:val="32"/>
        </w:rPr>
        <w:t>八、营业执照、资质证书及三标认证（ISO9001质量管理体系、ISO45001职业健康安全管理体系和ISO14001环境管理体系）证书</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_Toc208314419 \h </w:instrText>
      </w:r>
      <w:r>
        <w:rPr>
          <w:rFonts w:hint="eastAsia" w:ascii="仿宋_GB2312" w:eastAsia="仿宋_GB2312"/>
          <w:szCs w:val="32"/>
        </w:rPr>
        <w:fldChar w:fldCharType="separate"/>
      </w:r>
      <w:r>
        <w:rPr>
          <w:rFonts w:hint="eastAsia" w:ascii="仿宋_GB2312" w:eastAsia="仿宋_GB2312"/>
          <w:szCs w:val="32"/>
        </w:rPr>
        <w:t>19</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"_Toc208314420" </w:instrText>
      </w:r>
      <w:r>
        <w:fldChar w:fldCharType="separate"/>
      </w:r>
      <w:r>
        <w:rPr>
          <w:rFonts w:hint="eastAsia" w:ascii="仿宋_GB2312" w:eastAsia="仿宋_GB2312"/>
          <w:szCs w:val="32"/>
        </w:rPr>
        <w:t>九、报价单</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_Toc208314420 \h </w:instrText>
      </w:r>
      <w:r>
        <w:rPr>
          <w:rFonts w:hint="eastAsia" w:ascii="仿宋_GB2312" w:eastAsia="仿宋_GB2312"/>
          <w:szCs w:val="32"/>
        </w:rPr>
        <w:fldChar w:fldCharType="separate"/>
      </w:r>
      <w:r>
        <w:rPr>
          <w:rFonts w:hint="eastAsia" w:ascii="仿宋_GB2312" w:eastAsia="仿宋_GB2312"/>
          <w:szCs w:val="32"/>
        </w:rPr>
        <w:t>19</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仿宋_GB2312" w:eastAsia="仿宋_GB2312"/>
          <w:szCs w:val="32"/>
        </w:rPr>
      </w:pPr>
      <w:r>
        <w:fldChar w:fldCharType="begin"/>
      </w:r>
      <w:r>
        <w:instrText xml:space="preserve"> HYPERLINK \l "_Toc208314421" </w:instrText>
      </w:r>
      <w:r>
        <w:fldChar w:fldCharType="separate"/>
      </w:r>
      <w:r>
        <w:rPr>
          <w:rFonts w:hint="eastAsia" w:ascii="仿宋_GB2312" w:eastAsia="仿宋_GB2312"/>
          <w:szCs w:val="32"/>
        </w:rPr>
        <w:t>十、针对本项目的监理大纲</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_Toc208314421 \h </w:instrText>
      </w:r>
      <w:r>
        <w:rPr>
          <w:rFonts w:hint="eastAsia" w:ascii="仿宋_GB2312" w:eastAsia="仿宋_GB2312"/>
          <w:szCs w:val="32"/>
        </w:rPr>
        <w:fldChar w:fldCharType="separate"/>
      </w:r>
      <w:r>
        <w:rPr>
          <w:rFonts w:hint="eastAsia" w:ascii="仿宋_GB2312" w:eastAsia="仿宋_GB2312"/>
          <w:szCs w:val="32"/>
        </w:rPr>
        <w:t>20</w:t>
      </w:r>
      <w:r>
        <w:rPr>
          <w:rFonts w:hint="eastAsia" w:ascii="仿宋_GB2312" w:eastAsia="仿宋_GB2312"/>
          <w:szCs w:val="32"/>
        </w:rPr>
        <w:fldChar w:fldCharType="end"/>
      </w:r>
      <w:r>
        <w:rPr>
          <w:rFonts w:hint="eastAsia" w:ascii="仿宋_GB2312" w:eastAsia="仿宋_GB2312"/>
          <w:szCs w:val="32"/>
        </w:rPr>
        <w:fldChar w:fldCharType="end"/>
      </w:r>
    </w:p>
    <w:p>
      <w:pPr>
        <w:pStyle w:val="13"/>
        <w:tabs>
          <w:tab w:val="right" w:leader="dot" w:pos="8296"/>
        </w:tabs>
        <w:ind w:left="640" w:firstLine="640"/>
        <w:rPr>
          <w:rFonts w:ascii="宋体" w:hAnsi="宋体" w:eastAsia="宋体" w:cs="宋体"/>
          <w:sz w:val="30"/>
          <w:szCs w:val="30"/>
        </w:rPr>
      </w:pPr>
      <w:r>
        <w:fldChar w:fldCharType="begin"/>
      </w:r>
      <w:r>
        <w:instrText xml:space="preserve"> HYPERLINK \l "_Toc208314422" </w:instrText>
      </w:r>
      <w:r>
        <w:fldChar w:fldCharType="separate"/>
      </w:r>
      <w:r>
        <w:rPr>
          <w:rFonts w:hint="eastAsia" w:ascii="仿宋_GB2312" w:eastAsia="仿宋_GB2312"/>
          <w:szCs w:val="32"/>
        </w:rPr>
        <w:t>十一、其他资料</w:t>
      </w:r>
      <w:r>
        <w:rPr>
          <w:rFonts w:hint="eastAsia" w:ascii="仿宋_GB2312" w:eastAsia="仿宋_GB2312"/>
          <w:szCs w:val="32"/>
        </w:rPr>
        <w:tab/>
      </w:r>
      <w:r>
        <w:rPr>
          <w:rFonts w:hint="eastAsia" w:ascii="仿宋_GB2312" w:eastAsia="仿宋_GB2312"/>
          <w:szCs w:val="32"/>
        </w:rPr>
        <w:fldChar w:fldCharType="begin"/>
      </w:r>
      <w:r>
        <w:rPr>
          <w:rFonts w:hint="eastAsia" w:ascii="仿宋_GB2312" w:eastAsia="仿宋_GB2312"/>
          <w:szCs w:val="32"/>
        </w:rPr>
        <w:instrText xml:space="preserve"> PAGEREF _Toc208314422 \h </w:instrText>
      </w:r>
      <w:r>
        <w:rPr>
          <w:rFonts w:hint="eastAsia" w:ascii="仿宋_GB2312" w:eastAsia="仿宋_GB2312"/>
          <w:szCs w:val="32"/>
        </w:rPr>
        <w:fldChar w:fldCharType="separate"/>
      </w:r>
      <w:r>
        <w:rPr>
          <w:rFonts w:hint="eastAsia" w:ascii="仿宋_GB2312" w:eastAsia="仿宋_GB2312"/>
          <w:szCs w:val="32"/>
        </w:rPr>
        <w:t>20</w:t>
      </w:r>
      <w:r>
        <w:rPr>
          <w:rFonts w:hint="eastAsia" w:ascii="仿宋_GB2312" w:eastAsia="仿宋_GB2312"/>
          <w:szCs w:val="32"/>
        </w:rPr>
        <w:fldChar w:fldCharType="end"/>
      </w:r>
      <w:r>
        <w:rPr>
          <w:rFonts w:hint="eastAsia" w:ascii="仿宋_GB2312" w:eastAsia="仿宋_GB2312"/>
          <w:szCs w:val="32"/>
        </w:rPr>
        <w:fldChar w:fldCharType="end"/>
      </w:r>
    </w:p>
    <w:p>
      <w:pPr>
        <w:ind w:firstLine="600"/>
        <w:rPr>
          <w:rFonts w:ascii="黑体" w:hAnsi="黑体" w:eastAsia="黑体"/>
          <w:szCs w:val="32"/>
        </w:rPr>
      </w:pPr>
      <w:r>
        <w:rPr>
          <w:rFonts w:hint="eastAsia" w:ascii="宋体" w:hAnsi="宋体" w:eastAsia="宋体" w:cs="宋体"/>
          <w:sz w:val="30"/>
          <w:szCs w:val="30"/>
        </w:rPr>
        <w:fldChar w:fldCharType="end"/>
      </w:r>
    </w:p>
    <w:p>
      <w:pPr>
        <w:ind w:firstLine="640"/>
      </w:pPr>
    </w:p>
    <w:p>
      <w:pPr>
        <w:spacing w:line="240" w:lineRule="auto"/>
        <w:ind w:firstLine="0" w:firstLineChars="0"/>
        <w:rPr>
          <w:rFonts w:ascii="宋体" w:hAnsi="宋体" w:eastAsia="宋体"/>
          <w:sz w:val="28"/>
          <w:szCs w:val="24"/>
        </w:rPr>
      </w:pPr>
      <w:r>
        <w:rPr>
          <w:rFonts w:eastAsia="宋体"/>
          <w:sz w:val="28"/>
          <w:szCs w:val="24"/>
        </w:rPr>
        <w:tab/>
      </w:r>
    </w:p>
    <w:p>
      <w:pPr>
        <w:pStyle w:val="14"/>
        <w:numPr>
          <w:ilvl w:val="0"/>
          <w:numId w:val="2"/>
        </w:numPr>
        <w:shd w:val="clear" w:color="auto" w:fill="FFFFFF"/>
        <w:spacing w:before="0" w:beforeAutospacing="0" w:after="0" w:afterAutospacing="0" w:line="720" w:lineRule="atLeast"/>
        <w:ind w:firstLine="0" w:firstLineChars="0"/>
        <w:rPr>
          <w:rFonts w:ascii="方正小标宋简体" w:hAnsi="仿宋" w:eastAsia="方正小标宋简体"/>
          <w:sz w:val="40"/>
          <w:szCs w:val="4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numPr>
          <w:ilvl w:val="0"/>
          <w:numId w:val="3"/>
        </w:numPr>
        <w:spacing w:line="360" w:lineRule="auto"/>
        <w:ind w:firstLine="0" w:firstLineChars="0"/>
        <w:jc w:val="center"/>
        <w:outlineLvl w:val="0"/>
        <w:rPr>
          <w:rFonts w:ascii="黑体" w:hAnsi="黑体" w:eastAsia="黑体" w:cs="黑体"/>
          <w:kern w:val="0"/>
          <w:sz w:val="40"/>
          <w:szCs w:val="40"/>
        </w:rPr>
      </w:pPr>
      <w:bookmarkStart w:id="0" w:name="_Toc208314394"/>
      <w:bookmarkStart w:id="1" w:name="_Toc208314403"/>
      <w:bookmarkStart w:id="2" w:name="_Toc300214661"/>
      <w:bookmarkStart w:id="3" w:name="_Toc500346599"/>
      <w:r>
        <w:rPr>
          <w:rFonts w:hint="eastAsia" w:ascii="黑体" w:hAnsi="黑体" w:eastAsia="黑体" w:cs="黑体"/>
          <w:kern w:val="0"/>
          <w:sz w:val="40"/>
          <w:szCs w:val="40"/>
        </w:rPr>
        <w:t>海淀区四季青镇普安店地面塌陷地质灾害隐患点治理工作-监测预警工程建设监理</w:t>
      </w:r>
    </w:p>
    <w:p>
      <w:pPr>
        <w:spacing w:line="360" w:lineRule="auto"/>
        <w:ind w:firstLine="0" w:firstLineChars="0"/>
        <w:jc w:val="center"/>
        <w:outlineLvl w:val="0"/>
        <w:rPr>
          <w:rFonts w:ascii="黑体" w:hAnsi="黑体" w:eastAsia="黑体" w:cs="黑体"/>
          <w:kern w:val="0"/>
        </w:rPr>
      </w:pPr>
      <w:r>
        <w:rPr>
          <w:rFonts w:hint="eastAsia" w:ascii="黑体" w:hAnsi="黑体" w:eastAsia="黑体" w:cs="黑体"/>
          <w:kern w:val="0"/>
          <w:sz w:val="40"/>
          <w:szCs w:val="40"/>
        </w:rPr>
        <w:t>比选公告</w:t>
      </w:r>
      <w:bookmarkEnd w:id="0"/>
    </w:p>
    <w:p>
      <w:pPr>
        <w:widowControl/>
        <w:spacing w:before="240"/>
        <w:ind w:firstLine="640"/>
        <w:jc w:val="left"/>
        <w:outlineLvl w:val="1"/>
        <w:rPr>
          <w:rFonts w:ascii="黑体" w:hAnsi="黑体" w:eastAsia="黑体"/>
          <w:kern w:val="0"/>
          <w:szCs w:val="32"/>
        </w:rPr>
      </w:pPr>
      <w:bookmarkStart w:id="4" w:name="_Toc1695390158_WPSOffice_Level2"/>
      <w:bookmarkStart w:id="5" w:name="_Toc517863124"/>
      <w:bookmarkStart w:id="6" w:name="_Toc208314395"/>
      <w:r>
        <w:rPr>
          <w:rFonts w:hint="eastAsia" w:ascii="黑体" w:hAnsi="黑体" w:eastAsia="黑体"/>
          <w:bCs/>
          <w:kern w:val="0"/>
          <w:szCs w:val="32"/>
        </w:rPr>
        <w:t>一</w:t>
      </w:r>
      <w:r>
        <w:rPr>
          <w:rFonts w:ascii="黑体" w:hAnsi="黑体" w:eastAsia="黑体"/>
          <w:bCs/>
          <w:kern w:val="0"/>
          <w:szCs w:val="32"/>
        </w:rPr>
        <w:t>、</w:t>
      </w:r>
      <w:r>
        <w:rPr>
          <w:rFonts w:hint="eastAsia" w:ascii="黑体" w:hAnsi="黑体" w:eastAsia="黑体"/>
          <w:bCs/>
          <w:kern w:val="0"/>
          <w:szCs w:val="32"/>
        </w:rPr>
        <w:t>项目概况</w:t>
      </w:r>
      <w:bookmarkEnd w:id="4"/>
      <w:bookmarkEnd w:id="5"/>
      <w:bookmarkEnd w:id="6"/>
    </w:p>
    <w:p>
      <w:pPr>
        <w:autoSpaceDE w:val="0"/>
        <w:ind w:firstLine="640"/>
        <w:rPr>
          <w:rFonts w:ascii="仿宋_GB2312" w:eastAsia="仿宋_GB2312"/>
          <w:szCs w:val="32"/>
        </w:rPr>
      </w:pPr>
      <w:r>
        <w:rPr>
          <w:rFonts w:hint="eastAsia" w:ascii="仿宋_GB2312" w:eastAsia="仿宋_GB2312"/>
          <w:szCs w:val="32"/>
        </w:rPr>
        <w:t>通过开展海淀区四季青镇普安店地面塌陷地质灾害隐患点治理工作-监测预警工程建设，实时掌握监测隐患点的变化情况，实现地面塌陷灾害监测数据的自动采集、传输、存储、处理和分析，监测数据超过预警阈值时能够及时发布预警信息，及时进行预警，防止灾害发生造成人员伤亡或财产损失。同时，做好各类监测预警仪器设备的防护工作，对监测预警软硬件设备管理、维护、使用人员及地面塌陷灾害监测人员进行室内、室外培训，提高海淀区地面塌陷监测信息管理及预警技术水平。</w:t>
      </w:r>
    </w:p>
    <w:p>
      <w:pPr>
        <w:autoSpaceDE w:val="0"/>
        <w:ind w:firstLine="640"/>
        <w:rPr>
          <w:rFonts w:ascii="仿宋_GB2312" w:eastAsia="仿宋_GB2312"/>
          <w:szCs w:val="32"/>
        </w:rPr>
      </w:pPr>
      <w:bookmarkStart w:id="7" w:name="_Toc1877212514"/>
      <w:r>
        <w:rPr>
          <w:rFonts w:hint="eastAsia" w:ascii="仿宋_GB2312" w:eastAsia="仿宋_GB2312"/>
          <w:szCs w:val="32"/>
        </w:rPr>
        <w:t>1.工作量情况：</w:t>
      </w:r>
      <w:bookmarkEnd w:id="7"/>
    </w:p>
    <w:p>
      <w:pPr>
        <w:autoSpaceDE w:val="0"/>
        <w:ind w:firstLine="640"/>
        <w:rPr>
          <w:rFonts w:ascii="仿宋_GB2312" w:eastAsia="仿宋_GB2312"/>
          <w:szCs w:val="32"/>
        </w:rPr>
      </w:pPr>
      <w:bookmarkStart w:id="8" w:name="_Toc941335172"/>
      <w:r>
        <w:rPr>
          <w:rFonts w:hint="eastAsia" w:ascii="仿宋_GB2312" w:eastAsia="仿宋_GB2312"/>
          <w:szCs w:val="32"/>
        </w:rPr>
        <w:t>项目实施内容包括采购、安装调试监测预警设备49套及其辅助设备，包括雨量监测站1套，土壤含水率监测站2套，地下水位监测站8套，微震监测站3套，地下深部位移光纤监测站13套，地面浅层塌陷光纤监测站2套，地表形变GNSS监测站20套，布设光纤8000米。</w:t>
      </w:r>
    </w:p>
    <w:p>
      <w:pPr>
        <w:autoSpaceDE w:val="0"/>
        <w:ind w:firstLine="640"/>
        <w:rPr>
          <w:rFonts w:ascii="仿宋_GB2312" w:eastAsia="仿宋_GB2312"/>
          <w:szCs w:val="32"/>
        </w:rPr>
      </w:pPr>
      <w:r>
        <w:rPr>
          <w:rFonts w:hint="eastAsia" w:ascii="仿宋_GB2312" w:eastAsia="仿宋_GB2312"/>
          <w:szCs w:val="32"/>
        </w:rPr>
        <w:t>2.监理工作要求：</w:t>
      </w:r>
      <w:bookmarkEnd w:id="8"/>
    </w:p>
    <w:p>
      <w:pPr>
        <w:autoSpaceDE w:val="0"/>
        <w:ind w:firstLine="640"/>
        <w:rPr>
          <w:rFonts w:ascii="仿宋_GB2312" w:eastAsia="仿宋_GB2312"/>
          <w:szCs w:val="32"/>
        </w:rPr>
      </w:pPr>
      <w:r>
        <w:rPr>
          <w:rFonts w:hint="eastAsia" w:ascii="仿宋_GB2312" w:eastAsia="仿宋_GB2312"/>
          <w:szCs w:val="32"/>
        </w:rPr>
        <w:t>2.1</w:t>
      </w:r>
      <w:r>
        <w:rPr>
          <w:rFonts w:ascii="仿宋_GB2312" w:eastAsia="仿宋_GB2312"/>
          <w:szCs w:val="32"/>
        </w:rPr>
        <w:t>采购阶段：审核采购计划与清单、供应商资质审查、设备出厂检验与测试报告审查。确保设备型号、数量与技术规范相符；供应商资质、业绩、信誉</w:t>
      </w:r>
      <w:r>
        <w:rPr>
          <w:rFonts w:hint="eastAsia" w:ascii="仿宋_GB2312" w:eastAsia="仿宋_GB2312"/>
          <w:szCs w:val="32"/>
        </w:rPr>
        <w:t>进行</w:t>
      </w:r>
      <w:r>
        <w:rPr>
          <w:rFonts w:ascii="仿宋_GB2312" w:eastAsia="仿宋_GB2312"/>
          <w:szCs w:val="32"/>
        </w:rPr>
        <w:t>评估；设备包装、外观、型号、技术参数、质量证明文件等进行检查，必要时进行功能测试。</w:t>
      </w:r>
    </w:p>
    <w:p>
      <w:pPr>
        <w:autoSpaceDE w:val="0"/>
        <w:ind w:firstLine="640"/>
        <w:rPr>
          <w:rFonts w:ascii="仿宋_GB2312" w:eastAsia="仿宋_GB2312"/>
          <w:szCs w:val="32"/>
        </w:rPr>
      </w:pPr>
      <w:r>
        <w:rPr>
          <w:rFonts w:hint="eastAsia" w:ascii="仿宋_GB2312" w:eastAsia="仿宋_GB2312"/>
          <w:szCs w:val="32"/>
        </w:rPr>
        <w:t>2.2</w:t>
      </w:r>
      <w:r>
        <w:rPr>
          <w:rFonts w:ascii="仿宋_GB2312" w:eastAsia="仿宋_GB2312"/>
          <w:szCs w:val="32"/>
        </w:rPr>
        <w:t>安装阶段：审</w:t>
      </w:r>
      <w:r>
        <w:rPr>
          <w:rFonts w:hint="eastAsia" w:ascii="仿宋_GB2312" w:eastAsia="仿宋_GB2312"/>
          <w:szCs w:val="32"/>
        </w:rPr>
        <w:t>查</w:t>
      </w:r>
      <w:r>
        <w:rPr>
          <w:rFonts w:ascii="仿宋_GB2312" w:eastAsia="仿宋_GB2312"/>
          <w:szCs w:val="32"/>
        </w:rPr>
        <w:t>安装技术措施与方案、现场旁站与过程监督、安装质量检验与记录。安装环境（土建、供电、网络）需符合设计要求；安装位置、方法、工艺应严格按图施工；电缆标识与保护、防水防潮防腐处理应到位；做好隐蔽工程验收。</w:t>
      </w:r>
    </w:p>
    <w:p>
      <w:pPr>
        <w:autoSpaceDE w:val="0"/>
        <w:ind w:firstLine="640"/>
        <w:rPr>
          <w:rFonts w:ascii="仿宋_GB2312" w:eastAsia="仿宋_GB2312"/>
          <w:szCs w:val="32"/>
        </w:rPr>
      </w:pPr>
      <w:r>
        <w:rPr>
          <w:rFonts w:hint="eastAsia" w:ascii="仿宋_GB2312" w:eastAsia="仿宋_GB2312"/>
          <w:szCs w:val="32"/>
        </w:rPr>
        <w:t>2.3</w:t>
      </w:r>
      <w:r>
        <w:rPr>
          <w:rFonts w:ascii="仿宋_GB2312" w:eastAsia="仿宋_GB2312"/>
          <w:szCs w:val="32"/>
        </w:rPr>
        <w:t>调试阶段：审核调试方案与计划、</w:t>
      </w:r>
      <w:r>
        <w:rPr>
          <w:rFonts w:hint="eastAsia" w:ascii="仿宋_GB2312" w:eastAsia="仿宋_GB2312"/>
          <w:szCs w:val="32"/>
        </w:rPr>
        <w:t>巡视</w:t>
      </w:r>
      <w:r>
        <w:rPr>
          <w:rFonts w:ascii="仿宋_GB2312" w:eastAsia="仿宋_GB2312"/>
          <w:szCs w:val="32"/>
        </w:rPr>
        <w:t>监督调试记录、协调问题处理与整改。单机调试、子系统调试、系统联调需逐级进行；重点</w:t>
      </w:r>
      <w:r>
        <w:rPr>
          <w:rFonts w:hint="eastAsia" w:ascii="仿宋_GB2312" w:eastAsia="仿宋_GB2312"/>
          <w:szCs w:val="32"/>
        </w:rPr>
        <w:t>审查</w:t>
      </w:r>
      <w:r>
        <w:rPr>
          <w:rFonts w:ascii="仿宋_GB2312" w:eastAsia="仿宋_GB2312"/>
          <w:szCs w:val="32"/>
        </w:rPr>
        <w:t>数据贯通性、业务协同性、平台稳定性、预警流程闭环；调试记录应完整、准确。</w:t>
      </w:r>
    </w:p>
    <w:p>
      <w:pPr>
        <w:autoSpaceDE w:val="0"/>
        <w:ind w:firstLine="640"/>
        <w:rPr>
          <w:rFonts w:ascii="仿宋_GB2312" w:eastAsia="仿宋_GB2312"/>
          <w:szCs w:val="32"/>
        </w:rPr>
      </w:pPr>
      <w:r>
        <w:rPr>
          <w:rFonts w:hint="eastAsia" w:ascii="仿宋_GB2312" w:eastAsia="仿宋_GB2312"/>
          <w:szCs w:val="32"/>
        </w:rPr>
        <w:t>2.4通用监理工作要求：</w:t>
      </w:r>
      <w:r>
        <w:rPr>
          <w:rFonts w:ascii="仿宋_GB2312" w:eastAsia="仿宋_GB2312"/>
          <w:szCs w:val="32"/>
        </w:rPr>
        <w:t>严格质量/安全/进度/投资控制、合规性与廉政监督、组织协调与沟通。监理规划、细则、日志、周报、月报、会议纪要、验收报告等文档需齐全；关注法定程序、行业规范；督促施工方履行安全责任；公平、公正处理各方关系。</w:t>
      </w:r>
    </w:p>
    <w:p>
      <w:pPr>
        <w:widowControl/>
        <w:ind w:firstLine="640"/>
        <w:jc w:val="left"/>
        <w:outlineLvl w:val="1"/>
        <w:rPr>
          <w:rFonts w:ascii="黑体" w:hAnsi="黑体" w:eastAsia="黑体"/>
          <w:bCs/>
          <w:kern w:val="0"/>
          <w:szCs w:val="32"/>
        </w:rPr>
      </w:pPr>
      <w:bookmarkStart w:id="9" w:name="_Toc1420313202"/>
      <w:bookmarkStart w:id="10" w:name="_Toc1116139105_WPSOffice_Level2"/>
      <w:bookmarkStart w:id="11" w:name="_Toc208314396"/>
      <w:r>
        <w:rPr>
          <w:rFonts w:hint="eastAsia" w:ascii="黑体" w:hAnsi="黑体" w:eastAsia="黑体"/>
          <w:kern w:val="0"/>
          <w:szCs w:val="32"/>
        </w:rPr>
        <w:t>二、预算金额</w:t>
      </w:r>
      <w:bookmarkEnd w:id="9"/>
      <w:bookmarkEnd w:id="10"/>
      <w:bookmarkEnd w:id="11"/>
    </w:p>
    <w:p>
      <w:pPr>
        <w:widowControl/>
        <w:ind w:firstLine="640"/>
        <w:rPr>
          <w:rFonts w:ascii="仿宋_GB2312" w:hAnsi="仿宋_GB2312" w:eastAsia="仿宋_GB2312" w:cs="仿宋_GB2312"/>
          <w:kern w:val="0"/>
          <w:szCs w:val="32"/>
        </w:rPr>
      </w:pPr>
      <w:r>
        <w:rPr>
          <w:rFonts w:hint="eastAsia" w:ascii="仿宋_GB2312" w:hAnsi="仿宋_GB2312" w:eastAsia="仿宋_GB2312" w:cs="仿宋_GB2312"/>
          <w:kern w:val="0"/>
          <w:szCs w:val="32"/>
        </w:rPr>
        <w:t>监理费人民币4</w:t>
      </w:r>
      <w:r>
        <w:rPr>
          <w:rFonts w:ascii="仿宋_GB2312" w:hAnsi="仿宋_GB2312" w:eastAsia="仿宋_GB2312" w:cs="仿宋_GB2312"/>
          <w:kern w:val="0"/>
          <w:szCs w:val="32"/>
        </w:rPr>
        <w:t>22，754.00元（大写：肆拾贰万贰仟柒佰伍拾肆元整）</w:t>
      </w:r>
      <w:r>
        <w:rPr>
          <w:rFonts w:hint="eastAsia" w:ascii="仿宋_GB2312" w:hAnsi="仿宋_GB2312" w:eastAsia="仿宋_GB2312" w:cs="仿宋_GB2312"/>
          <w:kern w:val="0"/>
          <w:szCs w:val="32"/>
        </w:rPr>
        <w:t>。</w:t>
      </w:r>
    </w:p>
    <w:p>
      <w:pPr>
        <w:widowControl/>
        <w:ind w:firstLine="640"/>
        <w:jc w:val="left"/>
        <w:outlineLvl w:val="1"/>
        <w:rPr>
          <w:rFonts w:ascii="黑体" w:hAnsi="黑体" w:eastAsia="黑体"/>
          <w:kern w:val="0"/>
          <w:szCs w:val="32"/>
        </w:rPr>
      </w:pPr>
      <w:bookmarkStart w:id="12" w:name="_Toc1874486365_WPSOffice_Level2"/>
      <w:bookmarkStart w:id="13" w:name="_Toc208314397"/>
      <w:bookmarkStart w:id="14" w:name="_Toc2107327335"/>
      <w:r>
        <w:rPr>
          <w:rFonts w:hint="eastAsia" w:ascii="黑体" w:hAnsi="黑体" w:eastAsia="黑体"/>
          <w:kern w:val="0"/>
          <w:szCs w:val="32"/>
        </w:rPr>
        <w:t>三、项目执行时间</w:t>
      </w:r>
      <w:bookmarkEnd w:id="12"/>
      <w:bookmarkEnd w:id="13"/>
      <w:bookmarkEnd w:id="14"/>
    </w:p>
    <w:p>
      <w:pPr>
        <w:autoSpaceDE w:val="0"/>
        <w:ind w:firstLine="640"/>
        <w:rPr>
          <w:rFonts w:ascii="仿宋_GB2312" w:eastAsia="仿宋_GB2312"/>
          <w:color w:val="auto"/>
          <w:szCs w:val="32"/>
        </w:rPr>
      </w:pPr>
      <w:r>
        <w:rPr>
          <w:rFonts w:hint="eastAsia" w:ascii="仿宋_GB2312" w:eastAsia="仿宋_GB2312"/>
          <w:color w:val="auto"/>
          <w:szCs w:val="32"/>
        </w:rPr>
        <w:t>合同签订之日起至项目竣工验收，包括质保期。</w:t>
      </w:r>
    </w:p>
    <w:p>
      <w:pPr>
        <w:widowControl/>
        <w:ind w:firstLine="640"/>
        <w:jc w:val="left"/>
        <w:outlineLvl w:val="1"/>
        <w:rPr>
          <w:rFonts w:ascii="黑体" w:hAnsi="黑体" w:eastAsia="黑体"/>
          <w:kern w:val="0"/>
          <w:szCs w:val="32"/>
        </w:rPr>
      </w:pPr>
      <w:bookmarkStart w:id="15" w:name="_Toc627872628_WPSOffice_Level2"/>
      <w:bookmarkStart w:id="16" w:name="_Toc174377788"/>
      <w:bookmarkStart w:id="17" w:name="_Toc208314398"/>
      <w:r>
        <w:rPr>
          <w:rFonts w:hint="eastAsia" w:ascii="黑体" w:hAnsi="黑体" w:eastAsia="黑体"/>
          <w:bCs/>
          <w:kern w:val="0"/>
          <w:szCs w:val="32"/>
        </w:rPr>
        <w:t>四、比选内容</w:t>
      </w:r>
      <w:bookmarkEnd w:id="15"/>
      <w:bookmarkEnd w:id="16"/>
      <w:bookmarkEnd w:id="17"/>
    </w:p>
    <w:p>
      <w:pPr>
        <w:autoSpaceDE w:val="0"/>
        <w:ind w:firstLine="640"/>
        <w:rPr>
          <w:rFonts w:ascii="仿宋_GB2312" w:eastAsia="仿宋_GB2312"/>
          <w:szCs w:val="32"/>
        </w:rPr>
      </w:pPr>
      <w:bookmarkStart w:id="18" w:name="_Toc1177370268_WPSOffice_Level2"/>
      <w:bookmarkStart w:id="19" w:name="_Toc926243177"/>
      <w:r>
        <w:rPr>
          <w:rFonts w:hint="eastAsia" w:ascii="仿宋_GB2312" w:eastAsia="仿宋_GB2312"/>
          <w:szCs w:val="32"/>
        </w:rPr>
        <w:t>1.比选内容：图纸及工作量清单所示范围内的全部工程监理工作。</w:t>
      </w:r>
    </w:p>
    <w:p>
      <w:pPr>
        <w:autoSpaceDE w:val="0"/>
        <w:ind w:firstLine="640"/>
        <w:rPr>
          <w:rFonts w:ascii="仿宋_GB2312" w:eastAsia="仿宋_GB2312"/>
          <w:szCs w:val="32"/>
        </w:rPr>
      </w:pPr>
      <w:r>
        <w:rPr>
          <w:rFonts w:hint="eastAsia" w:ascii="仿宋_GB2312" w:eastAsia="仿宋_GB2312"/>
          <w:szCs w:val="32"/>
        </w:rPr>
        <w:t>2.项目控制价：422，754.00元。</w:t>
      </w:r>
    </w:p>
    <w:p>
      <w:pPr>
        <w:autoSpaceDE w:val="0"/>
        <w:ind w:firstLine="640"/>
        <w:rPr>
          <w:rFonts w:ascii="仿宋_GB2312" w:eastAsia="仿宋_GB2312"/>
          <w:szCs w:val="32"/>
        </w:rPr>
      </w:pPr>
      <w:r>
        <w:rPr>
          <w:rFonts w:hint="eastAsia" w:ascii="仿宋_GB2312" w:eastAsia="仿宋_GB2312"/>
          <w:szCs w:val="32"/>
        </w:rPr>
        <w:t>3.参选单位须在中华人民共和国境内注册，能够独立承担民事责任，有生产或供应能力的本国供应商，包括法人、其他组织、自然人。</w:t>
      </w:r>
    </w:p>
    <w:p>
      <w:pPr>
        <w:autoSpaceDE w:val="0"/>
        <w:ind w:firstLine="640"/>
        <w:rPr>
          <w:rFonts w:ascii="仿宋_GB2312" w:eastAsia="仿宋_GB2312"/>
          <w:szCs w:val="32"/>
        </w:rPr>
      </w:pPr>
      <w:r>
        <w:rPr>
          <w:rFonts w:hint="eastAsia" w:ascii="仿宋_GB2312" w:eastAsia="仿宋_GB2312"/>
          <w:szCs w:val="32"/>
        </w:rPr>
        <w:t>4.参选单位须具有行政主管部门颁发的有效的地质灾害防治单位资质证书（资质类别：监理）甲级或以上资质；从业人员需有相应从业资质。</w:t>
      </w:r>
    </w:p>
    <w:p>
      <w:pPr>
        <w:widowControl/>
        <w:ind w:firstLine="640"/>
        <w:jc w:val="left"/>
        <w:outlineLvl w:val="1"/>
        <w:rPr>
          <w:rFonts w:ascii="黑体" w:hAnsi="黑体" w:eastAsia="黑体"/>
          <w:bCs/>
          <w:kern w:val="0"/>
          <w:szCs w:val="32"/>
        </w:rPr>
      </w:pPr>
      <w:bookmarkStart w:id="20" w:name="_Toc208314399"/>
      <w:r>
        <w:rPr>
          <w:rFonts w:hint="eastAsia" w:ascii="黑体" w:hAnsi="黑体" w:eastAsia="黑体"/>
          <w:kern w:val="0"/>
          <w:szCs w:val="32"/>
        </w:rPr>
        <w:t>五、比选单位资格要求</w:t>
      </w:r>
      <w:bookmarkEnd w:id="18"/>
      <w:bookmarkEnd w:id="19"/>
      <w:bookmarkEnd w:id="20"/>
    </w:p>
    <w:p>
      <w:pPr>
        <w:autoSpaceDE w:val="0"/>
        <w:ind w:firstLine="640"/>
        <w:rPr>
          <w:rFonts w:ascii="仿宋_GB2312" w:eastAsia="仿宋_GB2312"/>
          <w:szCs w:val="32"/>
        </w:rPr>
      </w:pPr>
      <w:bookmarkStart w:id="21" w:name="_Toc1252931699_WPSOffice_Level2"/>
      <w:bookmarkStart w:id="22" w:name="_Toc15313856"/>
      <w:r>
        <w:rPr>
          <w:rFonts w:hint="eastAsia" w:ascii="仿宋_GB2312" w:eastAsia="仿宋_GB2312"/>
          <w:szCs w:val="32"/>
        </w:rPr>
        <w:t>1.具有独立承担民事责任的能力；</w:t>
      </w:r>
    </w:p>
    <w:p>
      <w:pPr>
        <w:autoSpaceDE w:val="0"/>
        <w:ind w:firstLine="640"/>
        <w:rPr>
          <w:rFonts w:ascii="仿宋_GB2312" w:eastAsia="仿宋_GB2312"/>
          <w:szCs w:val="32"/>
        </w:rPr>
      </w:pPr>
      <w:r>
        <w:rPr>
          <w:rFonts w:hint="eastAsia" w:ascii="仿宋_GB2312" w:eastAsia="仿宋_GB2312"/>
          <w:szCs w:val="32"/>
        </w:rPr>
        <w:t>2.具有良好的商业信誉和健全的财务会计制度；</w:t>
      </w:r>
    </w:p>
    <w:p>
      <w:pPr>
        <w:autoSpaceDE w:val="0"/>
        <w:ind w:firstLine="640"/>
        <w:rPr>
          <w:rFonts w:ascii="仿宋_GB2312" w:eastAsia="仿宋_GB2312"/>
          <w:szCs w:val="32"/>
        </w:rPr>
      </w:pPr>
      <w:r>
        <w:rPr>
          <w:rFonts w:hint="eastAsia" w:ascii="仿宋_GB2312" w:eastAsia="仿宋_GB2312"/>
          <w:szCs w:val="32"/>
        </w:rPr>
        <w:t>3.具有履行合同所必需的设备和专业技术能力；</w:t>
      </w:r>
    </w:p>
    <w:p>
      <w:pPr>
        <w:autoSpaceDE w:val="0"/>
        <w:ind w:firstLine="640"/>
        <w:rPr>
          <w:rFonts w:ascii="仿宋_GB2312" w:eastAsia="仿宋_GB2312"/>
          <w:szCs w:val="32"/>
        </w:rPr>
      </w:pPr>
      <w:r>
        <w:rPr>
          <w:rFonts w:hint="eastAsia" w:ascii="仿宋_GB2312" w:eastAsia="仿宋_GB2312"/>
          <w:szCs w:val="32"/>
        </w:rPr>
        <w:t>4.有依法缴纳税收和社会保障资金的良好记录；</w:t>
      </w:r>
    </w:p>
    <w:p>
      <w:pPr>
        <w:autoSpaceDE w:val="0"/>
        <w:ind w:firstLine="640"/>
        <w:rPr>
          <w:rFonts w:ascii="仿宋_GB2312" w:eastAsia="仿宋_GB2312"/>
          <w:szCs w:val="32"/>
        </w:rPr>
      </w:pPr>
      <w:r>
        <w:rPr>
          <w:rFonts w:hint="eastAsia" w:ascii="仿宋_GB2312" w:eastAsia="仿宋_GB2312"/>
          <w:szCs w:val="32"/>
        </w:rPr>
        <w:t>5.近三年内，在经营活动中无违法和不良记录；</w:t>
      </w:r>
    </w:p>
    <w:p>
      <w:pPr>
        <w:autoSpaceDE w:val="0"/>
        <w:ind w:firstLine="640"/>
        <w:rPr>
          <w:rFonts w:ascii="仿宋_GB2312" w:eastAsia="仿宋_GB2312"/>
          <w:szCs w:val="32"/>
        </w:rPr>
      </w:pPr>
      <w:r>
        <w:rPr>
          <w:rFonts w:hint="eastAsia" w:ascii="仿宋_GB2312" w:eastAsia="仿宋_GB2312"/>
          <w:szCs w:val="32"/>
        </w:rPr>
        <w:t>6.法律、行政法规规定的其他条件。</w:t>
      </w:r>
    </w:p>
    <w:p>
      <w:pPr>
        <w:widowControl/>
        <w:ind w:firstLine="640"/>
        <w:jc w:val="left"/>
        <w:outlineLvl w:val="1"/>
        <w:rPr>
          <w:rFonts w:ascii="黑体" w:hAnsi="黑体" w:eastAsia="黑体"/>
          <w:kern w:val="0"/>
          <w:szCs w:val="32"/>
        </w:rPr>
      </w:pPr>
      <w:bookmarkStart w:id="23" w:name="_Toc208314400"/>
      <w:r>
        <w:rPr>
          <w:rFonts w:hint="eastAsia" w:ascii="黑体" w:hAnsi="黑体" w:eastAsia="黑体"/>
          <w:kern w:val="0"/>
          <w:szCs w:val="32"/>
        </w:rPr>
        <w:t>六、比选文件的获取</w:t>
      </w:r>
      <w:bookmarkEnd w:id="21"/>
      <w:bookmarkEnd w:id="22"/>
      <w:bookmarkEnd w:id="23"/>
    </w:p>
    <w:p>
      <w:pPr>
        <w:autoSpaceDE w:val="0"/>
        <w:ind w:firstLine="640"/>
        <w:rPr>
          <w:rFonts w:ascii="仿宋_GB2312" w:eastAsia="仿宋_GB2312"/>
          <w:color w:val="auto"/>
          <w:szCs w:val="32"/>
        </w:rPr>
      </w:pPr>
      <w:r>
        <w:rPr>
          <w:rFonts w:hint="eastAsia" w:ascii="仿宋_GB2312" w:eastAsia="仿宋_GB2312"/>
          <w:color w:val="auto"/>
          <w:szCs w:val="32"/>
        </w:rPr>
        <w:t>公示时间：2025年9月</w:t>
      </w:r>
      <w:r>
        <w:rPr>
          <w:rFonts w:hint="eastAsia" w:ascii="仿宋_GB2312" w:eastAsia="仿宋_GB2312"/>
          <w:color w:val="auto"/>
          <w:szCs w:val="32"/>
          <w:lang w:val="en-US" w:eastAsia="zh-CN"/>
        </w:rPr>
        <w:t>18</w:t>
      </w:r>
      <w:r>
        <w:rPr>
          <w:rFonts w:hint="eastAsia" w:ascii="仿宋_GB2312" w:eastAsia="仿宋_GB2312"/>
          <w:color w:val="auto"/>
          <w:szCs w:val="32"/>
        </w:rPr>
        <w:t>日—</w:t>
      </w:r>
      <w:r>
        <w:rPr>
          <w:rFonts w:hint="eastAsia" w:ascii="仿宋_GB2312" w:eastAsia="仿宋_GB2312"/>
          <w:color w:val="auto"/>
          <w:szCs w:val="32"/>
          <w:lang w:val="en-US" w:eastAsia="zh-CN"/>
        </w:rPr>
        <w:t>9月24日</w:t>
      </w:r>
      <w:r>
        <w:rPr>
          <w:rFonts w:hint="eastAsia" w:ascii="仿宋_GB2312" w:eastAsia="仿宋_GB2312"/>
          <w:color w:val="auto"/>
          <w:szCs w:val="32"/>
        </w:rPr>
        <w:t>。</w:t>
      </w:r>
    </w:p>
    <w:p>
      <w:pPr>
        <w:widowControl/>
        <w:ind w:firstLine="640"/>
        <w:rPr>
          <w:rFonts w:ascii="仿宋_GB2312" w:eastAsia="仿宋_GB2312"/>
          <w:color w:val="auto"/>
          <w:szCs w:val="32"/>
        </w:rPr>
      </w:pPr>
      <w:r>
        <w:rPr>
          <w:rFonts w:hint="eastAsia" w:ascii="仿宋_GB2312" w:eastAsia="仿宋_GB2312"/>
          <w:color w:val="auto"/>
          <w:szCs w:val="32"/>
        </w:rPr>
        <w:t>获取方式：北京市规划和自然资源委员会网站(http://ghzrzyw.beijing.gov.cn)自行获取。</w:t>
      </w:r>
    </w:p>
    <w:p>
      <w:pPr>
        <w:widowControl/>
        <w:ind w:firstLine="640"/>
        <w:jc w:val="left"/>
        <w:outlineLvl w:val="1"/>
        <w:rPr>
          <w:rFonts w:ascii="黑体" w:hAnsi="黑体" w:eastAsia="黑体"/>
          <w:color w:val="auto"/>
          <w:kern w:val="0"/>
          <w:szCs w:val="32"/>
        </w:rPr>
      </w:pPr>
      <w:bookmarkStart w:id="24" w:name="_Toc949341724_WPSOffice_Level2"/>
      <w:bookmarkStart w:id="25" w:name="_Toc183213854"/>
      <w:bookmarkStart w:id="26" w:name="_Toc208314401"/>
      <w:r>
        <w:rPr>
          <w:rFonts w:hint="eastAsia" w:ascii="黑体" w:hAnsi="黑体" w:eastAsia="黑体"/>
          <w:color w:val="auto"/>
          <w:kern w:val="0"/>
          <w:szCs w:val="32"/>
        </w:rPr>
        <w:t>七、比选申请书的递交</w:t>
      </w:r>
      <w:bookmarkEnd w:id="24"/>
      <w:bookmarkEnd w:id="25"/>
      <w:bookmarkEnd w:id="26"/>
    </w:p>
    <w:p>
      <w:pPr>
        <w:ind w:firstLine="640"/>
        <w:rPr>
          <w:rFonts w:ascii="仿宋_GB2312" w:eastAsia="仿宋_GB2312"/>
          <w:color w:val="auto"/>
          <w:szCs w:val="32"/>
        </w:rPr>
      </w:pPr>
      <w:r>
        <w:rPr>
          <w:rFonts w:hint="eastAsia" w:ascii="仿宋_GB2312" w:eastAsia="仿宋_GB2312"/>
          <w:color w:val="auto"/>
          <w:szCs w:val="32"/>
        </w:rPr>
        <w:t>所有参加比选的供应商应编制“比选申请书”。比选申请书需提供纸质版正本一份、副本一份，并提供电子版一份（U盘储存，放置于胶装档案袋），纸质文件须密封及胶装。</w:t>
      </w:r>
    </w:p>
    <w:p>
      <w:pPr>
        <w:autoSpaceDE w:val="0"/>
        <w:ind w:firstLine="640"/>
        <w:rPr>
          <w:rFonts w:ascii="仿宋_GB2312" w:eastAsia="仿宋_GB2312"/>
          <w:color w:val="auto"/>
          <w:szCs w:val="32"/>
        </w:rPr>
      </w:pPr>
      <w:r>
        <w:rPr>
          <w:rFonts w:hint="eastAsia" w:ascii="仿宋_GB2312" w:eastAsia="仿宋_GB2312"/>
          <w:color w:val="auto"/>
          <w:szCs w:val="32"/>
        </w:rPr>
        <w:t>比选申请书递交截止时间</w:t>
      </w:r>
      <w:bookmarkStart w:id="122" w:name="_GoBack"/>
      <w:bookmarkEnd w:id="122"/>
      <w:r>
        <w:rPr>
          <w:rFonts w:hint="eastAsia" w:ascii="仿宋_GB2312" w:eastAsia="仿宋_GB2312"/>
          <w:color w:val="auto"/>
          <w:szCs w:val="32"/>
        </w:rPr>
        <w:t>为：2025年9月</w:t>
      </w:r>
      <w:r>
        <w:rPr>
          <w:rFonts w:hint="eastAsia" w:ascii="仿宋_GB2312" w:eastAsia="仿宋_GB2312"/>
          <w:color w:val="auto"/>
          <w:szCs w:val="32"/>
          <w:lang w:val="en-US" w:eastAsia="zh-CN"/>
        </w:rPr>
        <w:t>28</w:t>
      </w:r>
      <w:r>
        <w:rPr>
          <w:rFonts w:hint="eastAsia" w:ascii="仿宋_GB2312" w:eastAsia="仿宋_GB2312"/>
          <w:color w:val="auto"/>
          <w:szCs w:val="32"/>
        </w:rPr>
        <w:t>日</w:t>
      </w:r>
    </w:p>
    <w:p>
      <w:pPr>
        <w:widowControl/>
        <w:ind w:firstLine="640"/>
        <w:rPr>
          <w:rFonts w:ascii="仿宋_GB2312" w:eastAsia="仿宋_GB2312"/>
          <w:color w:val="auto"/>
          <w:szCs w:val="32"/>
        </w:rPr>
      </w:pPr>
      <w:r>
        <w:rPr>
          <w:rFonts w:hint="eastAsia" w:ascii="仿宋_GB2312" w:eastAsia="仿宋_GB2312"/>
          <w:color w:val="auto"/>
          <w:szCs w:val="32"/>
        </w:rPr>
        <w:t>地点为：北京市海淀区徐庄路9号院1号楼</w:t>
      </w:r>
    </w:p>
    <w:p>
      <w:pPr>
        <w:widowControl/>
        <w:ind w:firstLine="640"/>
        <w:rPr>
          <w:rFonts w:ascii="仿宋_GB2312" w:eastAsia="仿宋_GB2312"/>
          <w:szCs w:val="32"/>
        </w:rPr>
      </w:pPr>
      <w:r>
        <w:rPr>
          <w:rFonts w:hint="eastAsia" w:ascii="仿宋_GB2312" w:eastAsia="仿宋_GB2312"/>
          <w:szCs w:val="32"/>
        </w:rPr>
        <w:t>提交方式为：当面或邮寄。</w:t>
      </w:r>
    </w:p>
    <w:p>
      <w:pPr>
        <w:widowControl/>
        <w:ind w:firstLine="640"/>
        <w:rPr>
          <w:rFonts w:ascii="仿宋_GB2312" w:eastAsia="仿宋_GB2312"/>
          <w:szCs w:val="32"/>
        </w:rPr>
      </w:pPr>
      <w:r>
        <w:rPr>
          <w:rFonts w:hint="eastAsia" w:ascii="仿宋_GB2312" w:eastAsia="仿宋_GB2312"/>
          <w:szCs w:val="32"/>
        </w:rPr>
        <w:t>逾期送达的或未送达指定地点的比选申请书，比选人不予受理。</w:t>
      </w:r>
    </w:p>
    <w:p>
      <w:pPr>
        <w:widowControl/>
        <w:ind w:firstLine="640"/>
        <w:jc w:val="left"/>
        <w:outlineLvl w:val="1"/>
        <w:rPr>
          <w:rFonts w:ascii="黑体" w:hAnsi="黑体" w:eastAsia="黑体"/>
          <w:kern w:val="0"/>
          <w:szCs w:val="32"/>
        </w:rPr>
      </w:pPr>
      <w:bookmarkStart w:id="27" w:name="_Toc1502922247"/>
      <w:bookmarkStart w:id="28" w:name="_Toc1047362287_WPSOffice_Level2"/>
      <w:bookmarkStart w:id="29" w:name="_Toc208314402"/>
      <w:r>
        <w:rPr>
          <w:rFonts w:hint="eastAsia" w:ascii="黑体" w:hAnsi="黑体" w:eastAsia="黑体"/>
          <w:bCs/>
          <w:kern w:val="0"/>
          <w:szCs w:val="32"/>
        </w:rPr>
        <w:t>八、联系方式</w:t>
      </w:r>
      <w:bookmarkEnd w:id="27"/>
      <w:bookmarkEnd w:id="28"/>
      <w:bookmarkEnd w:id="29"/>
    </w:p>
    <w:p>
      <w:pPr>
        <w:ind w:firstLine="640"/>
        <w:rPr>
          <w:rFonts w:ascii="仿宋" w:hAnsi="仿宋" w:eastAsia="仿宋" w:cs="仿宋"/>
          <w:color w:val="333333"/>
        </w:rPr>
      </w:pPr>
      <w:r>
        <w:rPr>
          <w:rFonts w:hint="eastAsia" w:ascii="仿宋" w:hAnsi="仿宋" w:eastAsia="仿宋" w:cs="仿宋"/>
        </w:rPr>
        <w:t>比选人：北京市规划和自然资源委员会海淀分局</w:t>
      </w:r>
    </w:p>
    <w:p>
      <w:pPr>
        <w:ind w:firstLine="640"/>
        <w:rPr>
          <w:rFonts w:ascii="仿宋" w:hAnsi="仿宋" w:eastAsia="仿宋" w:cs="仿宋"/>
          <w:color w:val="333333"/>
        </w:rPr>
      </w:pPr>
      <w:r>
        <w:rPr>
          <w:rFonts w:hint="eastAsia" w:ascii="仿宋" w:hAnsi="仿宋" w:eastAsia="仿宋" w:cs="仿宋"/>
        </w:rPr>
        <w:t>联系地址：海淀区八里庄街道徐庄路9号院1号楼</w:t>
      </w:r>
    </w:p>
    <w:p>
      <w:pPr>
        <w:ind w:firstLine="640"/>
        <w:rPr>
          <w:rFonts w:ascii="仿宋" w:hAnsi="仿宋" w:eastAsia="仿宋" w:cs="仿宋"/>
          <w:color w:val="auto"/>
        </w:rPr>
      </w:pPr>
      <w:r>
        <w:rPr>
          <w:rFonts w:hint="eastAsia" w:ascii="仿宋" w:hAnsi="仿宋" w:eastAsia="仿宋" w:cs="仿宋"/>
          <w:color w:val="auto"/>
        </w:rPr>
        <w:t>联系方式：何子洋</w:t>
      </w:r>
    </w:p>
    <w:p>
      <w:pPr>
        <w:ind w:firstLine="640"/>
        <w:rPr>
          <w:rFonts w:ascii="仿宋" w:hAnsi="仿宋" w:eastAsia="仿宋" w:cs="仿宋"/>
          <w:color w:val="auto"/>
        </w:rPr>
      </w:pPr>
      <w:r>
        <w:rPr>
          <w:rFonts w:hint="eastAsia" w:ascii="仿宋" w:hAnsi="仿宋" w:eastAsia="仿宋" w:cs="仿宋"/>
          <w:color w:val="auto"/>
        </w:rPr>
        <w:t>联系方式：67412385</w:t>
      </w:r>
    </w:p>
    <w:p>
      <w:pPr>
        <w:autoSpaceDE w:val="0"/>
        <w:ind w:firstLine="640"/>
        <w:rPr>
          <w:rFonts w:ascii="仿宋_GB2312" w:eastAsia="仿宋_GB2312"/>
          <w:color w:val="auto"/>
          <w:szCs w:val="32"/>
        </w:rPr>
        <w:sectPr>
          <w:footerReference r:id="rId11" w:type="default"/>
          <w:pgSz w:w="11906" w:h="16838"/>
          <w:pgMar w:top="1440" w:right="1800" w:bottom="1440" w:left="1800" w:header="851" w:footer="992" w:gutter="0"/>
          <w:pgNumType w:start="1"/>
          <w:cols w:space="720" w:num="1"/>
          <w:docGrid w:type="lines" w:linePitch="312" w:charSpace="0"/>
        </w:sectPr>
      </w:pPr>
      <w:r>
        <w:rPr>
          <w:rFonts w:hint="eastAsia" w:ascii="仿宋_GB2312" w:eastAsia="仿宋_GB2312"/>
          <w:color w:val="auto"/>
          <w:szCs w:val="32"/>
        </w:rPr>
        <w:t>日期：2025年9月</w:t>
      </w:r>
      <w:r>
        <w:rPr>
          <w:rFonts w:hint="eastAsia" w:ascii="仿宋_GB2312" w:eastAsia="仿宋_GB2312"/>
          <w:color w:val="auto"/>
          <w:szCs w:val="32"/>
          <w:lang w:val="en-US" w:eastAsia="zh-CN"/>
        </w:rPr>
        <w:t>18</w:t>
      </w:r>
      <w:r>
        <w:rPr>
          <w:rFonts w:hint="eastAsia" w:ascii="仿宋_GB2312" w:eastAsia="仿宋_GB2312"/>
          <w:color w:val="auto"/>
          <w:szCs w:val="32"/>
        </w:rPr>
        <w:t>日</w:t>
      </w:r>
    </w:p>
    <w:p>
      <w:pPr>
        <w:numPr>
          <w:ilvl w:val="0"/>
          <w:numId w:val="3"/>
        </w:numPr>
        <w:spacing w:line="360" w:lineRule="auto"/>
        <w:ind w:firstLine="0" w:firstLineChars="0"/>
        <w:jc w:val="center"/>
        <w:outlineLvl w:val="0"/>
        <w:rPr>
          <w:rFonts w:ascii="黑体" w:hAnsi="黑体" w:eastAsia="黑体" w:cs="黑体"/>
          <w:kern w:val="0"/>
          <w:sz w:val="40"/>
          <w:szCs w:val="40"/>
        </w:rPr>
      </w:pPr>
      <w:r>
        <w:rPr>
          <w:rFonts w:hint="eastAsia" w:ascii="黑体" w:hAnsi="黑体" w:eastAsia="黑体" w:cs="黑体"/>
          <w:kern w:val="0"/>
          <w:sz w:val="40"/>
          <w:szCs w:val="40"/>
        </w:rPr>
        <w:t xml:space="preserve"> 评审方法</w:t>
      </w:r>
      <w:bookmarkEnd w:id="1"/>
      <w:bookmarkEnd w:id="2"/>
      <w:bookmarkEnd w:id="3"/>
    </w:p>
    <w:p>
      <w:pPr>
        <w:ind w:firstLine="643"/>
        <w:outlineLvl w:val="1"/>
        <w:rPr>
          <w:rFonts w:ascii="仿宋_GB2312" w:hAnsi="仿宋_GB2312" w:eastAsia="仿宋_GB2312" w:cs="仿宋_GB2312"/>
          <w:b/>
          <w:szCs w:val="32"/>
        </w:rPr>
      </w:pPr>
      <w:bookmarkStart w:id="30" w:name="_Toc652841986"/>
      <w:bookmarkStart w:id="31" w:name="_Toc208314404"/>
      <w:bookmarkStart w:id="32" w:name="_Toc1738114125_WPSOffice_Level2"/>
      <w:r>
        <w:rPr>
          <w:rFonts w:hint="eastAsia" w:ascii="仿宋_GB2312" w:hAnsi="仿宋_GB2312" w:eastAsia="仿宋_GB2312" w:cs="仿宋_GB2312"/>
          <w:b/>
          <w:szCs w:val="32"/>
        </w:rPr>
        <w:t>一、比选方法</w:t>
      </w:r>
      <w:bookmarkEnd w:id="30"/>
      <w:bookmarkEnd w:id="31"/>
      <w:bookmarkEnd w:id="32"/>
    </w:p>
    <w:p>
      <w:pPr>
        <w:ind w:firstLine="627" w:firstLineChars="196"/>
        <w:rPr>
          <w:rFonts w:ascii="仿宋_GB2312" w:hAnsi="仿宋_GB2312" w:eastAsia="仿宋_GB2312" w:cs="仿宋_GB2312"/>
          <w:szCs w:val="32"/>
        </w:rPr>
      </w:pPr>
      <w:r>
        <w:rPr>
          <w:rFonts w:hint="eastAsia" w:ascii="仿宋_GB2312" w:hAnsi="仿宋_GB2312" w:eastAsia="仿宋_GB2312" w:cs="仿宋_GB2312"/>
          <w:szCs w:val="32"/>
        </w:rPr>
        <w:t>本项目比选采用综合评比法。综合评比法是指在最大限度地满足比选文件实质性要求前提下，按照比选文件中规定的各项评分因素进行综合评审后，以评标总得分最高的参选人作为中选候选人，满分为100分。</w:t>
      </w:r>
    </w:p>
    <w:p>
      <w:pPr>
        <w:ind w:firstLine="643"/>
        <w:outlineLvl w:val="1"/>
        <w:rPr>
          <w:rFonts w:ascii="仿宋_GB2312" w:hAnsi="仿宋_GB2312" w:eastAsia="仿宋_GB2312" w:cs="仿宋_GB2312"/>
          <w:b/>
          <w:szCs w:val="32"/>
        </w:rPr>
      </w:pPr>
      <w:bookmarkStart w:id="33" w:name="_Toc494213708"/>
      <w:bookmarkStart w:id="34" w:name="_Toc208314405"/>
      <w:bookmarkStart w:id="35" w:name="_Toc991698207_WPSOffice_Level2"/>
      <w:r>
        <w:rPr>
          <w:rFonts w:hint="eastAsia" w:ascii="仿宋_GB2312" w:hAnsi="仿宋_GB2312" w:eastAsia="仿宋_GB2312" w:cs="仿宋_GB2312"/>
          <w:b/>
          <w:szCs w:val="32"/>
        </w:rPr>
        <w:t>二、比选依据</w:t>
      </w:r>
      <w:bookmarkEnd w:id="33"/>
      <w:bookmarkEnd w:id="34"/>
      <w:bookmarkEnd w:id="35"/>
    </w:p>
    <w:p>
      <w:pPr>
        <w:ind w:firstLine="627" w:firstLineChars="196"/>
        <w:rPr>
          <w:rFonts w:ascii="仿宋_GB2312" w:hAnsi="仿宋_GB2312" w:eastAsia="仿宋_GB2312" w:cs="仿宋_GB2312"/>
          <w:szCs w:val="32"/>
        </w:rPr>
      </w:pPr>
      <w:r>
        <w:rPr>
          <w:rFonts w:hint="eastAsia" w:ascii="仿宋_GB2312" w:hAnsi="仿宋_GB2312" w:eastAsia="仿宋_GB2312" w:cs="仿宋_GB2312"/>
          <w:szCs w:val="32"/>
        </w:rPr>
        <w:t>比选的依据为比选文件（含有效的澄清、修改或补充文件）。</w:t>
      </w:r>
    </w:p>
    <w:p>
      <w:pPr>
        <w:ind w:firstLine="643"/>
        <w:outlineLvl w:val="1"/>
        <w:rPr>
          <w:rFonts w:ascii="仿宋_GB2312" w:hAnsi="仿宋_GB2312" w:eastAsia="仿宋_GB2312" w:cs="仿宋_GB2312"/>
          <w:b/>
          <w:szCs w:val="32"/>
        </w:rPr>
      </w:pPr>
      <w:bookmarkStart w:id="36" w:name="_Toc208314406"/>
      <w:bookmarkStart w:id="37" w:name="_Toc719611506"/>
      <w:bookmarkStart w:id="38" w:name="_Toc1165354720_WPSOffice_Level2"/>
      <w:r>
        <w:rPr>
          <w:rFonts w:hint="eastAsia" w:ascii="仿宋_GB2312" w:hAnsi="仿宋_GB2312" w:eastAsia="仿宋_GB2312" w:cs="仿宋_GB2312"/>
          <w:b/>
          <w:szCs w:val="32"/>
        </w:rPr>
        <w:t>三、比选程序</w:t>
      </w:r>
      <w:bookmarkEnd w:id="36"/>
      <w:bookmarkEnd w:id="37"/>
      <w:bookmarkEnd w:id="38"/>
    </w:p>
    <w:p>
      <w:pPr>
        <w:ind w:firstLine="627" w:firstLineChars="196"/>
        <w:rPr>
          <w:rFonts w:ascii="仿宋_GB2312" w:hAnsi="仿宋_GB2312" w:eastAsia="仿宋_GB2312" w:cs="仿宋_GB2312"/>
          <w:szCs w:val="32"/>
        </w:rPr>
      </w:pPr>
      <w:r>
        <w:rPr>
          <w:rFonts w:hint="eastAsia" w:ascii="仿宋_GB2312" w:hAnsi="仿宋_GB2312" w:eastAsia="仿宋_GB2312" w:cs="仿宋_GB2312"/>
          <w:szCs w:val="32"/>
        </w:rPr>
        <w:t>比选工作由比选人负责组织，比选人按相关规定组建5人评选小组。评标程序如下：</w:t>
      </w:r>
    </w:p>
    <w:p>
      <w:pPr>
        <w:ind w:firstLine="627" w:firstLineChars="196"/>
        <w:rPr>
          <w:rFonts w:ascii="仿宋_GB2312" w:hAnsi="仿宋_GB2312" w:eastAsia="仿宋_GB2312" w:cs="仿宋_GB2312"/>
          <w:szCs w:val="32"/>
        </w:rPr>
      </w:pPr>
      <w:r>
        <w:rPr>
          <w:rFonts w:hint="eastAsia" w:ascii="仿宋_GB2312" w:hAnsi="仿宋_GB2312" w:eastAsia="仿宋_GB2312" w:cs="仿宋_GB2312"/>
          <w:szCs w:val="32"/>
        </w:rPr>
        <w:t>1．评选小组成员签到。</w:t>
      </w:r>
    </w:p>
    <w:p>
      <w:pPr>
        <w:ind w:firstLine="627" w:firstLineChars="196"/>
        <w:rPr>
          <w:rFonts w:ascii="仿宋_GB2312" w:hAnsi="仿宋_GB2312" w:eastAsia="仿宋_GB2312" w:cs="仿宋_GB2312"/>
          <w:szCs w:val="32"/>
        </w:rPr>
      </w:pPr>
      <w:r>
        <w:rPr>
          <w:rFonts w:hint="eastAsia" w:ascii="仿宋_GB2312" w:hAnsi="仿宋_GB2312" w:eastAsia="仿宋_GB2312" w:cs="仿宋_GB2312"/>
          <w:szCs w:val="32"/>
        </w:rPr>
        <w:t>2．评选。</w:t>
      </w:r>
    </w:p>
    <w:p>
      <w:pPr>
        <w:ind w:firstLine="640"/>
        <w:rPr>
          <w:rFonts w:ascii="仿宋_GB2312" w:hAnsi="仿宋_GB2312" w:eastAsia="仿宋_GB2312" w:cs="仿宋_GB2312"/>
          <w:bCs/>
          <w:szCs w:val="32"/>
        </w:rPr>
      </w:pPr>
      <w:r>
        <w:rPr>
          <w:rFonts w:hint="eastAsia" w:ascii="仿宋_GB2312" w:hAnsi="仿宋_GB2312" w:eastAsia="仿宋_GB2312" w:cs="仿宋_GB2312"/>
          <w:bCs/>
          <w:szCs w:val="32"/>
        </w:rPr>
        <w:t>2.1符合性检查。依据比选文件的规定，从参选人比选申请书的有效性、完整性和对比选文件的响应程度进行审查，以确定是否对比选文件的实质性要求作出响应。评选小组可根据符合性检查结果，决定参选人是否具备参选资格。符合性检查资料表如下：</w:t>
      </w:r>
    </w:p>
    <w:tbl>
      <w:tblPr>
        <w:tblStyle w:val="16"/>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951"/>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6" w:type="pct"/>
            <w:vAlign w:val="center"/>
          </w:tcPr>
          <w:p>
            <w:pPr>
              <w:ind w:firstLine="0" w:firstLineChars="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1132" w:type="pct"/>
            <w:vAlign w:val="center"/>
          </w:tcPr>
          <w:p>
            <w:pPr>
              <w:ind w:firstLine="0" w:firstLineChars="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审查因素</w:t>
            </w:r>
          </w:p>
        </w:tc>
        <w:tc>
          <w:tcPr>
            <w:tcW w:w="3300" w:type="pct"/>
            <w:vAlign w:val="center"/>
          </w:tcPr>
          <w:p>
            <w:pPr>
              <w:ind w:firstLine="56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66" w:type="pct"/>
            <w:vAlign w:val="center"/>
          </w:tcPr>
          <w:p>
            <w:pPr>
              <w:ind w:firstLine="280" w:firstLineChars="1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1132" w:type="pct"/>
            <w:vAlign w:val="center"/>
          </w:tcPr>
          <w:p>
            <w:pPr>
              <w:ind w:firstLine="0" w:firstLineChars="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企业营业执照</w:t>
            </w:r>
          </w:p>
        </w:tc>
        <w:tc>
          <w:tcPr>
            <w:tcW w:w="3300" w:type="pct"/>
            <w:vAlign w:val="center"/>
          </w:tcPr>
          <w:p>
            <w:pPr>
              <w:ind w:firstLine="56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66" w:type="pct"/>
            <w:vAlign w:val="center"/>
          </w:tcPr>
          <w:p>
            <w:pPr>
              <w:ind w:firstLine="280" w:firstLineChars="1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1132" w:type="pct"/>
            <w:vAlign w:val="center"/>
          </w:tcPr>
          <w:p>
            <w:pPr>
              <w:ind w:firstLine="0" w:firstLineChars="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投标报价</w:t>
            </w:r>
          </w:p>
        </w:tc>
        <w:tc>
          <w:tcPr>
            <w:tcW w:w="3300" w:type="pct"/>
            <w:vAlign w:val="center"/>
          </w:tcPr>
          <w:p>
            <w:pPr>
              <w:ind w:firstLine="56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投标报价未超过招标文件中规定的项目/采购包预算金额或者项目/采购包最高限价；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trPr>
        <w:tc>
          <w:tcPr>
            <w:tcW w:w="566" w:type="pct"/>
            <w:vAlign w:val="center"/>
          </w:tcPr>
          <w:p>
            <w:pPr>
              <w:ind w:firstLine="0" w:firstLineChars="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1132" w:type="pct"/>
            <w:vAlign w:val="center"/>
          </w:tcPr>
          <w:p>
            <w:pPr>
              <w:ind w:firstLine="0" w:firstLineChars="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合格供应商</w:t>
            </w:r>
          </w:p>
        </w:tc>
        <w:tc>
          <w:tcPr>
            <w:tcW w:w="3300" w:type="pct"/>
            <w:vAlign w:val="center"/>
          </w:tcPr>
          <w:p>
            <w:pPr>
              <w:ind w:firstLine="56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法律、行政法规、比选文件关于“合格供应商”的其他条件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66" w:type="pct"/>
            <w:vAlign w:val="center"/>
          </w:tcPr>
          <w:p>
            <w:pPr>
              <w:ind w:firstLine="280" w:firstLineChars="1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1132" w:type="pct"/>
            <w:vAlign w:val="center"/>
          </w:tcPr>
          <w:p>
            <w:pPr>
              <w:ind w:firstLine="0" w:firstLineChars="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签署、盖章</w:t>
            </w:r>
          </w:p>
        </w:tc>
        <w:tc>
          <w:tcPr>
            <w:tcW w:w="3300" w:type="pct"/>
            <w:vAlign w:val="center"/>
          </w:tcPr>
          <w:p>
            <w:pPr>
              <w:ind w:firstLine="56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66" w:type="pct"/>
            <w:vAlign w:val="center"/>
          </w:tcPr>
          <w:p>
            <w:pPr>
              <w:ind w:firstLine="280" w:firstLineChars="1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1132" w:type="pct"/>
            <w:vAlign w:val="center"/>
          </w:tcPr>
          <w:p>
            <w:pPr>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其他</w:t>
            </w:r>
          </w:p>
        </w:tc>
        <w:tc>
          <w:tcPr>
            <w:tcW w:w="3300" w:type="pct"/>
            <w:vAlign w:val="center"/>
          </w:tcPr>
          <w:p>
            <w:pPr>
              <w:ind w:firstLine="56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供应商应具备《中华人民共和国政府采购法》第二十二条第一款规定的条件</w:t>
            </w:r>
          </w:p>
        </w:tc>
      </w:tr>
    </w:tbl>
    <w:p>
      <w:pPr>
        <w:ind w:firstLine="640"/>
        <w:rPr>
          <w:rFonts w:ascii="仿宋_GB2312" w:hAnsi="仿宋_GB2312" w:eastAsia="仿宋_GB2312" w:cs="仿宋_GB2312"/>
          <w:bCs/>
          <w:szCs w:val="32"/>
        </w:rPr>
      </w:pPr>
      <w:r>
        <w:rPr>
          <w:rFonts w:hint="eastAsia" w:ascii="仿宋_GB2312" w:hAnsi="仿宋_GB2312" w:eastAsia="仿宋_GB2312" w:cs="仿宋_GB2312"/>
          <w:bCs/>
          <w:szCs w:val="32"/>
        </w:rPr>
        <w:t>2.2澄清有关问题。对比选申请书中含义不明确、表述不清楚或者有明显错误的内容，评选小组可以要求参选人作出必要澄清、说明或者补正。参选人的澄清或说明应当采用书面形式，由其授权的代表签字，并不得超出比选申请书的范围或者改变比选申请书的实质性内容。</w:t>
      </w:r>
    </w:p>
    <w:p>
      <w:pPr>
        <w:ind w:firstLine="640"/>
        <w:rPr>
          <w:rFonts w:ascii="仿宋_GB2312" w:hAnsi="仿宋_GB2312" w:eastAsia="仿宋_GB2312" w:cs="仿宋_GB2312"/>
          <w:bCs/>
          <w:szCs w:val="32"/>
        </w:rPr>
      </w:pPr>
      <w:r>
        <w:rPr>
          <w:rFonts w:hint="eastAsia" w:ascii="仿宋_GB2312" w:hAnsi="仿宋_GB2312" w:eastAsia="仿宋_GB2312" w:cs="仿宋_GB2312"/>
          <w:bCs/>
          <w:szCs w:val="32"/>
        </w:rPr>
        <w:t>3．比较与评价。评选小组各成员按比选文件中规定的比选方法和标准分别对参选人进行评价、打分，然后由评标组长组织评选小组成员对各评委打分情况进行复核。复核无误后，汇总。</w:t>
      </w:r>
    </w:p>
    <w:p>
      <w:pPr>
        <w:ind w:firstLine="640"/>
        <w:rPr>
          <w:rFonts w:ascii="仿宋_GB2312" w:hAnsi="仿宋_GB2312" w:eastAsia="仿宋_GB2312" w:cs="仿宋_GB2312"/>
          <w:bCs/>
          <w:szCs w:val="32"/>
        </w:rPr>
      </w:pPr>
      <w:r>
        <w:rPr>
          <w:rFonts w:hint="eastAsia" w:ascii="仿宋_GB2312" w:hAnsi="仿宋_GB2312" w:eastAsia="仿宋_GB2312" w:cs="仿宋_GB2312"/>
          <w:bCs/>
          <w:szCs w:val="32"/>
        </w:rPr>
        <w:t>4．推荐中选候选人。评选小组按照参选人综合得分由高到低进行排序，依次分别推荐中选候选人。如果出现同分并列情况，以比选价格低者排名在前；如果仍无法确定顺序，以技术服务方案得分高者排名在前；如果仍无法决定顺序，由评审小组集体决定排名顺序。</w:t>
      </w:r>
    </w:p>
    <w:p>
      <w:pPr>
        <w:ind w:firstLine="640"/>
        <w:rPr>
          <w:rFonts w:ascii="仿宋_GB2312" w:hAnsi="仿宋_GB2312" w:eastAsia="仿宋_GB2312" w:cs="仿宋_GB2312"/>
          <w:bCs/>
          <w:szCs w:val="32"/>
        </w:rPr>
      </w:pPr>
      <w:r>
        <w:rPr>
          <w:rFonts w:hint="eastAsia" w:ascii="仿宋_GB2312" w:hAnsi="仿宋_GB2312" w:eastAsia="仿宋_GB2312" w:cs="仿宋_GB2312"/>
          <w:bCs/>
          <w:szCs w:val="32"/>
        </w:rPr>
        <w:t>5．确定中选人。报请北京市规划自然资源委海淀分局局长办公会审议中选候选人，审议通过后确定中选人，并于5日内向中选人发布中选确认函。</w:t>
      </w:r>
    </w:p>
    <w:p>
      <w:pPr>
        <w:ind w:firstLine="643"/>
        <w:rPr>
          <w:rFonts w:ascii="仿宋_GB2312" w:hAnsi="仿宋_GB2312" w:eastAsia="仿宋_GB2312" w:cs="仿宋_GB2312"/>
          <w:b/>
          <w:szCs w:val="32"/>
        </w:rPr>
      </w:pPr>
      <w:bookmarkStart w:id="39" w:name="_Toc1644481182"/>
      <w:bookmarkStart w:id="40" w:name="_Toc208314407"/>
      <w:bookmarkStart w:id="41" w:name="_Toc693110979_WPSOffice_Level2"/>
      <w:r>
        <w:rPr>
          <w:rFonts w:hint="eastAsia" w:ascii="仿宋_GB2312" w:hAnsi="仿宋_GB2312" w:eastAsia="仿宋_GB2312" w:cs="仿宋_GB2312"/>
          <w:b/>
          <w:szCs w:val="32"/>
        </w:rPr>
        <w:br w:type="page"/>
      </w:r>
    </w:p>
    <w:p>
      <w:pPr>
        <w:ind w:firstLine="643"/>
        <w:outlineLvl w:val="1"/>
        <w:rPr>
          <w:rFonts w:ascii="仿宋_GB2312" w:hAnsi="仿宋_GB2312" w:eastAsia="仿宋_GB2312" w:cs="仿宋_GB2312"/>
          <w:b/>
          <w:szCs w:val="32"/>
        </w:rPr>
      </w:pPr>
      <w:r>
        <w:rPr>
          <w:rFonts w:hint="eastAsia" w:ascii="仿宋_GB2312" w:hAnsi="仿宋_GB2312" w:eastAsia="仿宋_GB2312" w:cs="仿宋_GB2312"/>
          <w:b/>
          <w:szCs w:val="32"/>
        </w:rPr>
        <w:t>四、比选标准</w:t>
      </w:r>
      <w:bookmarkEnd w:id="39"/>
      <w:bookmarkEnd w:id="40"/>
      <w:bookmarkEnd w:id="41"/>
    </w:p>
    <w:p>
      <w:pPr>
        <w:ind w:firstLine="640"/>
        <w:rPr>
          <w:rFonts w:hint="eastAsia" w:ascii="仿宋_GB2312" w:hAnsi="仿宋_GB2312" w:eastAsia="仿宋_GB2312" w:cs="仿宋_GB2312"/>
          <w:bCs/>
          <w:szCs w:val="32"/>
        </w:rPr>
      </w:pPr>
      <w:bookmarkStart w:id="42" w:name="_Toc1419879935"/>
      <w:bookmarkStart w:id="43" w:name="_Toc1116139105_WPSOffice_Level3"/>
      <w:r>
        <w:rPr>
          <w:rFonts w:hint="eastAsia" w:ascii="仿宋_GB2312" w:hAnsi="仿宋_GB2312" w:eastAsia="仿宋_GB2312" w:cs="仿宋_GB2312"/>
          <w:bCs/>
          <w:szCs w:val="32"/>
        </w:rPr>
        <w:t>1.分值构成</w:t>
      </w:r>
      <w:bookmarkEnd w:id="42"/>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分值构成：总分100分，其中</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商务部分：30分</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技术部分：60分</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报价部分：10分</w:t>
      </w:r>
    </w:p>
    <w:p>
      <w:pPr>
        <w:ind w:firstLine="640"/>
        <w:rPr>
          <w:rFonts w:hint="eastAsia" w:ascii="仿宋_GB2312" w:hAnsi="仿宋_GB2312" w:eastAsia="仿宋_GB2312" w:cs="仿宋_GB2312"/>
          <w:bCs/>
          <w:szCs w:val="32"/>
        </w:rPr>
      </w:pPr>
      <w:bookmarkStart w:id="44" w:name="_Toc1705304650"/>
      <w:r>
        <w:rPr>
          <w:rFonts w:hint="eastAsia" w:ascii="仿宋_GB2312" w:hAnsi="仿宋_GB2312" w:eastAsia="仿宋_GB2312" w:cs="仿宋_GB2312"/>
          <w:bCs/>
          <w:szCs w:val="32"/>
        </w:rPr>
        <w:t>2.商务和技术评审标准</w:t>
      </w:r>
      <w:bookmarkEnd w:id="44"/>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（1）商务部分评分标准：见下表一、商务评分标准</w:t>
      </w:r>
    </w:p>
    <w:p>
      <w:pPr>
        <w:ind w:firstLine="640"/>
        <w:rPr>
          <w:rFonts w:hint="eastAsia" w:ascii="仿宋_GB2312" w:hAnsi="仿宋_GB2312" w:eastAsia="仿宋_GB2312" w:cs="仿宋_GB2312"/>
          <w:bCs/>
          <w:szCs w:val="32"/>
        </w:rPr>
      </w:pPr>
      <w:r>
        <w:rPr>
          <w:rFonts w:hint="eastAsia" w:ascii="仿宋_GB2312" w:hAnsi="仿宋_GB2312" w:eastAsia="仿宋_GB2312" w:cs="仿宋_GB2312"/>
          <w:bCs/>
          <w:szCs w:val="32"/>
        </w:rPr>
        <w:t>（2）技术部分评分标准：见下表二、技术评分标准</w:t>
      </w:r>
    </w:p>
    <w:p>
      <w:pPr>
        <w:ind w:firstLine="640"/>
        <w:rPr>
          <w:rFonts w:ascii="仿宋_GB2312" w:hAnsi="仿宋_GB2312" w:eastAsia="仿宋_GB2312" w:cs="仿宋_GB2312"/>
          <w:bCs/>
          <w:szCs w:val="32"/>
        </w:rPr>
      </w:pPr>
      <w:r>
        <w:rPr>
          <w:rFonts w:hint="eastAsia" w:ascii="仿宋_GB2312" w:hAnsi="仿宋_GB2312" w:eastAsia="仿宋_GB2312" w:cs="仿宋_GB2312"/>
          <w:bCs/>
          <w:szCs w:val="32"/>
        </w:rPr>
        <w:t>（3）报价评分标准：见下表三、报价评分标准</w:t>
      </w:r>
      <w:bookmarkEnd w:id="43"/>
      <w:r>
        <w:rPr>
          <w:rFonts w:hint="eastAsia" w:ascii="仿宋_GB2312" w:hAnsi="仿宋_GB2312" w:eastAsia="仿宋_GB2312" w:cs="仿宋_GB2312"/>
          <w:bCs/>
          <w:szCs w:val="32"/>
        </w:rPr>
        <w:br w:type="page"/>
      </w:r>
    </w:p>
    <w:p>
      <w:pPr>
        <w:ind w:firstLine="2530" w:firstLineChars="900"/>
        <w:rPr>
          <w:rFonts w:ascii="仿宋_GB2312" w:hAnsi="仿宋_GB2312" w:eastAsia="仿宋_GB2312" w:cs="仿宋_GB2312"/>
          <w:b/>
          <w:sz w:val="28"/>
          <w:szCs w:val="28"/>
        </w:rPr>
      </w:pPr>
      <w:bookmarkStart w:id="45" w:name="_Toc1038391304"/>
      <w:r>
        <w:rPr>
          <w:rFonts w:hint="eastAsia" w:ascii="仿宋_GB2312" w:hAnsi="仿宋_GB2312" w:eastAsia="仿宋_GB2312" w:cs="仿宋_GB2312"/>
          <w:b/>
          <w:sz w:val="28"/>
          <w:szCs w:val="28"/>
        </w:rPr>
        <w:t>商务部分评分标准  30分</w:t>
      </w:r>
      <w:bookmarkEnd w:id="45"/>
    </w:p>
    <w:tbl>
      <w:tblPr>
        <w:tblStyle w:val="16"/>
        <w:tblW w:w="8561" w:type="dxa"/>
        <w:tblInd w:w="93" w:type="dxa"/>
        <w:tblLayout w:type="autofit"/>
        <w:tblCellMar>
          <w:top w:w="0" w:type="dxa"/>
          <w:left w:w="108" w:type="dxa"/>
          <w:bottom w:w="0" w:type="dxa"/>
          <w:right w:w="108" w:type="dxa"/>
        </w:tblCellMar>
      </w:tblPr>
      <w:tblGrid>
        <w:gridCol w:w="1462"/>
        <w:gridCol w:w="1449"/>
        <w:gridCol w:w="4832"/>
        <w:gridCol w:w="818"/>
      </w:tblGrid>
      <w:tr>
        <w:tblPrEx>
          <w:tblCellMar>
            <w:top w:w="0" w:type="dxa"/>
            <w:left w:w="108" w:type="dxa"/>
            <w:bottom w:w="0" w:type="dxa"/>
            <w:right w:w="108" w:type="dxa"/>
          </w:tblCellMar>
        </w:tblPrEx>
        <w:trPr>
          <w:trHeight w:val="573" w:hRule="atLeast"/>
        </w:trPr>
        <w:tc>
          <w:tcPr>
            <w:tcW w:w="1462" w:type="dxa"/>
            <w:vMerge w:val="restart"/>
            <w:tcBorders>
              <w:top w:val="single" w:color="000000" w:sz="4" w:space="0"/>
              <w:left w:val="single" w:color="000000" w:sz="4" w:space="0"/>
              <w:right w:val="single" w:color="000000" w:sz="4" w:space="0"/>
            </w:tcBorders>
            <w:vAlign w:val="center"/>
          </w:tcPr>
          <w:p>
            <w:pPr>
              <w:ind w:firstLine="0" w:firstLineChars="0"/>
              <w:jc w:val="center"/>
              <w:rPr>
                <w:rFonts w:ascii="仿宋_GB2312" w:hAnsi="仿宋_GB2312" w:eastAsia="仿宋_GB2312" w:cs="仿宋_GB2312"/>
                <w:b/>
                <w:sz w:val="28"/>
                <w:szCs w:val="28"/>
              </w:rPr>
            </w:pPr>
            <w:bookmarkStart w:id="46" w:name="_Toc7421584"/>
            <w:r>
              <w:rPr>
                <w:rFonts w:hint="eastAsia" w:ascii="仿宋_GB2312" w:hAnsi="仿宋_GB2312" w:eastAsia="仿宋_GB2312" w:cs="仿宋_GB2312"/>
                <w:b/>
                <w:sz w:val="28"/>
                <w:szCs w:val="28"/>
              </w:rPr>
              <w:t>评分内容</w:t>
            </w:r>
          </w:p>
        </w:tc>
        <w:tc>
          <w:tcPr>
            <w:tcW w:w="1449" w:type="dxa"/>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评分因素</w:t>
            </w:r>
          </w:p>
        </w:tc>
        <w:tc>
          <w:tcPr>
            <w:tcW w:w="4832" w:type="dxa"/>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评价指标</w:t>
            </w:r>
          </w:p>
        </w:tc>
        <w:tc>
          <w:tcPr>
            <w:tcW w:w="818" w:type="dxa"/>
            <w:vMerge w:val="restar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r>
      <w:tr>
        <w:tblPrEx>
          <w:tblCellMar>
            <w:top w:w="0" w:type="dxa"/>
            <w:left w:w="108" w:type="dxa"/>
            <w:bottom w:w="0" w:type="dxa"/>
            <w:right w:w="108" w:type="dxa"/>
          </w:tblCellMar>
        </w:tblPrEx>
        <w:trPr>
          <w:trHeight w:val="573" w:hRule="atLeast"/>
        </w:trPr>
        <w:tc>
          <w:tcPr>
            <w:tcW w:w="1462" w:type="dxa"/>
            <w:vMerge w:val="continue"/>
            <w:tcBorders>
              <w:left w:val="single" w:color="000000" w:sz="4" w:space="0"/>
              <w:bottom w:val="single" w:color="auto" w:sz="4" w:space="0"/>
              <w:right w:val="single" w:color="000000" w:sz="4" w:space="0"/>
            </w:tcBorders>
            <w:vAlign w:val="center"/>
          </w:tcPr>
          <w:p>
            <w:pPr>
              <w:ind w:firstLine="560"/>
              <w:rPr>
                <w:rFonts w:ascii="仿宋_GB2312" w:hAnsi="仿宋_GB2312" w:eastAsia="仿宋_GB2312" w:cs="仿宋_GB2312"/>
                <w:bCs/>
                <w:sz w:val="28"/>
                <w:szCs w:val="28"/>
              </w:rPr>
            </w:pPr>
          </w:p>
        </w:tc>
        <w:tc>
          <w:tcPr>
            <w:tcW w:w="1449" w:type="dxa"/>
            <w:vMerge w:val="continue"/>
            <w:tcBorders>
              <w:top w:val="single" w:color="000000" w:sz="4" w:space="0"/>
              <w:left w:val="single" w:color="000000" w:sz="4" w:space="0"/>
              <w:bottom w:val="single" w:color="auto" w:sz="4" w:space="0"/>
              <w:right w:val="single" w:color="000000" w:sz="4" w:space="0"/>
            </w:tcBorders>
            <w:vAlign w:val="center"/>
          </w:tcPr>
          <w:p>
            <w:pPr>
              <w:ind w:firstLine="560"/>
              <w:rPr>
                <w:rFonts w:ascii="仿宋_GB2312" w:hAnsi="仿宋_GB2312" w:eastAsia="仿宋_GB2312" w:cs="仿宋_GB2312"/>
                <w:bCs/>
                <w:sz w:val="28"/>
                <w:szCs w:val="28"/>
              </w:rPr>
            </w:pPr>
          </w:p>
        </w:tc>
        <w:tc>
          <w:tcPr>
            <w:tcW w:w="4832" w:type="dxa"/>
            <w:vMerge w:val="continue"/>
            <w:tcBorders>
              <w:top w:val="single" w:color="000000" w:sz="4" w:space="0"/>
              <w:left w:val="single" w:color="000000" w:sz="4" w:space="0"/>
              <w:bottom w:val="single" w:color="auto" w:sz="4" w:space="0"/>
              <w:right w:val="single" w:color="000000" w:sz="4" w:space="0"/>
            </w:tcBorders>
            <w:vAlign w:val="center"/>
          </w:tcPr>
          <w:p>
            <w:pPr>
              <w:ind w:firstLine="560"/>
              <w:rPr>
                <w:rFonts w:ascii="仿宋_GB2312" w:hAnsi="仿宋_GB2312" w:eastAsia="仿宋_GB2312" w:cs="仿宋_GB2312"/>
                <w:bCs/>
                <w:sz w:val="28"/>
                <w:szCs w:val="28"/>
              </w:rPr>
            </w:pP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rPr>
                <w:rFonts w:ascii="仿宋_GB2312" w:hAnsi="仿宋_GB2312" w:eastAsia="仿宋_GB2312" w:cs="仿宋_GB2312"/>
                <w:bCs/>
                <w:sz w:val="24"/>
                <w:szCs w:val="24"/>
              </w:rPr>
            </w:pPr>
          </w:p>
        </w:tc>
      </w:tr>
      <w:tr>
        <w:tblPrEx>
          <w:tblCellMar>
            <w:top w:w="0" w:type="dxa"/>
            <w:left w:w="108" w:type="dxa"/>
            <w:bottom w:w="0" w:type="dxa"/>
            <w:right w:w="108" w:type="dxa"/>
          </w:tblCellMar>
        </w:tblPrEx>
        <w:trPr>
          <w:trHeight w:val="1910" w:hRule="atLeast"/>
        </w:trPr>
        <w:tc>
          <w:tcPr>
            <w:tcW w:w="1462" w:type="dxa"/>
            <w:vMerge w:val="restart"/>
            <w:tcBorders>
              <w:top w:val="single" w:color="auto" w:sz="4" w:space="0"/>
              <w:left w:val="single" w:color="auto" w:sz="4" w:space="0"/>
              <w:right w:val="single" w:color="000000" w:sz="4" w:space="0"/>
            </w:tcBorders>
            <w:vAlign w:val="center"/>
          </w:tcPr>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lang w:val="zh-CN"/>
              </w:rPr>
              <w:t>商务部分</w:t>
            </w:r>
          </w:p>
        </w:tc>
        <w:tc>
          <w:tcPr>
            <w:tcW w:w="1449" w:type="dxa"/>
            <w:tcBorders>
              <w:top w:val="single" w:color="auto" w:sz="4" w:space="0"/>
              <w:left w:val="single" w:color="000000" w:sz="4" w:space="0"/>
              <w:bottom w:val="single" w:color="000000" w:sz="4" w:space="0"/>
              <w:right w:val="single" w:color="000000" w:sz="4" w:space="0"/>
            </w:tcBorders>
            <w:vAlign w:val="center"/>
          </w:tcPr>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监理业绩</w:t>
            </w:r>
          </w:p>
        </w:tc>
        <w:tc>
          <w:tcPr>
            <w:tcW w:w="4832" w:type="dxa"/>
            <w:tcBorders>
              <w:top w:val="single" w:color="auto" w:sz="4" w:space="0"/>
              <w:left w:val="single" w:color="000000" w:sz="4" w:space="0"/>
              <w:bottom w:val="single" w:color="000000" w:sz="4" w:space="0"/>
              <w:right w:val="single" w:color="auto" w:sz="4" w:space="0"/>
            </w:tcBorders>
            <w:vAlign w:val="center"/>
          </w:tcPr>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参选人2022年1月1日至今（以合同签订时间为准）具有的类似项目（地质灾害治理）监理业绩，每有一个得3分，最多得15分。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注：参选人须提供合同复印件为有效证明文件。未提供有效证明文件或不满足上述要求的业绩不予认可。</w:t>
            </w:r>
          </w:p>
        </w:tc>
        <w:tc>
          <w:tcPr>
            <w:tcW w:w="818" w:type="dxa"/>
            <w:tcBorders>
              <w:top w:val="single" w:color="000000" w:sz="4" w:space="0"/>
              <w:left w:val="single" w:color="auto" w:sz="4" w:space="0"/>
              <w:bottom w:val="single" w:color="000000" w:sz="4" w:space="0"/>
              <w:right w:val="single" w:color="000000" w:sz="4" w:space="0"/>
            </w:tcBorders>
            <w:vAlign w:val="center"/>
          </w:tcPr>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15</w:t>
            </w:r>
          </w:p>
        </w:tc>
      </w:tr>
      <w:tr>
        <w:tblPrEx>
          <w:tblCellMar>
            <w:top w:w="0" w:type="dxa"/>
            <w:left w:w="108" w:type="dxa"/>
            <w:bottom w:w="0" w:type="dxa"/>
            <w:right w:w="108" w:type="dxa"/>
          </w:tblCellMar>
        </w:tblPrEx>
        <w:trPr>
          <w:trHeight w:val="573" w:hRule="atLeast"/>
        </w:trPr>
        <w:tc>
          <w:tcPr>
            <w:tcW w:w="1462" w:type="dxa"/>
            <w:vMerge w:val="continue"/>
            <w:tcBorders>
              <w:left w:val="single" w:color="auto" w:sz="4" w:space="0"/>
              <w:right w:val="single" w:color="000000" w:sz="4" w:space="0"/>
            </w:tcBorders>
            <w:vAlign w:val="center"/>
          </w:tcPr>
          <w:p>
            <w:pPr>
              <w:ind w:firstLine="480"/>
              <w:rPr>
                <w:rFonts w:ascii="仿宋_GB2312" w:hAnsi="仿宋_GB2312" w:eastAsia="仿宋_GB2312" w:cs="仿宋_GB2312"/>
                <w:bCs/>
                <w:sz w:val="24"/>
                <w:szCs w:val="24"/>
              </w:rPr>
            </w:pPr>
          </w:p>
        </w:tc>
        <w:tc>
          <w:tcPr>
            <w:tcW w:w="1449" w:type="dxa"/>
            <w:tcBorders>
              <w:top w:val="single" w:color="000000" w:sz="4" w:space="0"/>
              <w:left w:val="single" w:color="000000" w:sz="4" w:space="0"/>
              <w:right w:val="single" w:color="000000" w:sz="4" w:space="0"/>
            </w:tcBorders>
            <w:vAlign w:val="center"/>
          </w:tcPr>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资质情况</w:t>
            </w:r>
          </w:p>
        </w:tc>
        <w:tc>
          <w:tcPr>
            <w:tcW w:w="4832" w:type="dxa"/>
            <w:tcBorders>
              <w:top w:val="single" w:color="000000" w:sz="4" w:space="0"/>
              <w:left w:val="single" w:color="000000" w:sz="4" w:space="0"/>
              <w:right w:val="single" w:color="auto" w:sz="4" w:space="0"/>
            </w:tcBorders>
            <w:vAlign w:val="center"/>
          </w:tcPr>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（1）具有行政主管部门颁发的有效的地质灾害防治单位资质证书（资质类别：监理）甲级或以上资质，得2分。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（2）具有有效的质量管理体系认证证书，得1分；具有有效的环境管理体系认证证书，得1分；具有有效的职业健康安全管理体系认证证书，得1分。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注：上述证书提供有效证书的复印件，否则不予认可。</w:t>
            </w:r>
          </w:p>
        </w:tc>
        <w:tc>
          <w:tcPr>
            <w:tcW w:w="818" w:type="dxa"/>
            <w:tcBorders>
              <w:top w:val="single" w:color="000000" w:sz="4" w:space="0"/>
              <w:left w:val="single" w:color="auto" w:sz="4" w:space="0"/>
              <w:right w:val="single" w:color="000000" w:sz="4" w:space="0"/>
            </w:tcBorders>
            <w:vAlign w:val="center"/>
          </w:tcPr>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r>
      <w:tr>
        <w:tblPrEx>
          <w:tblCellMar>
            <w:top w:w="0" w:type="dxa"/>
            <w:left w:w="108" w:type="dxa"/>
            <w:bottom w:w="0" w:type="dxa"/>
            <w:right w:w="108" w:type="dxa"/>
          </w:tblCellMar>
        </w:tblPrEx>
        <w:trPr>
          <w:trHeight w:val="1597" w:hRule="atLeast"/>
        </w:trPr>
        <w:tc>
          <w:tcPr>
            <w:tcW w:w="1462" w:type="dxa"/>
            <w:vMerge w:val="continue"/>
            <w:tcBorders>
              <w:left w:val="single" w:color="auto" w:sz="4" w:space="0"/>
              <w:bottom w:val="single" w:color="auto" w:sz="4" w:space="0"/>
              <w:right w:val="single" w:color="000000" w:sz="4" w:space="0"/>
            </w:tcBorders>
            <w:vAlign w:val="center"/>
          </w:tcPr>
          <w:p>
            <w:pPr>
              <w:ind w:firstLine="480"/>
              <w:rPr>
                <w:rFonts w:ascii="仿宋_GB2312" w:hAnsi="仿宋_GB2312" w:eastAsia="仿宋_GB2312" w:cs="仿宋_GB2312"/>
                <w:bCs/>
                <w:sz w:val="24"/>
                <w:szCs w:val="24"/>
              </w:rPr>
            </w:pPr>
          </w:p>
        </w:tc>
        <w:tc>
          <w:tcPr>
            <w:tcW w:w="1449"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项目团队</w:t>
            </w:r>
          </w:p>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人员</w:t>
            </w:r>
          </w:p>
        </w:tc>
        <w:tc>
          <w:tcPr>
            <w:tcW w:w="4832" w:type="dxa"/>
            <w:tcBorders>
              <w:top w:val="single" w:color="000000" w:sz="4" w:space="0"/>
              <w:left w:val="single" w:color="000000" w:sz="4" w:space="0"/>
              <w:bottom w:val="single" w:color="auto" w:sz="4" w:space="0"/>
              <w:right w:val="single" w:color="auto" w:sz="4" w:space="0"/>
            </w:tcBorders>
            <w:vAlign w:val="center"/>
          </w:tcPr>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（1）总监理工程师具有注册监理工程师资格得2分；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（2）总监理工程师具有高级及以上职称得3分，中级职称得2分，初级及以下职称不得分；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（3）项目团队人员配备完善、合理，有相关从业资格，得5分。</w:t>
            </w:r>
          </w:p>
        </w:tc>
        <w:tc>
          <w:tcPr>
            <w:tcW w:w="818" w:type="dxa"/>
            <w:tcBorders>
              <w:top w:val="single" w:color="000000" w:sz="4" w:space="0"/>
              <w:left w:val="single" w:color="auto" w:sz="4" w:space="0"/>
              <w:bottom w:val="single" w:color="000000" w:sz="4" w:space="0"/>
              <w:right w:val="single" w:color="000000" w:sz="4" w:space="0"/>
            </w:tcBorders>
            <w:vAlign w:val="center"/>
          </w:tcPr>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bl>
    <w:p>
      <w:pPr>
        <w:ind w:firstLine="0" w:firstLineChars="0"/>
        <w:jc w:val="center"/>
        <w:rPr>
          <w:rFonts w:ascii="宋体" w:hAnsi="宋体" w:eastAsia="宋体" w:cs="宋体"/>
          <w:bCs/>
          <w:sz w:val="24"/>
          <w:szCs w:val="24"/>
        </w:rPr>
      </w:pPr>
      <w:bookmarkStart w:id="47" w:name="_Toc924271531"/>
    </w:p>
    <w:p>
      <w:pPr>
        <w:ind w:firstLine="480"/>
        <w:rPr>
          <w:rFonts w:ascii="宋体" w:hAnsi="宋体" w:eastAsia="宋体" w:cs="宋体"/>
          <w:bCs/>
          <w:sz w:val="24"/>
          <w:szCs w:val="24"/>
        </w:rPr>
      </w:pPr>
      <w:r>
        <w:rPr>
          <w:rFonts w:hint="eastAsia" w:ascii="宋体" w:hAnsi="宋体" w:eastAsia="宋体" w:cs="宋体"/>
          <w:bCs/>
          <w:sz w:val="24"/>
          <w:szCs w:val="24"/>
        </w:rPr>
        <w:br w:type="page"/>
      </w:r>
    </w:p>
    <w:p>
      <w:pPr>
        <w:ind w:firstLine="2530" w:firstLineChars="900"/>
        <w:rPr>
          <w:rFonts w:ascii="仿宋_GB2312" w:hAnsi="仿宋_GB2312" w:eastAsia="仿宋_GB2312" w:cs="仿宋_GB2312"/>
          <w:b/>
          <w:sz w:val="28"/>
          <w:szCs w:val="28"/>
        </w:rPr>
      </w:pPr>
      <w:r>
        <w:rPr>
          <w:rFonts w:hint="eastAsia" w:ascii="仿宋_GB2312" w:hAnsi="仿宋_GB2312" w:eastAsia="仿宋_GB2312" w:cs="仿宋_GB2312"/>
          <w:b/>
          <w:sz w:val="28"/>
          <w:szCs w:val="28"/>
        </w:rPr>
        <w:t>技术部分评分标准</w:t>
      </w:r>
      <w:bookmarkEnd w:id="46"/>
      <w:r>
        <w:rPr>
          <w:rFonts w:hint="eastAsia" w:ascii="仿宋_GB2312" w:hAnsi="仿宋_GB2312" w:eastAsia="仿宋_GB2312" w:cs="仿宋_GB2312"/>
          <w:b/>
          <w:sz w:val="28"/>
          <w:szCs w:val="28"/>
        </w:rPr>
        <w:t xml:space="preserve">  60分</w:t>
      </w:r>
      <w:bookmarkEnd w:id="47"/>
    </w:p>
    <w:tbl>
      <w:tblPr>
        <w:tblStyle w:val="16"/>
        <w:tblW w:w="8549" w:type="dxa"/>
        <w:tblInd w:w="93" w:type="dxa"/>
        <w:tblLayout w:type="autofit"/>
        <w:tblCellMar>
          <w:top w:w="0" w:type="dxa"/>
          <w:left w:w="108" w:type="dxa"/>
          <w:bottom w:w="0" w:type="dxa"/>
          <w:right w:w="108" w:type="dxa"/>
        </w:tblCellMar>
      </w:tblPr>
      <w:tblGrid>
        <w:gridCol w:w="1358"/>
        <w:gridCol w:w="1534"/>
        <w:gridCol w:w="4807"/>
        <w:gridCol w:w="850"/>
      </w:tblGrid>
      <w:tr>
        <w:tblPrEx>
          <w:tblCellMar>
            <w:top w:w="0" w:type="dxa"/>
            <w:left w:w="108" w:type="dxa"/>
            <w:bottom w:w="0" w:type="dxa"/>
            <w:right w:w="108" w:type="dxa"/>
          </w:tblCellMar>
        </w:tblPrEx>
        <w:tc>
          <w:tcPr>
            <w:tcW w:w="1358"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评分内容</w:t>
            </w:r>
          </w:p>
        </w:tc>
        <w:tc>
          <w:tcPr>
            <w:tcW w:w="1534"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评分因素</w:t>
            </w:r>
          </w:p>
        </w:tc>
        <w:tc>
          <w:tcPr>
            <w:tcW w:w="4807"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评价指标</w:t>
            </w:r>
          </w:p>
        </w:tc>
        <w:tc>
          <w:tcPr>
            <w:tcW w:w="850"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r>
      <w:tr>
        <w:tblPrEx>
          <w:tblCellMar>
            <w:top w:w="0" w:type="dxa"/>
            <w:left w:w="108" w:type="dxa"/>
            <w:bottom w:w="0" w:type="dxa"/>
            <w:right w:w="108" w:type="dxa"/>
          </w:tblCellMar>
        </w:tblPrEx>
        <w:tc>
          <w:tcPr>
            <w:tcW w:w="1358" w:type="dxa"/>
            <w:vMerge w:val="restart"/>
            <w:tcBorders>
              <w:top w:val="single" w:color="auto" w:sz="4" w:space="0"/>
              <w:left w:val="single" w:color="auto" w:sz="4" w:space="0"/>
              <w:right w:val="single" w:color="000000" w:sz="4" w:space="0"/>
            </w:tcBorders>
            <w:vAlign w:val="center"/>
          </w:tcPr>
          <w:p>
            <w:pPr>
              <w:ind w:firstLine="480"/>
              <w:rPr>
                <w:rFonts w:ascii="仿宋_GB2312" w:hAnsi="仿宋_GB2312" w:eastAsia="仿宋_GB2312" w:cs="仿宋_GB2312"/>
                <w:bCs/>
                <w:sz w:val="24"/>
                <w:szCs w:val="24"/>
              </w:rPr>
            </w:pPr>
          </w:p>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技术部分</w:t>
            </w:r>
          </w:p>
        </w:tc>
        <w:tc>
          <w:tcPr>
            <w:tcW w:w="1534" w:type="dxa"/>
            <w:tcBorders>
              <w:top w:val="single" w:color="auto" w:sz="4" w:space="0"/>
              <w:left w:val="single" w:color="000000" w:sz="4" w:space="0"/>
              <w:bottom w:val="single" w:color="000000" w:sz="4" w:space="0"/>
              <w:right w:val="single" w:color="000000" w:sz="4" w:space="0"/>
            </w:tcBorders>
            <w:vAlign w:val="center"/>
          </w:tcPr>
          <w:p>
            <w:pPr>
              <w:spacing w:line="240" w:lineRule="auto"/>
              <w:ind w:firstLine="0"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工程特点、监理工作的重点与难点分析及监理对策</w:t>
            </w:r>
          </w:p>
        </w:tc>
        <w:tc>
          <w:tcPr>
            <w:tcW w:w="4807" w:type="dxa"/>
            <w:tcBorders>
              <w:top w:val="single" w:color="auto" w:sz="4" w:space="0"/>
              <w:left w:val="single" w:color="000000" w:sz="4" w:space="0"/>
              <w:bottom w:val="single" w:color="000000" w:sz="4" w:space="0"/>
              <w:right w:val="single" w:color="000000" w:sz="4" w:space="0"/>
            </w:tcBorders>
            <w:vAlign w:val="center"/>
          </w:tcPr>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（1）科学、合理，考虑周全，重点难点理解清晰，措施到位，针对性强，完全能够满足工程的需要得15分；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（2）基本科学、合理，基本考虑周全，重点难点理解较清晰，措施基本到位，针对性较强，可以满足工程的需要，但有个别细节需要进一步完善或提高得10分；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（3）在科学、合理性方面一般，基本考虑不周，重点难点理解较差，措施不够到位，针对性不强，虽然能够基本满足工程的需要，但有很多方面需要进一步完善甚至重新考虑得5分；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（4）在科学、合理性方面差，考虑非常不周，无重点难点理解，措施基本不到位，没有针对性，不能满足工程的需要得1分；</w:t>
            </w:r>
          </w:p>
          <w:p>
            <w:pPr>
              <w:spacing w:line="240" w:lineRule="auto"/>
              <w:ind w:firstLine="0" w:firstLineChars="0"/>
              <w:rPr>
                <w:rFonts w:ascii="仿宋_GB2312" w:hAnsi="仿宋_GB2312" w:eastAsia="仿宋_GB2312" w:cs="仿宋_GB2312"/>
                <w:bCs/>
                <w:sz w:val="24"/>
                <w:szCs w:val="24"/>
              </w:rPr>
            </w:pPr>
            <w:r>
              <w:rPr>
                <w:rFonts w:hint="eastAsia" w:ascii="仿宋_GB2312" w:hAnsi="仿宋_GB2312" w:eastAsia="仿宋_GB2312" w:cs="仿宋_GB2312"/>
                <w:bCs/>
                <w:sz w:val="21"/>
                <w:szCs w:val="21"/>
              </w:rPr>
              <w:t>（5）该项缺项不得分。</w:t>
            </w:r>
          </w:p>
        </w:tc>
        <w:tc>
          <w:tcPr>
            <w:tcW w:w="850" w:type="dxa"/>
            <w:tcBorders>
              <w:top w:val="single" w:color="auto"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4"/>
                <w:szCs w:val="24"/>
              </w:rPr>
            </w:pPr>
            <w:r>
              <w:rPr>
                <w:rFonts w:hint="eastAsia" w:ascii="仿宋_GB2312" w:hAnsi="仿宋_GB2312" w:eastAsia="仿宋_GB2312" w:cs="仿宋_GB2312"/>
                <w:bCs/>
                <w:sz w:val="24"/>
                <w:szCs w:val="24"/>
              </w:rPr>
              <w:t>15</w:t>
            </w:r>
          </w:p>
        </w:tc>
      </w:tr>
      <w:tr>
        <w:tblPrEx>
          <w:tblCellMar>
            <w:top w:w="0" w:type="dxa"/>
            <w:left w:w="108" w:type="dxa"/>
            <w:bottom w:w="0" w:type="dxa"/>
            <w:right w:w="108" w:type="dxa"/>
          </w:tblCellMar>
        </w:tblPrEx>
        <w:tc>
          <w:tcPr>
            <w:tcW w:w="1358" w:type="dxa"/>
            <w:vMerge w:val="continue"/>
            <w:tcBorders>
              <w:left w:val="single" w:color="auto" w:sz="4" w:space="0"/>
              <w:right w:val="single" w:color="000000" w:sz="4" w:space="0"/>
            </w:tcBorders>
            <w:vAlign w:val="center"/>
          </w:tcPr>
          <w:p>
            <w:pPr>
              <w:ind w:firstLine="480"/>
              <w:rPr>
                <w:rFonts w:ascii="仿宋_GB2312" w:hAnsi="仿宋_GB2312" w:eastAsia="仿宋_GB2312" w:cs="仿宋_GB2312"/>
                <w:bCs/>
                <w:sz w:val="24"/>
                <w:szCs w:val="24"/>
              </w:rPr>
            </w:pPr>
          </w:p>
        </w:tc>
        <w:tc>
          <w:tcPr>
            <w:tcW w:w="1534" w:type="dxa"/>
            <w:tcBorders>
              <w:top w:val="single" w:color="000000" w:sz="4" w:space="0"/>
              <w:left w:val="single" w:color="000000" w:sz="4" w:space="0"/>
              <w:right w:val="single" w:color="000000" w:sz="4" w:space="0"/>
            </w:tcBorders>
            <w:vAlign w:val="center"/>
          </w:tcPr>
          <w:p>
            <w:pPr>
              <w:spacing w:line="240" w:lineRule="auto"/>
              <w:ind w:firstLine="0"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质量控制重点及监理措施</w:t>
            </w:r>
          </w:p>
        </w:tc>
        <w:tc>
          <w:tcPr>
            <w:tcW w:w="4807" w:type="dxa"/>
            <w:tcBorders>
              <w:top w:val="single" w:color="000000" w:sz="4" w:space="0"/>
              <w:left w:val="single" w:color="000000" w:sz="4" w:space="0"/>
              <w:right w:val="single" w:color="000000" w:sz="4" w:space="0"/>
            </w:tcBorders>
            <w:vAlign w:val="center"/>
          </w:tcPr>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（1）科学、合理，考虑周全，措施到位，针对性强，完全能够满足工程的需要得15分；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（2）基本科学、合理，基本考虑周全，措施基本到位，针对性较强，可以满足工程的需要，但有个别细节需要进一步完善或提高得10分；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（3）在科学、合理性方面一般，基本考虑不周，措施不够到位，针对性不强，虽然能够基本满足工程的需要，但有很多方面需要进一步完善甚至重新考虑得5分；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（4）在科学、合理性方面差，考虑非常不周，措施基本不到位，没有针对性，不能满足工程的需要得1分；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（5）该项缺项不得分。</w:t>
            </w:r>
          </w:p>
        </w:tc>
        <w:tc>
          <w:tcPr>
            <w:tcW w:w="850" w:type="dxa"/>
            <w:tcBorders>
              <w:top w:val="single" w:color="000000" w:sz="4" w:space="0"/>
              <w:left w:val="single" w:color="000000"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4"/>
                <w:szCs w:val="24"/>
              </w:rPr>
            </w:pPr>
            <w:r>
              <w:rPr>
                <w:rFonts w:hint="eastAsia" w:ascii="仿宋_GB2312" w:hAnsi="仿宋_GB2312" w:eastAsia="仿宋_GB2312" w:cs="仿宋_GB2312"/>
                <w:bCs/>
                <w:sz w:val="24"/>
                <w:szCs w:val="24"/>
              </w:rPr>
              <w:t>15</w:t>
            </w:r>
          </w:p>
        </w:tc>
      </w:tr>
      <w:tr>
        <w:tblPrEx>
          <w:tblCellMar>
            <w:top w:w="0" w:type="dxa"/>
            <w:left w:w="108" w:type="dxa"/>
            <w:bottom w:w="0" w:type="dxa"/>
            <w:right w:w="108" w:type="dxa"/>
          </w:tblCellMar>
        </w:tblPrEx>
        <w:tc>
          <w:tcPr>
            <w:tcW w:w="1358" w:type="dxa"/>
            <w:vMerge w:val="continue"/>
            <w:tcBorders>
              <w:left w:val="single" w:color="auto" w:sz="4" w:space="0"/>
              <w:right w:val="single" w:color="000000" w:sz="4" w:space="0"/>
            </w:tcBorders>
            <w:vAlign w:val="center"/>
          </w:tcPr>
          <w:p>
            <w:pPr>
              <w:ind w:firstLine="480"/>
              <w:rPr>
                <w:rFonts w:ascii="仿宋_GB2312" w:hAnsi="仿宋_GB2312" w:eastAsia="仿宋_GB2312" w:cs="仿宋_GB2312"/>
                <w:bCs/>
                <w:sz w:val="24"/>
                <w:szCs w:val="24"/>
              </w:rPr>
            </w:pPr>
          </w:p>
        </w:tc>
        <w:tc>
          <w:tcPr>
            <w:tcW w:w="1534" w:type="dxa"/>
            <w:tcBorders>
              <w:top w:val="single" w:color="000000" w:sz="4" w:space="0"/>
              <w:left w:val="single" w:color="000000" w:sz="4" w:space="0"/>
              <w:right w:val="single" w:color="000000" w:sz="4" w:space="0"/>
            </w:tcBorders>
            <w:vAlign w:val="center"/>
          </w:tcPr>
          <w:p>
            <w:pPr>
              <w:spacing w:line="240" w:lineRule="auto"/>
              <w:ind w:firstLine="0"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进度控制重点及监理措施</w:t>
            </w:r>
          </w:p>
        </w:tc>
        <w:tc>
          <w:tcPr>
            <w:tcW w:w="4807" w:type="dxa"/>
            <w:tcBorders>
              <w:top w:val="single" w:color="000000" w:sz="4" w:space="0"/>
              <w:left w:val="single" w:color="000000" w:sz="4" w:space="0"/>
              <w:right w:val="single" w:color="000000" w:sz="4" w:space="0"/>
            </w:tcBorders>
            <w:vAlign w:val="center"/>
          </w:tcPr>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（1）科学、合理，考虑周全，措施到位，针对性强，完全能够满足工程的需要得10分；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（2）基本科学、合理，基本考虑周全，措施基本到位，针对性较强，可以满足工程的需要，但有个别细节需要进一步完善或提高得7分；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（3）在科学、合理性方面一般，基本考虑不周，措施不够到位，针对性不强，虽然能够基本满足工程的需要，但有很多方面需要进一步完善甚至重新考虑得4分；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（4）在科学、合理性方面差，考虑非常不周，措施基本不到位，没有针对性，不能满足工程的需要得1分；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（5）该项缺项不得分。</w:t>
            </w:r>
          </w:p>
        </w:tc>
        <w:tc>
          <w:tcPr>
            <w:tcW w:w="850" w:type="dxa"/>
            <w:tcBorders>
              <w:top w:val="single" w:color="000000" w:sz="4" w:space="0"/>
              <w:left w:val="single" w:color="000000"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4"/>
                <w:szCs w:val="24"/>
              </w:rPr>
            </w:pPr>
            <w:r>
              <w:rPr>
                <w:rFonts w:hint="eastAsia" w:ascii="仿宋_GB2312" w:hAnsi="仿宋_GB2312" w:eastAsia="仿宋_GB2312" w:cs="仿宋_GB2312"/>
                <w:bCs/>
                <w:sz w:val="24"/>
                <w:szCs w:val="24"/>
              </w:rPr>
              <w:t>10</w:t>
            </w:r>
          </w:p>
        </w:tc>
      </w:tr>
      <w:tr>
        <w:tblPrEx>
          <w:tblCellMar>
            <w:top w:w="0" w:type="dxa"/>
            <w:left w:w="108" w:type="dxa"/>
            <w:bottom w:w="0" w:type="dxa"/>
            <w:right w:w="108" w:type="dxa"/>
          </w:tblCellMar>
        </w:tblPrEx>
        <w:tc>
          <w:tcPr>
            <w:tcW w:w="1358" w:type="dxa"/>
            <w:vMerge w:val="continue"/>
            <w:tcBorders>
              <w:left w:val="single" w:color="auto" w:sz="4" w:space="0"/>
              <w:right w:val="single" w:color="000000" w:sz="4" w:space="0"/>
            </w:tcBorders>
            <w:vAlign w:val="center"/>
          </w:tcPr>
          <w:p>
            <w:pPr>
              <w:ind w:firstLine="480"/>
              <w:rPr>
                <w:rFonts w:ascii="仿宋_GB2312" w:hAnsi="仿宋_GB2312" w:eastAsia="仿宋_GB2312" w:cs="仿宋_GB2312"/>
                <w:bCs/>
                <w:sz w:val="24"/>
                <w:szCs w:val="24"/>
              </w:rPr>
            </w:pPr>
          </w:p>
        </w:tc>
        <w:tc>
          <w:tcPr>
            <w:tcW w:w="1534" w:type="dxa"/>
            <w:tcBorders>
              <w:top w:val="single" w:color="000000" w:sz="4" w:space="0"/>
              <w:left w:val="single" w:color="000000" w:sz="4" w:space="0"/>
              <w:right w:val="single" w:color="000000" w:sz="4" w:space="0"/>
            </w:tcBorders>
            <w:vAlign w:val="center"/>
          </w:tcPr>
          <w:p>
            <w:pPr>
              <w:spacing w:line="240" w:lineRule="auto"/>
              <w:ind w:firstLine="0"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造价控制重点及监理措施</w:t>
            </w:r>
          </w:p>
        </w:tc>
        <w:tc>
          <w:tcPr>
            <w:tcW w:w="4807" w:type="dxa"/>
            <w:tcBorders>
              <w:top w:val="single" w:color="000000" w:sz="4" w:space="0"/>
              <w:left w:val="single" w:color="000000" w:sz="4" w:space="0"/>
              <w:right w:val="single" w:color="000000" w:sz="4" w:space="0"/>
            </w:tcBorders>
            <w:vAlign w:val="center"/>
          </w:tcPr>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（1）科学、合理，考虑周全，措施到位，针对性强，完全能够满足工程的需要得10分；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（2）基本科学、合理，基本考虑周全，措施基本到位，针对性较强，可以满足工程的需要，但有个别细节需要进一步完善或提高得7分；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（3）在科学、合理性方面一般，基本考虑不周，措施不够到位，针对性不强，虽然能够基本满足工程的需要，但有很多方面需要进一步完善甚至重新考虑得4分；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（4）在科学、合理性方面差，考虑非常不周，措施基本不到位，没有针对性，不能满足工程的需要得1分；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（5）该项缺项不得分。</w:t>
            </w:r>
          </w:p>
        </w:tc>
        <w:tc>
          <w:tcPr>
            <w:tcW w:w="850" w:type="dxa"/>
            <w:tcBorders>
              <w:top w:val="single" w:color="000000" w:sz="4" w:space="0"/>
              <w:left w:val="single" w:color="000000"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4"/>
                <w:szCs w:val="24"/>
              </w:rPr>
            </w:pPr>
            <w:r>
              <w:rPr>
                <w:rFonts w:hint="eastAsia" w:ascii="仿宋_GB2312" w:hAnsi="仿宋_GB2312" w:eastAsia="仿宋_GB2312" w:cs="仿宋_GB2312"/>
                <w:bCs/>
                <w:sz w:val="24"/>
                <w:szCs w:val="24"/>
              </w:rPr>
              <w:t>10</w:t>
            </w:r>
          </w:p>
        </w:tc>
      </w:tr>
      <w:tr>
        <w:tblPrEx>
          <w:tblCellMar>
            <w:top w:w="0" w:type="dxa"/>
            <w:left w:w="108" w:type="dxa"/>
            <w:bottom w:w="0" w:type="dxa"/>
            <w:right w:w="108" w:type="dxa"/>
          </w:tblCellMar>
        </w:tblPrEx>
        <w:tc>
          <w:tcPr>
            <w:tcW w:w="1358" w:type="dxa"/>
            <w:vMerge w:val="continue"/>
            <w:tcBorders>
              <w:left w:val="single" w:color="auto" w:sz="4" w:space="0"/>
              <w:bottom w:val="single" w:color="000000" w:sz="4" w:space="0"/>
              <w:right w:val="single" w:color="000000" w:sz="4" w:space="0"/>
            </w:tcBorders>
            <w:vAlign w:val="center"/>
          </w:tcPr>
          <w:p>
            <w:pPr>
              <w:ind w:firstLine="480"/>
              <w:rPr>
                <w:rFonts w:ascii="仿宋_GB2312" w:hAnsi="仿宋_GB2312" w:eastAsia="仿宋_GB2312" w:cs="仿宋_GB2312"/>
                <w:bCs/>
                <w:sz w:val="24"/>
                <w:szCs w:val="24"/>
              </w:rPr>
            </w:pPr>
          </w:p>
        </w:tc>
        <w:tc>
          <w:tcPr>
            <w:tcW w:w="153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安全、环境保护及文明施工监理措施</w:t>
            </w:r>
          </w:p>
        </w:tc>
        <w:tc>
          <w:tcPr>
            <w:tcW w:w="480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（1）科学、合理，考虑周全，措施到位，针对性强，完全能够满足工程的需要得10分；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（2）基本科学、合理，基本考虑周全，措施基本到位，针对性较强，可以满足工程的需要，但有个别细节需要进一步完善或提高得7分；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（3）在科学、合理性方面一般，基本考虑不周，措施不够到位，针对性不强，虽然能够基本满足工程的需要，但有很多方面需要进一步完善甚至重新考虑得4分；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（4）在科学、合理性方面差，考虑非常不周，措施基本不到位，没有针对性，不能满足工程的需要得1分；</w:t>
            </w:r>
          </w:p>
          <w:p>
            <w:pPr>
              <w:spacing w:line="240" w:lineRule="auto"/>
              <w:ind w:firstLine="0" w:firstLine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（5）该项缺项不得分。</w:t>
            </w:r>
          </w:p>
        </w:tc>
        <w:tc>
          <w:tcPr>
            <w:tcW w:w="850"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4"/>
                <w:szCs w:val="24"/>
              </w:rPr>
            </w:pPr>
            <w:r>
              <w:rPr>
                <w:rFonts w:hint="eastAsia" w:ascii="仿宋_GB2312" w:hAnsi="仿宋_GB2312" w:eastAsia="仿宋_GB2312" w:cs="仿宋_GB2312"/>
                <w:bCs/>
                <w:sz w:val="24"/>
                <w:szCs w:val="24"/>
              </w:rPr>
              <w:t>10</w:t>
            </w:r>
          </w:p>
        </w:tc>
      </w:tr>
    </w:tbl>
    <w:p>
      <w:pPr>
        <w:widowControl/>
        <w:spacing w:line="240" w:lineRule="auto"/>
        <w:ind w:firstLine="0" w:firstLineChars="0"/>
        <w:jc w:val="left"/>
        <w:rPr>
          <w:rFonts w:ascii="仿宋_GB2312" w:hAnsi="仿宋_GB2312" w:eastAsia="仿宋_GB2312" w:cs="仿宋_GB2312"/>
          <w:b/>
          <w:bCs/>
          <w:kern w:val="0"/>
          <w:sz w:val="24"/>
          <w:szCs w:val="24"/>
        </w:rPr>
      </w:pPr>
    </w:p>
    <w:p>
      <w:pPr>
        <w:widowControl/>
        <w:spacing w:line="240" w:lineRule="auto"/>
        <w:ind w:firstLine="0" w:firstLineChars="0"/>
        <w:jc w:val="left"/>
        <w:rPr>
          <w:rFonts w:ascii="仿宋_GB2312" w:hAnsi="仿宋_GB2312" w:eastAsia="仿宋_GB2312" w:cs="仿宋_GB2312"/>
          <w:b/>
          <w:bCs/>
          <w:kern w:val="0"/>
          <w:sz w:val="24"/>
          <w:szCs w:val="24"/>
        </w:rPr>
      </w:pPr>
    </w:p>
    <w:p>
      <w:pPr>
        <w:ind w:firstLine="480"/>
        <w:rPr>
          <w:rFonts w:ascii="宋体" w:hAnsi="宋体" w:eastAsia="宋体" w:cs="宋体"/>
          <w:bCs/>
          <w:sz w:val="24"/>
          <w:szCs w:val="24"/>
        </w:rPr>
      </w:pPr>
      <w:r>
        <w:rPr>
          <w:rFonts w:hint="eastAsia" w:ascii="宋体" w:hAnsi="宋体" w:eastAsia="宋体" w:cs="宋体"/>
          <w:bCs/>
          <w:sz w:val="24"/>
          <w:szCs w:val="24"/>
        </w:rPr>
        <w:br w:type="page"/>
      </w:r>
    </w:p>
    <w:p>
      <w:pPr>
        <w:ind w:firstLine="2811" w:firstLineChars="1000"/>
        <w:rPr>
          <w:rFonts w:ascii="仿宋_GB2312" w:hAnsi="仿宋_GB2312" w:eastAsia="仿宋_GB2312" w:cs="仿宋_GB2312"/>
          <w:b/>
          <w:sz w:val="28"/>
          <w:szCs w:val="28"/>
        </w:rPr>
      </w:pPr>
      <w:r>
        <w:rPr>
          <w:rFonts w:hint="eastAsia" w:ascii="仿宋_GB2312" w:hAnsi="仿宋_GB2312" w:eastAsia="仿宋_GB2312" w:cs="仿宋_GB2312"/>
          <w:b/>
          <w:sz w:val="28"/>
          <w:szCs w:val="28"/>
        </w:rPr>
        <w:t>报价评分标准  10分</w:t>
      </w:r>
    </w:p>
    <w:tbl>
      <w:tblPr>
        <w:tblStyle w:val="17"/>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500"/>
        <w:gridCol w:w="5074"/>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评分内容</w:t>
            </w:r>
          </w:p>
        </w:tc>
        <w:tc>
          <w:tcPr>
            <w:tcW w:w="1500" w:type="dxa"/>
            <w:vAlign w:val="center"/>
          </w:tcPr>
          <w:p>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评分因素</w:t>
            </w:r>
          </w:p>
        </w:tc>
        <w:tc>
          <w:tcPr>
            <w:tcW w:w="5074" w:type="dxa"/>
            <w:vAlign w:val="center"/>
          </w:tcPr>
          <w:p>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评价指标</w:t>
            </w:r>
          </w:p>
        </w:tc>
        <w:tc>
          <w:tcPr>
            <w:tcW w:w="830" w:type="dxa"/>
            <w:vAlign w:val="center"/>
          </w:tcPr>
          <w:p>
            <w:pPr>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报价</w:t>
            </w:r>
          </w:p>
        </w:tc>
        <w:tc>
          <w:tcPr>
            <w:tcW w:w="1500" w:type="dxa"/>
            <w:vAlign w:val="center"/>
          </w:tcPr>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项目报价</w:t>
            </w:r>
          </w:p>
        </w:tc>
        <w:tc>
          <w:tcPr>
            <w:tcW w:w="5074" w:type="dxa"/>
            <w:vAlign w:val="center"/>
          </w:tcPr>
          <w:p>
            <w:pPr>
              <w:spacing w:line="240" w:lineRule="auto"/>
              <w:ind w:firstLine="0" w:firstLineChars="0"/>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（1）价格分采用低价优先法计算，即满足要求且报价最低的报价为评标基准价，其价格分为满分10分，其他单位的价格分统一按下列公式计算：比选报价得分=（评标基准价/投标报价）×价格满分分值。</w:t>
            </w:r>
          </w:p>
          <w:p>
            <w:pPr>
              <w:spacing w:line="240" w:lineRule="auto"/>
              <w:ind w:firstLine="0" w:firstLineChars="0"/>
              <w:jc w:val="left"/>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（2）最低报价不作为成交保证。</w:t>
            </w:r>
          </w:p>
        </w:tc>
        <w:tc>
          <w:tcPr>
            <w:tcW w:w="830" w:type="dxa"/>
            <w:vAlign w:val="center"/>
          </w:tcPr>
          <w:p>
            <w:pPr>
              <w:ind w:firstLine="0" w:firstLineChars="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bl>
    <w:p>
      <w:pPr>
        <w:pStyle w:val="2"/>
        <w:ind w:firstLine="0" w:firstLineChars="0"/>
        <w:rPr>
          <w:rFonts w:hint="eastAsia"/>
        </w:rPr>
      </w:pPr>
    </w:p>
    <w:p>
      <w:pPr>
        <w:snapToGrid w:val="0"/>
        <w:ind w:firstLine="643"/>
        <w:outlineLvl w:val="1"/>
        <w:rPr>
          <w:rFonts w:ascii="仿宋_GB2312" w:hAnsi="仿宋_GB2312" w:eastAsia="仿宋_GB2312" w:cs="仿宋_GB2312"/>
          <w:b/>
          <w:szCs w:val="32"/>
        </w:rPr>
      </w:pPr>
      <w:bookmarkStart w:id="48" w:name="_Toc208314408"/>
      <w:bookmarkStart w:id="49" w:name="_Toc31415442"/>
      <w:bookmarkStart w:id="50" w:name="_Toc849655965_WPSOffice_Level2"/>
      <w:r>
        <w:rPr>
          <w:rFonts w:hint="eastAsia" w:ascii="仿宋_GB2312" w:hAnsi="仿宋_GB2312" w:eastAsia="仿宋_GB2312" w:cs="仿宋_GB2312"/>
          <w:b/>
          <w:szCs w:val="32"/>
        </w:rPr>
        <w:t>五、保密及其他注意事项</w:t>
      </w:r>
      <w:bookmarkEnd w:id="48"/>
      <w:bookmarkEnd w:id="49"/>
      <w:bookmarkEnd w:id="50"/>
    </w:p>
    <w:p>
      <w:pPr>
        <w:snapToGrid w:val="0"/>
        <w:ind w:firstLine="640"/>
        <w:rPr>
          <w:rFonts w:ascii="仿宋_GB2312" w:hAnsi="仿宋_GB2312" w:eastAsia="仿宋_GB2312" w:cs="仿宋_GB2312"/>
          <w:szCs w:val="32"/>
        </w:rPr>
      </w:pPr>
      <w:r>
        <w:rPr>
          <w:rFonts w:hint="eastAsia" w:ascii="仿宋_GB2312" w:hAnsi="仿宋_GB2312" w:eastAsia="仿宋_GB2312" w:cs="仿宋_GB2312"/>
          <w:szCs w:val="32"/>
        </w:rPr>
        <w:t>1.评选小组判断比选申请书的响应性基于比选文件本身而不是外部证据。</w:t>
      </w:r>
    </w:p>
    <w:p>
      <w:pPr>
        <w:snapToGrid w:val="0"/>
        <w:ind w:firstLine="640"/>
        <w:rPr>
          <w:rFonts w:ascii="仿宋_GB2312" w:hAnsi="仿宋_GB2312" w:eastAsia="仿宋_GB2312" w:cs="仿宋_GB2312"/>
          <w:szCs w:val="32"/>
        </w:rPr>
      </w:pPr>
      <w:r>
        <w:rPr>
          <w:rFonts w:hint="eastAsia" w:ascii="仿宋_GB2312" w:hAnsi="仿宋_GB2312" w:eastAsia="仿宋_GB2312" w:cs="仿宋_GB2312"/>
          <w:szCs w:val="32"/>
        </w:rPr>
        <w:t>2.为保证比选的公正性，在评标过程中，评委不得与参选人私下交换意见，不得向任何第三者透露属于审查、澄清、评价、比较参选人的有关情节，不得泄露参选人的商业秘密；在比选工作结束后，凡与评标情况有接触的任何人不得也不应将评标情况扩散出评标人员之外。</w:t>
      </w:r>
    </w:p>
    <w:p>
      <w:pPr>
        <w:snapToGrid w:val="0"/>
        <w:ind w:firstLine="643"/>
        <w:outlineLvl w:val="1"/>
        <w:rPr>
          <w:rFonts w:ascii="仿宋_GB2312" w:hAnsi="仿宋_GB2312" w:eastAsia="仿宋_GB2312" w:cs="仿宋_GB2312"/>
          <w:b/>
          <w:szCs w:val="32"/>
        </w:rPr>
      </w:pPr>
      <w:bookmarkStart w:id="51" w:name="_Toc881211742_WPSOffice_Level2"/>
      <w:bookmarkStart w:id="52" w:name="_Toc1633235497"/>
      <w:bookmarkStart w:id="53" w:name="_Toc208314409"/>
      <w:r>
        <w:rPr>
          <w:rFonts w:hint="eastAsia" w:ascii="仿宋_GB2312" w:hAnsi="仿宋_GB2312" w:eastAsia="仿宋_GB2312" w:cs="仿宋_GB2312"/>
          <w:b/>
          <w:szCs w:val="32"/>
        </w:rPr>
        <w:t>六、无效比选条款</w:t>
      </w:r>
      <w:bookmarkEnd w:id="51"/>
      <w:bookmarkEnd w:id="52"/>
      <w:bookmarkEnd w:id="53"/>
    </w:p>
    <w:p>
      <w:pPr>
        <w:snapToGrid w:val="0"/>
        <w:ind w:firstLine="640"/>
        <w:rPr>
          <w:rFonts w:ascii="仿宋_GB2312" w:hAnsi="仿宋_GB2312" w:eastAsia="仿宋_GB2312" w:cs="仿宋_GB2312"/>
          <w:szCs w:val="32"/>
        </w:rPr>
      </w:pPr>
      <w:r>
        <w:rPr>
          <w:rFonts w:hint="eastAsia" w:ascii="仿宋_GB2312" w:hAnsi="仿宋_GB2312" w:eastAsia="仿宋_GB2312" w:cs="仿宋_GB2312"/>
          <w:szCs w:val="32"/>
        </w:rPr>
        <w:t>评选小组评审时，参选人或其比选申请书出现下列情况之一者，应为无效比选：</w:t>
      </w:r>
    </w:p>
    <w:p>
      <w:pPr>
        <w:snapToGrid w:val="0"/>
        <w:ind w:firstLine="640"/>
        <w:rPr>
          <w:rFonts w:ascii="仿宋_GB2312" w:hAnsi="仿宋_GB2312" w:eastAsia="仿宋_GB2312" w:cs="仿宋_GB2312"/>
          <w:szCs w:val="32"/>
        </w:rPr>
      </w:pPr>
      <w:r>
        <w:rPr>
          <w:rFonts w:hint="eastAsia" w:ascii="仿宋_GB2312" w:hAnsi="仿宋_GB2312" w:eastAsia="仿宋_GB2312" w:cs="仿宋_GB2312"/>
          <w:szCs w:val="32"/>
        </w:rPr>
        <w:t>1.参选人弄虚作假参加比选的；</w:t>
      </w:r>
    </w:p>
    <w:p>
      <w:pPr>
        <w:snapToGrid w:val="0"/>
        <w:ind w:firstLine="640"/>
        <w:rPr>
          <w:rFonts w:ascii="仿宋_GB2312" w:hAnsi="仿宋_GB2312" w:eastAsia="仿宋_GB2312" w:cs="仿宋_GB2312"/>
          <w:szCs w:val="32"/>
        </w:rPr>
      </w:pPr>
      <w:r>
        <w:rPr>
          <w:rFonts w:hint="eastAsia" w:ascii="仿宋_GB2312" w:hAnsi="仿宋_GB2312" w:eastAsia="仿宋_GB2312" w:cs="仿宋_GB2312"/>
          <w:szCs w:val="32"/>
        </w:rPr>
        <w:t>2.比选申请书逾期送达的；</w:t>
      </w:r>
    </w:p>
    <w:p>
      <w:pPr>
        <w:snapToGrid w:val="0"/>
        <w:ind w:firstLine="640"/>
        <w:rPr>
          <w:rFonts w:ascii="仿宋_GB2312" w:hAnsi="仿宋_GB2312" w:eastAsia="仿宋_GB2312" w:cs="仿宋_GB2312"/>
          <w:szCs w:val="32"/>
        </w:rPr>
      </w:pPr>
      <w:r>
        <w:rPr>
          <w:rFonts w:hint="eastAsia" w:ascii="仿宋_GB2312" w:hAnsi="仿宋_GB2312" w:eastAsia="仿宋_GB2312" w:cs="仿宋_GB2312"/>
          <w:szCs w:val="32"/>
        </w:rPr>
        <w:t>3.比选申请书含有违反国家法律、法规的内容或附有比选单位不能接受的条件的。</w:t>
      </w:r>
    </w:p>
    <w:p>
      <w:pPr>
        <w:snapToGrid w:val="0"/>
        <w:ind w:firstLine="643"/>
        <w:outlineLvl w:val="1"/>
        <w:rPr>
          <w:rFonts w:ascii="仿宋_GB2312" w:hAnsi="仿宋_GB2312" w:eastAsia="仿宋_GB2312" w:cs="仿宋_GB2312"/>
          <w:b/>
          <w:szCs w:val="32"/>
        </w:rPr>
      </w:pPr>
      <w:bookmarkStart w:id="54" w:name="_Toc1815647502"/>
      <w:bookmarkStart w:id="55" w:name="_Toc208314410"/>
      <w:bookmarkStart w:id="56" w:name="_Toc126887523_WPSOffice_Level2"/>
      <w:r>
        <w:rPr>
          <w:rFonts w:hint="eastAsia" w:ascii="仿宋_GB2312" w:hAnsi="仿宋_GB2312" w:eastAsia="仿宋_GB2312" w:cs="仿宋_GB2312"/>
          <w:b/>
          <w:szCs w:val="32"/>
        </w:rPr>
        <w:t>七、废标条款</w:t>
      </w:r>
      <w:bookmarkEnd w:id="54"/>
      <w:bookmarkEnd w:id="55"/>
      <w:bookmarkEnd w:id="56"/>
    </w:p>
    <w:p>
      <w:pPr>
        <w:snapToGrid w:val="0"/>
        <w:ind w:firstLine="640"/>
        <w:rPr>
          <w:rFonts w:ascii="仿宋_GB2312" w:hAnsi="仿宋_GB2312" w:eastAsia="仿宋_GB2312" w:cs="仿宋_GB2312"/>
          <w:szCs w:val="32"/>
        </w:rPr>
      </w:pPr>
      <w:r>
        <w:rPr>
          <w:rFonts w:hint="eastAsia" w:ascii="仿宋_GB2312" w:hAnsi="仿宋_GB2312" w:eastAsia="仿宋_GB2312" w:cs="仿宋_GB2312"/>
          <w:szCs w:val="32"/>
        </w:rPr>
        <w:t>评选小组评审时出现以下情况之一的，应予废标：</w:t>
      </w:r>
    </w:p>
    <w:p>
      <w:pPr>
        <w:snapToGrid w:val="0"/>
        <w:ind w:firstLine="640"/>
        <w:rPr>
          <w:rFonts w:ascii="仿宋_GB2312" w:hAnsi="仿宋_GB2312" w:eastAsia="仿宋_GB2312" w:cs="仿宋_GB2312"/>
          <w:szCs w:val="32"/>
        </w:rPr>
      </w:pPr>
      <w:bookmarkStart w:id="57" w:name="_Toc1874486365_WPSOffice_Level3"/>
      <w:r>
        <w:rPr>
          <w:rFonts w:hint="eastAsia" w:ascii="仿宋_GB2312" w:hAnsi="仿宋_GB2312" w:eastAsia="仿宋_GB2312" w:cs="仿宋_GB2312"/>
          <w:szCs w:val="32"/>
        </w:rPr>
        <w:t>1.出现影响比选公正的违法、违规行为的；</w:t>
      </w:r>
      <w:bookmarkEnd w:id="57"/>
    </w:p>
    <w:p>
      <w:pPr>
        <w:snapToGrid w:val="0"/>
        <w:ind w:firstLine="640"/>
        <w:rPr>
          <w:rFonts w:ascii="仿宋_GB2312" w:hAnsi="仿宋_GB2312" w:eastAsia="仿宋_GB2312" w:cs="仿宋_GB2312"/>
          <w:szCs w:val="32"/>
        </w:rPr>
      </w:pPr>
      <w:bookmarkStart w:id="58" w:name="_Toc627872628_WPSOffice_Level3"/>
      <w:r>
        <w:rPr>
          <w:rFonts w:hint="eastAsia" w:ascii="仿宋_GB2312" w:hAnsi="仿宋_GB2312" w:eastAsia="仿宋_GB2312" w:cs="仿宋_GB2312"/>
          <w:szCs w:val="32"/>
        </w:rPr>
        <w:t>2.因重大变故，比选任务取消的。</w:t>
      </w:r>
      <w:bookmarkEnd w:id="58"/>
    </w:p>
    <w:p>
      <w:pPr>
        <w:ind w:firstLine="0" w:firstLineChars="0"/>
      </w:pPr>
      <w:r>
        <w:rPr>
          <w:rFonts w:ascii="宋体" w:hAnsi="宋体" w:eastAsia="宋体"/>
          <w:sz w:val="24"/>
          <w:szCs w:val="24"/>
        </w:rPr>
        <w:br w:type="page"/>
      </w:r>
    </w:p>
    <w:p>
      <w:pPr>
        <w:numPr>
          <w:ilvl w:val="0"/>
          <w:numId w:val="3"/>
        </w:numPr>
        <w:spacing w:line="360" w:lineRule="auto"/>
        <w:ind w:firstLine="0" w:firstLineChars="0"/>
        <w:jc w:val="center"/>
        <w:outlineLvl w:val="0"/>
        <w:rPr>
          <w:rFonts w:ascii="黑体" w:hAnsi="黑体" w:eastAsia="黑体" w:cs="黑体"/>
          <w:kern w:val="0"/>
          <w:sz w:val="40"/>
          <w:szCs w:val="40"/>
        </w:rPr>
      </w:pPr>
      <w:bookmarkStart w:id="59" w:name="_Toc208314411"/>
      <w:r>
        <w:rPr>
          <w:rFonts w:hint="eastAsia" w:ascii="黑体" w:hAnsi="黑体" w:eastAsia="黑体" w:cs="黑体"/>
          <w:kern w:val="0"/>
          <w:sz w:val="40"/>
          <w:szCs w:val="40"/>
        </w:rPr>
        <w:t xml:space="preserve">  比选申请书主要格式</w:t>
      </w:r>
      <w:bookmarkEnd w:id="59"/>
      <w:r>
        <w:rPr>
          <w:rFonts w:hint="eastAsia" w:ascii="黑体" w:hAnsi="黑体" w:eastAsia="黑体" w:cs="黑体"/>
          <w:kern w:val="0"/>
          <w:sz w:val="40"/>
          <w:szCs w:val="40"/>
        </w:rPr>
        <w:t xml:space="preserve">  </w:t>
      </w:r>
    </w:p>
    <w:p>
      <w:pPr>
        <w:widowControl/>
        <w:numPr>
          <w:ilvl w:val="0"/>
          <w:numId w:val="4"/>
        </w:numPr>
        <w:ind w:right="240" w:firstLine="800" w:firstLineChars="0"/>
        <w:jc w:val="center"/>
        <w:rPr>
          <w:rFonts w:asciiTheme="minorEastAsia" w:hAnsiTheme="minorEastAsia" w:eastAsiaTheme="minorEastAsia"/>
          <w:b/>
          <w:sz w:val="40"/>
        </w:rPr>
      </w:pPr>
    </w:p>
    <w:p>
      <w:pPr>
        <w:widowControl/>
        <w:snapToGrid w:val="0"/>
        <w:spacing w:line="360" w:lineRule="auto"/>
        <w:ind w:firstLine="0" w:firstLineChars="0"/>
        <w:jc w:val="center"/>
        <w:rPr>
          <w:rFonts w:hint="eastAsia" w:ascii="黑体" w:hAnsi="黑体" w:eastAsia="黑体" w:cs="黑体"/>
          <w:b/>
          <w:bCs/>
          <w:kern w:val="0"/>
          <w:sz w:val="44"/>
          <w:szCs w:val="44"/>
        </w:rPr>
      </w:pPr>
      <w:bookmarkStart w:id="60" w:name="_Hlk145947923"/>
      <w:r>
        <w:rPr>
          <w:rFonts w:hint="eastAsia" w:ascii="黑体" w:hAnsi="黑体" w:eastAsia="黑体" w:cs="黑体"/>
          <w:b/>
          <w:bCs/>
          <w:kern w:val="0"/>
          <w:sz w:val="44"/>
          <w:szCs w:val="44"/>
        </w:rPr>
        <w:t>海淀区四季青镇普安店地面塌陷地质灾害</w:t>
      </w:r>
    </w:p>
    <w:p>
      <w:pPr>
        <w:widowControl/>
        <w:snapToGrid w:val="0"/>
        <w:spacing w:line="360" w:lineRule="auto"/>
        <w:ind w:firstLine="0" w:firstLineChars="0"/>
        <w:jc w:val="center"/>
        <w:rPr>
          <w:rFonts w:ascii="黑体" w:hAnsi="黑体" w:eastAsia="黑体" w:cs="黑体"/>
          <w:b/>
          <w:bCs/>
          <w:kern w:val="0"/>
          <w:sz w:val="44"/>
          <w:szCs w:val="44"/>
        </w:rPr>
      </w:pPr>
      <w:r>
        <w:rPr>
          <w:rFonts w:hint="eastAsia" w:ascii="黑体" w:hAnsi="黑体" w:eastAsia="黑体" w:cs="黑体"/>
          <w:b/>
          <w:bCs/>
          <w:kern w:val="0"/>
          <w:sz w:val="44"/>
          <w:szCs w:val="44"/>
        </w:rPr>
        <w:t>隐患点治理工作-监测预警工程建设监理</w:t>
      </w:r>
    </w:p>
    <w:p>
      <w:pPr>
        <w:widowControl/>
        <w:snapToGrid w:val="0"/>
        <w:spacing w:line="480" w:lineRule="auto"/>
        <w:ind w:firstLine="2871" w:firstLineChars="650"/>
        <w:jc w:val="left"/>
        <w:rPr>
          <w:rFonts w:ascii="黑体" w:hAnsi="黑体" w:eastAsia="黑体" w:cs="黑体"/>
          <w:b/>
          <w:bCs/>
          <w:kern w:val="0"/>
          <w:sz w:val="44"/>
          <w:szCs w:val="44"/>
        </w:rPr>
      </w:pPr>
    </w:p>
    <w:p>
      <w:pPr>
        <w:widowControl/>
        <w:snapToGrid w:val="0"/>
        <w:spacing w:line="480" w:lineRule="auto"/>
        <w:ind w:firstLine="0" w:firstLineChars="0"/>
        <w:jc w:val="center"/>
        <w:rPr>
          <w:rFonts w:ascii="黑体" w:hAnsi="黑体" w:eastAsia="黑体" w:cs="黑体"/>
          <w:b/>
          <w:bCs/>
          <w:kern w:val="0"/>
          <w:sz w:val="56"/>
          <w:szCs w:val="56"/>
        </w:rPr>
      </w:pPr>
      <w:bookmarkStart w:id="61" w:name="_Toc558961821"/>
      <w:bookmarkStart w:id="62" w:name="_Toc627872628_WPSOffice_Level1"/>
      <w:r>
        <w:rPr>
          <w:rFonts w:hint="eastAsia" w:ascii="黑体" w:hAnsi="黑体" w:eastAsia="黑体" w:cs="黑体"/>
          <w:b/>
          <w:bCs/>
          <w:kern w:val="0"/>
          <w:sz w:val="56"/>
          <w:szCs w:val="56"/>
        </w:rPr>
        <w:t>比选申请书</w:t>
      </w:r>
      <w:bookmarkEnd w:id="61"/>
      <w:bookmarkEnd w:id="62"/>
    </w:p>
    <w:p>
      <w:pPr>
        <w:ind w:right="30" w:firstLine="643"/>
        <w:jc w:val="center"/>
        <w:rPr>
          <w:rFonts w:ascii="黑体" w:hAnsi="黑体" w:eastAsia="黑体" w:cs="黑体"/>
          <w:b/>
        </w:rPr>
      </w:pPr>
    </w:p>
    <w:p>
      <w:pPr>
        <w:ind w:right="30" w:firstLine="643"/>
        <w:jc w:val="center"/>
        <w:rPr>
          <w:rFonts w:ascii="黑体" w:hAnsi="黑体" w:eastAsia="黑体" w:cs="黑体"/>
          <w:b/>
        </w:rPr>
      </w:pPr>
    </w:p>
    <w:p>
      <w:pPr>
        <w:ind w:right="30" w:firstLine="643"/>
        <w:jc w:val="center"/>
        <w:rPr>
          <w:rFonts w:ascii="黑体" w:hAnsi="黑体" w:eastAsia="黑体" w:cs="黑体"/>
          <w:b/>
        </w:rPr>
      </w:pPr>
    </w:p>
    <w:p>
      <w:pPr>
        <w:ind w:right="30" w:firstLine="643"/>
        <w:jc w:val="center"/>
        <w:rPr>
          <w:rFonts w:ascii="黑体" w:hAnsi="黑体" w:eastAsia="黑体" w:cs="黑体"/>
          <w:b/>
        </w:rPr>
      </w:pPr>
    </w:p>
    <w:p>
      <w:pPr>
        <w:ind w:right="30" w:firstLine="643"/>
        <w:jc w:val="center"/>
        <w:rPr>
          <w:rFonts w:ascii="黑体" w:hAnsi="黑体" w:eastAsia="黑体" w:cs="黑体"/>
          <w:b/>
        </w:rPr>
      </w:pPr>
    </w:p>
    <w:p>
      <w:pPr>
        <w:pStyle w:val="15"/>
        <w:ind w:left="1472" w:firstLine="640"/>
        <w:rPr>
          <w:rFonts w:ascii="黑体" w:hAnsi="黑体" w:eastAsia="黑体" w:cs="黑体"/>
        </w:rPr>
      </w:pPr>
    </w:p>
    <w:p>
      <w:pPr>
        <w:ind w:right="30" w:firstLine="643"/>
        <w:jc w:val="center"/>
        <w:rPr>
          <w:rFonts w:ascii="黑体" w:hAnsi="黑体" w:eastAsia="黑体" w:cs="黑体"/>
          <w:b/>
        </w:rPr>
      </w:pPr>
    </w:p>
    <w:p>
      <w:pPr>
        <w:ind w:right="30" w:firstLine="643"/>
        <w:jc w:val="center"/>
        <w:rPr>
          <w:rFonts w:ascii="黑体" w:hAnsi="黑体" w:eastAsia="黑体" w:cs="黑体"/>
          <w:b/>
        </w:rPr>
      </w:pPr>
    </w:p>
    <w:p>
      <w:pPr>
        <w:ind w:right="30" w:firstLine="643"/>
        <w:jc w:val="center"/>
        <w:rPr>
          <w:rFonts w:ascii="黑体" w:hAnsi="黑体" w:eastAsia="黑体" w:cs="黑体"/>
          <w:b/>
        </w:rPr>
      </w:pPr>
    </w:p>
    <w:p>
      <w:pPr>
        <w:ind w:right="30" w:firstLine="643"/>
        <w:jc w:val="center"/>
        <w:rPr>
          <w:rFonts w:ascii="黑体" w:hAnsi="黑体" w:eastAsia="黑体" w:cs="黑体"/>
          <w:b/>
        </w:rPr>
      </w:pPr>
    </w:p>
    <w:p>
      <w:pPr>
        <w:widowControl/>
        <w:snapToGrid w:val="0"/>
        <w:spacing w:line="480" w:lineRule="auto"/>
        <w:ind w:firstLine="1560" w:firstLineChars="650"/>
        <w:jc w:val="left"/>
        <w:rPr>
          <w:rFonts w:ascii="黑体" w:hAnsi="黑体" w:eastAsia="黑体" w:cs="黑体"/>
          <w:bCs/>
          <w:kern w:val="0"/>
          <w:sz w:val="24"/>
          <w:szCs w:val="32"/>
        </w:rPr>
      </w:pPr>
      <w:r>
        <w:rPr>
          <w:rFonts w:hint="eastAsia" w:ascii="黑体" w:hAnsi="黑体" w:eastAsia="黑体" w:cs="黑体"/>
          <w:bCs/>
          <w:kern w:val="0"/>
          <w:sz w:val="24"/>
          <w:szCs w:val="32"/>
        </w:rPr>
        <w:t>比选申请人：                          （盖公章）</w:t>
      </w:r>
    </w:p>
    <w:p>
      <w:pPr>
        <w:widowControl/>
        <w:snapToGrid w:val="0"/>
        <w:spacing w:line="480" w:lineRule="auto"/>
        <w:ind w:firstLine="1560" w:firstLineChars="650"/>
        <w:jc w:val="left"/>
        <w:rPr>
          <w:rFonts w:ascii="黑体" w:hAnsi="黑体" w:eastAsia="黑体" w:cs="黑体"/>
          <w:bCs/>
          <w:kern w:val="0"/>
          <w:sz w:val="24"/>
          <w:szCs w:val="32"/>
        </w:rPr>
      </w:pPr>
      <w:r>
        <w:rPr>
          <w:rFonts w:hint="eastAsia" w:ascii="黑体" w:hAnsi="黑体" w:eastAsia="黑体" w:cs="黑体"/>
          <w:bCs/>
          <w:kern w:val="0"/>
          <w:sz w:val="24"/>
          <w:szCs w:val="32"/>
        </w:rPr>
        <w:t>法定代表人或其授权代表：           （签字或盖章）</w:t>
      </w:r>
    </w:p>
    <w:p>
      <w:pPr>
        <w:widowControl/>
        <w:snapToGrid w:val="0"/>
        <w:spacing w:line="480" w:lineRule="auto"/>
        <w:ind w:firstLine="1560" w:firstLineChars="650"/>
        <w:jc w:val="left"/>
        <w:rPr>
          <w:rFonts w:ascii="宋体" w:hAnsi="宋体" w:eastAsia="宋体" w:cs="宋体"/>
          <w:bCs/>
          <w:kern w:val="0"/>
          <w:sz w:val="24"/>
          <w:szCs w:val="32"/>
        </w:rPr>
      </w:pPr>
      <w:r>
        <w:rPr>
          <w:rFonts w:hint="eastAsia" w:ascii="黑体" w:hAnsi="黑体" w:eastAsia="黑体" w:cs="黑体"/>
          <w:bCs/>
          <w:kern w:val="0"/>
          <w:sz w:val="24"/>
          <w:szCs w:val="32"/>
        </w:rPr>
        <w:t>日      期：       年      月     日</w:t>
      </w:r>
      <w:r>
        <w:rPr>
          <w:rFonts w:hint="eastAsia" w:ascii="黑体" w:hAnsi="黑体" w:eastAsia="黑体" w:cs="黑体"/>
          <w:bCs/>
          <w:kern w:val="0"/>
          <w:sz w:val="24"/>
          <w:szCs w:val="32"/>
        </w:rPr>
        <w:br w:type="page"/>
      </w:r>
    </w:p>
    <w:p>
      <w:pPr>
        <w:pStyle w:val="6"/>
      </w:pPr>
      <w:bookmarkStart w:id="63" w:name="_Toc502923886_WPSOffice_Level2"/>
      <w:bookmarkStart w:id="64" w:name="_Toc811711164"/>
      <w:bookmarkStart w:id="65" w:name="_Toc208314412"/>
      <w:r>
        <w:rPr>
          <w:rFonts w:hint="eastAsia"/>
        </w:rPr>
        <w:t>一</w:t>
      </w:r>
      <w:r>
        <w:t>、</w:t>
      </w:r>
      <w:r>
        <w:rPr>
          <w:rFonts w:hint="eastAsia"/>
        </w:rPr>
        <w:t>比选确认函</w:t>
      </w:r>
      <w:bookmarkEnd w:id="63"/>
      <w:bookmarkEnd w:id="64"/>
      <w:bookmarkEnd w:id="65"/>
    </w:p>
    <w:p>
      <w:pPr>
        <w:adjustRightInd w:val="0"/>
        <w:snapToGrid w:val="0"/>
        <w:spacing w:before="156" w:beforeLines="50" w:after="84"/>
        <w:ind w:firstLine="640"/>
        <w:rPr>
          <w:rFonts w:ascii="仿宋_GB2312" w:hAnsi="微软雅黑" w:eastAsia="仿宋_GB2312"/>
          <w:color w:val="000000"/>
          <w:szCs w:val="32"/>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w:t>
      </w:r>
      <w:r>
        <w:rPr>
          <w:rFonts w:ascii="仿宋_GB2312" w:hAnsi="微软雅黑" w:eastAsia="仿宋_GB2312"/>
          <w:color w:val="000000"/>
          <w:szCs w:val="32"/>
          <w:u w:val="single"/>
        </w:rPr>
        <w:t>　　　　　　　　　　　　　　　　</w:t>
      </w:r>
    </w:p>
    <w:p>
      <w:pPr>
        <w:tabs>
          <w:tab w:val="left" w:pos="1080"/>
          <w:tab w:val="left" w:pos="1155"/>
        </w:tabs>
        <w:adjustRightInd w:val="0"/>
        <w:snapToGrid w:val="0"/>
        <w:ind w:firstLine="640"/>
        <w:rPr>
          <w:rFonts w:ascii="仿宋_GB2312" w:hAnsi="微软雅黑" w:eastAsia="仿宋_GB2312"/>
          <w:bCs/>
          <w:color w:val="000000"/>
          <w:szCs w:val="32"/>
        </w:rPr>
      </w:pPr>
      <w:r>
        <w:rPr>
          <w:rFonts w:hint="eastAsia" w:ascii="仿宋_GB2312" w:hAnsi="微软雅黑" w:eastAsia="仿宋_GB2312"/>
          <w:color w:val="000000"/>
          <w:szCs w:val="32"/>
        </w:rPr>
        <w:t>我方针对</w:t>
      </w:r>
      <w:r>
        <w:rPr>
          <w:rFonts w:hint="eastAsia" w:ascii="仿宋_GB2312" w:hAnsi="微软雅黑" w:eastAsia="仿宋_GB2312"/>
          <w:color w:val="000000"/>
          <w:szCs w:val="32"/>
          <w:u w:val="single"/>
        </w:rPr>
        <w:t xml:space="preserve"> </w:t>
      </w:r>
      <w:r>
        <w:rPr>
          <w:rFonts w:hint="eastAsia" w:ascii="仿宋_GB2312" w:hAnsi="微软雅黑" w:eastAsia="仿宋_GB2312"/>
          <w:szCs w:val="32"/>
          <w:u w:val="single"/>
        </w:rPr>
        <w:t xml:space="preserve"> </w:t>
      </w:r>
      <w:r>
        <w:rPr>
          <w:rFonts w:ascii="仿宋_GB2312" w:hAnsi="微软雅黑" w:eastAsia="仿宋_GB2312"/>
          <w:szCs w:val="32"/>
          <w:u w:val="single"/>
        </w:rPr>
        <w:t xml:space="preserve">                       </w:t>
      </w:r>
      <w:r>
        <w:rPr>
          <w:rFonts w:hint="eastAsia" w:ascii="仿宋_GB2312" w:hAnsi="微软雅黑" w:eastAsia="仿宋_GB2312"/>
          <w:szCs w:val="32"/>
          <w:u w:val="single"/>
        </w:rPr>
        <w:t xml:space="preserve"> </w:t>
      </w:r>
      <w:r>
        <w:rPr>
          <w:rFonts w:hint="eastAsia" w:ascii="仿宋_GB2312" w:hAnsi="微软雅黑" w:eastAsia="仿宋_GB2312"/>
          <w:color w:val="000000"/>
          <w:szCs w:val="32"/>
        </w:rPr>
        <w:t>的项目，正式授权下述签字人</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代表参选人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w:t>
      </w:r>
      <w:r>
        <w:rPr>
          <w:rFonts w:hint="eastAsia" w:ascii="仿宋_GB2312" w:hAnsi="微软雅黑" w:eastAsia="仿宋_GB2312"/>
          <w:color w:val="000000"/>
          <w:szCs w:val="32"/>
        </w:rPr>
        <w:t>提交比选文件要求的全套参选文件，包括：</w:t>
      </w:r>
    </w:p>
    <w:p>
      <w:pPr>
        <w:adjustRightInd w:val="0"/>
        <w:snapToGrid w:val="0"/>
        <w:spacing w:after="84"/>
        <w:ind w:left="480" w:firstLine="640"/>
        <w:rPr>
          <w:rFonts w:ascii="仿宋_GB2312" w:hAnsi="微软雅黑" w:eastAsia="仿宋_GB2312"/>
          <w:color w:val="000000"/>
          <w:szCs w:val="32"/>
        </w:rPr>
      </w:pPr>
      <w:bookmarkStart w:id="66" w:name="_Toc1177370268_WPSOffice_Level3"/>
      <w:r>
        <w:rPr>
          <w:rFonts w:hint="eastAsia" w:ascii="仿宋_GB2312" w:hAnsi="微软雅黑" w:eastAsia="仿宋_GB2312"/>
          <w:color w:val="000000"/>
          <w:szCs w:val="32"/>
        </w:rPr>
        <w:t>1、比</w:t>
      </w:r>
      <w:r>
        <w:rPr>
          <w:rFonts w:ascii="仿宋_GB2312" w:hAnsi="微软雅黑" w:eastAsia="仿宋_GB2312"/>
          <w:color w:val="000000"/>
          <w:szCs w:val="32"/>
        </w:rPr>
        <w:t>选申请书</w:t>
      </w:r>
      <w:r>
        <w:rPr>
          <w:rFonts w:hint="eastAsia" w:ascii="仿宋_GB2312" w:hAnsi="微软雅黑" w:eastAsia="仿宋_GB2312"/>
          <w:color w:val="000000"/>
          <w:szCs w:val="32"/>
        </w:rPr>
        <w:t>；</w:t>
      </w:r>
      <w:bookmarkEnd w:id="66"/>
    </w:p>
    <w:p>
      <w:pPr>
        <w:adjustRightInd w:val="0"/>
        <w:snapToGrid w:val="0"/>
        <w:spacing w:after="84"/>
        <w:ind w:left="480" w:firstLine="640"/>
        <w:rPr>
          <w:rFonts w:ascii="仿宋_GB2312" w:hAnsi="微软雅黑" w:eastAsia="仿宋_GB2312"/>
          <w:color w:val="000000"/>
          <w:szCs w:val="32"/>
        </w:rPr>
      </w:pPr>
      <w:bookmarkStart w:id="67" w:name="_Toc1252931699_WPSOffice_Level3"/>
      <w:r>
        <w:rPr>
          <w:rFonts w:hint="eastAsia" w:ascii="仿宋_GB2312" w:hAnsi="微软雅黑" w:eastAsia="仿宋_GB2312"/>
          <w:color w:val="000000"/>
          <w:szCs w:val="32"/>
        </w:rPr>
        <w:t>2、其他资料（如有）。</w:t>
      </w:r>
      <w:bookmarkEnd w:id="67"/>
    </w:p>
    <w:p>
      <w:pPr>
        <w:adjustRightInd w:val="0"/>
        <w:snapToGrid w:val="0"/>
        <w:ind w:firstLine="640"/>
        <w:rPr>
          <w:rFonts w:ascii="仿宋_GB2312" w:hAnsi="微软雅黑" w:eastAsia="仿宋_GB2312"/>
          <w:color w:val="000000"/>
          <w:szCs w:val="32"/>
        </w:rPr>
      </w:pPr>
      <w:r>
        <w:rPr>
          <w:rFonts w:hint="eastAsia" w:ascii="仿宋_GB2312" w:hAnsi="微软雅黑" w:eastAsia="仿宋_GB2312"/>
          <w:color w:val="000000"/>
          <w:szCs w:val="32"/>
        </w:rPr>
        <w:t>据此函，签字人兹宣布同意如下：</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1）我方已详细查看并确认全部比选及邀请文件内容。</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2）我方同意所提交的参选文件在比选及服务期内有效，如果成交，在此期间内我方将受此约束。</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3）除非另外达成协议并生效，你方的中标通知书和本参选文件将成为约束双方的合同文件的组成部分。</w:t>
      </w:r>
    </w:p>
    <w:p>
      <w:pPr>
        <w:adjustRightInd w:val="0"/>
        <w:snapToGrid w:val="0"/>
        <w:ind w:firstLine="566" w:firstLineChars="177"/>
        <w:rPr>
          <w:rFonts w:ascii="仿宋_GB2312" w:hAnsi="微软雅黑" w:eastAsia="仿宋_GB2312"/>
          <w:color w:val="000000"/>
          <w:szCs w:val="32"/>
          <w:u w:val="single"/>
        </w:rPr>
      </w:pPr>
      <w:r>
        <w:rPr>
          <w:rFonts w:hint="eastAsia" w:ascii="仿宋_GB2312" w:hAnsi="微软雅黑" w:eastAsia="仿宋_GB2312"/>
          <w:color w:val="000000"/>
          <w:szCs w:val="32"/>
        </w:rPr>
        <w:t>4）其他补充说明：</w:t>
      </w:r>
      <w:r>
        <w:rPr>
          <w:rFonts w:hint="eastAsia" w:ascii="仿宋_GB2312" w:hAnsi="微软雅黑" w:eastAsia="仿宋_GB2312"/>
          <w:color w:val="000000"/>
          <w:szCs w:val="32"/>
          <w:u w:val="single"/>
        </w:rPr>
        <w:t xml:space="preserve">                                        </w:t>
      </w:r>
    </w:p>
    <w:p>
      <w:pPr>
        <w:adjustRightInd w:val="0"/>
        <w:snapToGrid w:val="0"/>
        <w:ind w:firstLine="640"/>
        <w:rPr>
          <w:rFonts w:ascii="仿宋_GB2312" w:hAnsi="微软雅黑" w:eastAsia="仿宋_GB2312"/>
          <w:color w:val="000000"/>
          <w:szCs w:val="32"/>
        </w:rPr>
      </w:pPr>
      <w:r>
        <w:rPr>
          <w:rFonts w:hint="eastAsia" w:ascii="仿宋_GB2312" w:hAnsi="微软雅黑" w:eastAsia="仿宋_GB2312"/>
          <w:color w:val="000000"/>
          <w:szCs w:val="32"/>
          <w:u w:val="single"/>
        </w:rPr>
        <w:t xml:space="preserve">                                                        </w:t>
      </w:r>
    </w:p>
    <w:p>
      <w:pPr>
        <w:adjustRightInd w:val="0"/>
        <w:snapToGrid w:val="0"/>
        <w:spacing w:before="234" w:beforeLines="75" w:after="84"/>
        <w:ind w:left="38" w:leftChars="12" w:firstLine="640"/>
        <w:rPr>
          <w:rFonts w:ascii="仿宋_GB2312" w:hAnsi="微软雅黑" w:eastAsia="仿宋_GB2312"/>
          <w:color w:val="000000"/>
          <w:szCs w:val="32"/>
        </w:rPr>
      </w:pPr>
      <w:bookmarkStart w:id="68" w:name="_Toc60537392"/>
      <w:r>
        <w:rPr>
          <w:rFonts w:hint="eastAsia" w:ascii="仿宋_GB2312" w:hAnsi="微软雅黑" w:eastAsia="仿宋_GB2312"/>
          <w:color w:val="000000"/>
          <w:szCs w:val="32"/>
        </w:rPr>
        <w:t>参选人：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w:t>
      </w:r>
      <w:r>
        <w:rPr>
          <w:rFonts w:hint="eastAsia" w:ascii="仿宋_GB2312" w:hAnsi="微软雅黑" w:eastAsia="仿宋_GB2312"/>
          <w:color w:val="000000"/>
          <w:szCs w:val="32"/>
          <w:u w:val="single"/>
        </w:rPr>
        <w:t xml:space="preserve">                        </w:t>
      </w:r>
    </w:p>
    <w:p>
      <w:pPr>
        <w:adjustRightInd w:val="0"/>
        <w:snapToGrid w:val="0"/>
        <w:spacing w:before="78" w:beforeLines="25" w:after="84"/>
        <w:ind w:left="38" w:leftChars="12" w:firstLine="640"/>
        <w:rPr>
          <w:rFonts w:ascii="仿宋_GB2312" w:hAnsi="微软雅黑" w:eastAsia="仿宋_GB2312"/>
          <w:color w:val="000000"/>
          <w:szCs w:val="32"/>
          <w:u w:val="single"/>
        </w:rPr>
      </w:pPr>
      <w:r>
        <w:rPr>
          <w:rFonts w:hint="eastAsia" w:ascii="仿宋_GB2312" w:hAnsi="微软雅黑" w:eastAsia="仿宋_GB2312"/>
          <w:color w:val="000000"/>
          <w:szCs w:val="32"/>
        </w:rPr>
        <w:t>法定代表人或授权代表：</w:t>
      </w:r>
      <w:r>
        <w:rPr>
          <w:rFonts w:hint="eastAsia" w:ascii="仿宋_GB2312" w:hAnsi="微软雅黑" w:eastAsia="仿宋_GB2312"/>
          <w:color w:val="000000"/>
          <w:szCs w:val="32"/>
          <w:u w:val="single"/>
        </w:rPr>
        <w:t xml:space="preserve">                                  </w:t>
      </w:r>
    </w:p>
    <w:p>
      <w:pPr>
        <w:adjustRightInd w:val="0"/>
        <w:snapToGrid w:val="0"/>
        <w:spacing w:before="78" w:beforeLines="25" w:after="84"/>
        <w:ind w:left="38" w:leftChars="12" w:firstLine="640"/>
        <w:rPr>
          <w:rFonts w:ascii="仿宋_GB2312" w:hAnsi="微软雅黑" w:eastAsia="仿宋_GB2312"/>
          <w:color w:val="000000"/>
          <w:szCs w:val="32"/>
        </w:rPr>
      </w:pPr>
      <w:r>
        <w:rPr>
          <w:rFonts w:hint="eastAsia" w:ascii="仿宋_GB2312" w:hAnsi="微软雅黑" w:eastAsia="仿宋_GB2312"/>
          <w:color w:val="000000"/>
          <w:szCs w:val="32"/>
        </w:rPr>
        <w:t>日  期：</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 月</w:t>
      </w:r>
      <w:bookmarkEnd w:id="68"/>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日</w:t>
      </w:r>
    </w:p>
    <w:p>
      <w:pPr>
        <w:spacing w:before="78" w:beforeLines="25" w:after="84"/>
        <w:ind w:left="38" w:leftChars="12" w:firstLine="560"/>
        <w:rPr>
          <w:rFonts w:ascii="仿宋_GB2312" w:eastAsia="仿宋_GB2312"/>
          <w:color w:val="000000"/>
          <w:sz w:val="28"/>
          <w:szCs w:val="28"/>
        </w:rPr>
      </w:pPr>
    </w:p>
    <w:p>
      <w:pPr>
        <w:tabs>
          <w:tab w:val="left" w:leader="underscore" w:pos="3600"/>
          <w:tab w:val="left" w:leader="underscore" w:pos="5400"/>
        </w:tabs>
        <w:spacing w:line="400" w:lineRule="exact"/>
        <w:ind w:firstLine="643"/>
        <w:rPr>
          <w:rFonts w:ascii="Arial" w:hAnsi="Arial"/>
        </w:rPr>
      </w:pPr>
      <w:r>
        <w:rPr>
          <w:rFonts w:ascii="宋体" w:hAnsi="宋体" w:cs="宋体"/>
          <w:b/>
          <w:bCs/>
        </w:rPr>
        <w:br w:type="page"/>
      </w:r>
    </w:p>
    <w:p>
      <w:pPr>
        <w:pStyle w:val="6"/>
        <w:rPr>
          <w:rFonts w:ascii="黑体" w:hAnsi="黑体" w:cs="黑体"/>
          <w:color w:val="000000"/>
          <w:sz w:val="36"/>
          <w:szCs w:val="36"/>
        </w:rPr>
      </w:pPr>
      <w:bookmarkStart w:id="69" w:name="_Toc1129790225_WPSOffice_Level2"/>
      <w:bookmarkStart w:id="70" w:name="_Toc208314413"/>
      <w:bookmarkStart w:id="71" w:name="_Toc446976636"/>
      <w:r>
        <w:rPr>
          <w:rFonts w:hint="eastAsia" w:ascii="黑体" w:hAnsi="黑体" w:cs="黑体"/>
          <w:color w:val="000000"/>
          <w:sz w:val="36"/>
          <w:szCs w:val="36"/>
        </w:rPr>
        <w:t>二、法定代表人资格证明书</w:t>
      </w:r>
      <w:bookmarkEnd w:id="69"/>
      <w:bookmarkEnd w:id="70"/>
      <w:bookmarkEnd w:id="71"/>
    </w:p>
    <w:p>
      <w:pPr>
        <w:ind w:firstLine="480"/>
        <w:rPr>
          <w:rFonts w:cs="宋体"/>
          <w:color w:val="000000"/>
          <w:sz w:val="24"/>
          <w:szCs w:val="28"/>
        </w:rPr>
      </w:pPr>
    </w:p>
    <w:p>
      <w:pPr>
        <w:ind w:firstLine="0" w:firstLineChars="0"/>
        <w:jc w:val="center"/>
        <w:rPr>
          <w:rFonts w:ascii="仿宋_GB2312" w:hAnsi="仿宋_GB2312" w:eastAsia="仿宋_GB2312" w:cs="仿宋_GB2312"/>
          <w:color w:val="000000"/>
          <w:sz w:val="36"/>
          <w:szCs w:val="36"/>
        </w:rPr>
      </w:pPr>
      <w:bookmarkStart w:id="72" w:name="_Toc164827651"/>
      <w:bookmarkStart w:id="73" w:name="_Toc1076824946"/>
      <w:bookmarkStart w:id="74" w:name="_Toc949341724_WPSOffice_Level3"/>
      <w:r>
        <w:rPr>
          <w:rFonts w:hint="eastAsia" w:ascii="仿宋_GB2312" w:hAnsi="仿宋_GB2312" w:eastAsia="仿宋_GB2312" w:cs="仿宋_GB2312"/>
          <w:color w:val="000000"/>
          <w:sz w:val="36"/>
          <w:szCs w:val="36"/>
        </w:rPr>
        <w:t>法定代表人资格证明书</w:t>
      </w:r>
      <w:bookmarkEnd w:id="72"/>
      <w:bookmarkEnd w:id="73"/>
      <w:bookmarkEnd w:id="74"/>
    </w:p>
    <w:p>
      <w:pPr>
        <w:ind w:firstLine="643"/>
        <w:rPr>
          <w:rFonts w:ascii="仿宋_GB2312" w:hAnsi="仿宋_GB2312" w:eastAsia="仿宋_GB2312" w:cs="仿宋_GB2312"/>
          <w:b/>
          <w:bCs/>
          <w:color w:val="000000"/>
          <w:szCs w:val="32"/>
        </w:rPr>
      </w:pPr>
    </w:p>
    <w:p>
      <w:pPr>
        <w:ind w:firstLine="640"/>
        <w:rPr>
          <w:rFonts w:ascii="仿宋_GB2312" w:hAnsi="仿宋_GB2312" w:eastAsia="仿宋_GB2312" w:cs="仿宋_GB2312"/>
          <w:color w:val="000000"/>
          <w:szCs w:val="32"/>
          <w:u w:val="single"/>
        </w:rPr>
      </w:pPr>
      <w:r>
        <w:rPr>
          <w:rFonts w:hint="eastAsia" w:ascii="仿宋_GB2312" w:hAnsi="仿宋_GB2312" w:eastAsia="仿宋_GB2312" w:cs="仿宋_GB2312"/>
          <w:color w:val="000000"/>
          <w:szCs w:val="32"/>
        </w:rPr>
        <w:t>单位名称：</w:t>
      </w:r>
    </w:p>
    <w:p>
      <w:pPr>
        <w:ind w:firstLine="640"/>
        <w:rPr>
          <w:rFonts w:ascii="仿宋_GB2312" w:hAnsi="仿宋_GB2312" w:eastAsia="仿宋_GB2312" w:cs="仿宋_GB2312"/>
          <w:color w:val="000000"/>
          <w:szCs w:val="32"/>
          <w:u w:val="single"/>
        </w:rPr>
      </w:pPr>
      <w:r>
        <w:rPr>
          <w:rFonts w:hint="eastAsia" w:ascii="仿宋_GB2312" w:hAnsi="仿宋_GB2312" w:eastAsia="仿宋_GB2312" w:cs="仿宋_GB2312"/>
          <w:color w:val="000000"/>
          <w:szCs w:val="32"/>
        </w:rPr>
        <w:t>地    址：</w:t>
      </w:r>
    </w:p>
    <w:p>
      <w:pPr>
        <w:ind w:firstLine="640"/>
        <w:rPr>
          <w:rFonts w:ascii="仿宋_GB2312" w:hAnsi="仿宋_GB2312" w:eastAsia="仿宋_GB2312" w:cs="仿宋_GB2312"/>
          <w:color w:val="000000"/>
          <w:szCs w:val="32"/>
          <w:u w:val="single"/>
        </w:rPr>
      </w:pPr>
      <w:r>
        <w:rPr>
          <w:rFonts w:hint="eastAsia" w:ascii="仿宋_GB2312" w:hAnsi="仿宋_GB2312" w:eastAsia="仿宋_GB2312" w:cs="仿宋_GB2312"/>
          <w:color w:val="000000"/>
          <w:szCs w:val="32"/>
        </w:rPr>
        <w:t>姓    名：  性别：  年龄：  职务：</w:t>
      </w:r>
    </w:p>
    <w:p>
      <w:pPr>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系我单位的法定代表人。</w:t>
      </w:r>
    </w:p>
    <w:p>
      <w:pPr>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特此证明。</w:t>
      </w:r>
    </w:p>
    <w:p>
      <w:pPr>
        <w:ind w:firstLine="640"/>
        <w:rPr>
          <w:rFonts w:ascii="仿宋_GB2312" w:hAnsi="仿宋_GB2312" w:eastAsia="仿宋_GB2312" w:cs="仿宋_GB2312"/>
          <w:color w:val="000000"/>
          <w:szCs w:val="32"/>
        </w:rPr>
      </w:pPr>
    </w:p>
    <w:p>
      <w:pPr>
        <w:ind w:firstLine="640"/>
        <w:rPr>
          <w:rFonts w:ascii="仿宋_GB2312" w:hAnsi="仿宋_GB2312" w:eastAsia="仿宋_GB2312" w:cs="仿宋_GB2312"/>
          <w:color w:val="000000"/>
          <w:szCs w:val="32"/>
        </w:rPr>
      </w:pPr>
    </w:p>
    <w:p>
      <w:pPr>
        <w:snapToGrid w:val="0"/>
        <w:spacing w:before="156" w:beforeLines="50"/>
        <w:ind w:firstLine="640"/>
        <w:jc w:val="left"/>
        <w:rPr>
          <w:rFonts w:ascii="仿宋_GB2312" w:hAnsi="仿宋_GB2312" w:eastAsia="仿宋_GB2312" w:cs="仿宋_GB2312"/>
          <w:szCs w:val="32"/>
        </w:rPr>
      </w:pPr>
      <w:r>
        <w:rPr>
          <w:rFonts w:hint="eastAsia" w:ascii="仿宋_GB2312" w:hAnsi="仿宋_GB2312" w:eastAsia="仿宋_GB2312" w:cs="仿宋_GB2312"/>
          <w:szCs w:val="32"/>
        </w:rPr>
        <w:t>比选申请人：（盖章）</w:t>
      </w:r>
    </w:p>
    <w:p>
      <w:pPr>
        <w:snapToGrid w:val="0"/>
        <w:ind w:firstLine="640"/>
        <w:rPr>
          <w:rFonts w:ascii="仿宋_GB2312" w:hAnsi="仿宋_GB2312" w:eastAsia="仿宋_GB2312" w:cs="仿宋_GB2312"/>
          <w:szCs w:val="32"/>
        </w:rPr>
      </w:pPr>
      <w:r>
        <w:rPr>
          <w:rFonts w:hint="eastAsia" w:ascii="仿宋_GB2312" w:hAnsi="仿宋_GB2312" w:eastAsia="仿宋_GB2312" w:cs="仿宋_GB2312"/>
          <w:szCs w:val="32"/>
        </w:rPr>
        <w:t>时间：   年   月   日</w:t>
      </w:r>
    </w:p>
    <w:p>
      <w:pPr>
        <w:ind w:firstLine="64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p>
    <w:p>
      <w:pPr>
        <w:ind w:firstLine="640"/>
        <w:rPr>
          <w:rFonts w:ascii="仿宋_GB2312" w:hAnsi="仿宋_GB2312" w:eastAsia="仿宋_GB2312" w:cs="仿宋_GB2312"/>
          <w:color w:val="000000"/>
          <w:szCs w:val="32"/>
        </w:rPr>
      </w:pPr>
    </w:p>
    <w:p>
      <w:pPr>
        <w:ind w:firstLine="640"/>
        <w:rPr>
          <w:rFonts w:ascii="仿宋_GB2312" w:hAnsi="仿宋_GB2312" w:eastAsia="仿宋_GB2312" w:cs="仿宋_GB2312"/>
          <w:color w:val="000000"/>
          <w:szCs w:val="32"/>
        </w:rPr>
      </w:pPr>
    </w:p>
    <w:p>
      <w:pPr>
        <w:ind w:firstLine="640"/>
        <w:rPr>
          <w:rFonts w:ascii="仿宋_GB2312" w:hAnsi="仿宋_GB2312" w:eastAsia="仿宋_GB2312" w:cs="仿宋_GB2312"/>
          <w:color w:val="000000"/>
          <w:szCs w:val="32"/>
        </w:rPr>
      </w:pPr>
    </w:p>
    <w:p>
      <w:pPr>
        <w:ind w:firstLine="640"/>
        <w:rPr>
          <w:rFonts w:ascii="仿宋_GB2312" w:hAnsi="仿宋_GB2312" w:eastAsia="仿宋_GB2312" w:cs="仿宋_GB2312"/>
          <w:color w:val="000000"/>
          <w:szCs w:val="32"/>
        </w:rPr>
      </w:pPr>
    </w:p>
    <w:p>
      <w:pPr>
        <w:ind w:firstLine="0" w:firstLineChars="0"/>
        <w:rPr>
          <w:rFonts w:ascii="仿宋_GB2312" w:hAnsi="仿宋_GB2312" w:eastAsia="仿宋_GB2312" w:cs="仿宋_GB2312"/>
          <w:color w:val="000000"/>
          <w:szCs w:val="32"/>
        </w:rPr>
      </w:pPr>
    </w:p>
    <w:p>
      <w:pPr>
        <w:ind w:firstLine="24" w:firstLineChars="10"/>
        <w:rPr>
          <w:rFonts w:cs="宋体"/>
          <w:color w:val="000000"/>
          <w:sz w:val="24"/>
        </w:rPr>
      </w:pPr>
    </w:p>
    <w:p>
      <w:pPr>
        <w:ind w:firstLine="643"/>
        <w:jc w:val="left"/>
        <w:rPr>
          <w:rFonts w:ascii="仿宋_GB2312" w:hAnsi="仿宋_GB2312" w:eastAsia="仿宋_GB2312" w:cs="仿宋_GB2312"/>
          <w:b/>
          <w:color w:val="000000"/>
          <w:szCs w:val="32"/>
        </w:rPr>
      </w:pPr>
      <w:bookmarkStart w:id="75" w:name="_Toc541440030"/>
      <w:bookmarkStart w:id="76" w:name="_Toc1047362287_WPSOffice_Level3"/>
      <w:r>
        <w:rPr>
          <w:rFonts w:hint="eastAsia" w:ascii="仿宋_GB2312" w:hAnsi="仿宋_GB2312" w:eastAsia="仿宋_GB2312" w:cs="仿宋_GB2312"/>
          <w:b/>
          <w:color w:val="000000"/>
          <w:szCs w:val="32"/>
        </w:rPr>
        <w:t>注：请附法定代表人身份证复印件。</w:t>
      </w:r>
      <w:bookmarkEnd w:id="75"/>
      <w:bookmarkEnd w:id="76"/>
    </w:p>
    <w:p>
      <w:pPr>
        <w:ind w:firstLine="32" w:firstLineChars="10"/>
        <w:rPr>
          <w:rFonts w:cs="宋体"/>
          <w:b/>
          <w:color w:val="000000"/>
          <w:szCs w:val="21"/>
        </w:rPr>
      </w:pPr>
    </w:p>
    <w:p>
      <w:pPr>
        <w:ind w:firstLine="32" w:firstLineChars="10"/>
        <w:rPr>
          <w:rFonts w:cs="宋体"/>
          <w:b/>
          <w:color w:val="000000"/>
          <w:szCs w:val="21"/>
        </w:rPr>
      </w:pPr>
    </w:p>
    <w:p>
      <w:pPr>
        <w:pStyle w:val="6"/>
        <w:sectPr>
          <w:footerReference r:id="rId12" w:type="default"/>
          <w:pgSz w:w="11906" w:h="16838"/>
          <w:pgMar w:top="1440" w:right="1800" w:bottom="1440" w:left="1800" w:header="851" w:footer="992" w:gutter="0"/>
          <w:cols w:space="720" w:num="1"/>
          <w:docGrid w:type="lines" w:linePitch="312" w:charSpace="0"/>
        </w:sectPr>
      </w:pPr>
    </w:p>
    <w:p>
      <w:pPr>
        <w:pStyle w:val="6"/>
      </w:pPr>
      <w:bookmarkStart w:id="77" w:name="_Toc208314414"/>
      <w:bookmarkStart w:id="78" w:name="_Toc1388311808"/>
      <w:bookmarkStart w:id="79" w:name="_Toc1266894334_WPSOffice_Level2"/>
      <w:r>
        <w:rPr>
          <w:rFonts w:hint="eastAsia"/>
        </w:rPr>
        <w:t>三、授权委托书</w:t>
      </w:r>
      <w:bookmarkEnd w:id="77"/>
      <w:bookmarkEnd w:id="78"/>
      <w:bookmarkEnd w:id="79"/>
    </w:p>
    <w:p>
      <w:pPr>
        <w:topLinePunct/>
        <w:spacing w:line="360" w:lineRule="auto"/>
        <w:ind w:firstLine="640"/>
        <w:rPr>
          <w:rFonts w:ascii="宋体" w:hAnsi="宋体" w:cs="宋体"/>
        </w:rPr>
      </w:pPr>
    </w:p>
    <w:p>
      <w:pPr>
        <w:adjustRightInd w:val="0"/>
        <w:snapToGrid w:val="0"/>
        <w:spacing w:before="156" w:beforeLines="50" w:after="84"/>
        <w:ind w:firstLine="640"/>
        <w:rPr>
          <w:rFonts w:ascii="仿宋_GB2312" w:hAnsi="微软雅黑" w:eastAsia="仿宋_GB2312"/>
          <w:color w:val="000000"/>
          <w:szCs w:val="32"/>
          <w:u w:val="single"/>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xml:space="preserve">                                           </w:t>
      </w:r>
    </w:p>
    <w:p>
      <w:pPr>
        <w:adjustRightInd w:val="0"/>
        <w:snapToGrid w:val="0"/>
        <w:ind w:firstLine="640"/>
        <w:rPr>
          <w:rFonts w:ascii="仿宋_GB2312" w:hAnsi="微软雅黑" w:eastAsia="仿宋_GB2312"/>
          <w:color w:val="000000"/>
          <w:szCs w:val="32"/>
        </w:rPr>
      </w:pPr>
      <w:r>
        <w:rPr>
          <w:rFonts w:hint="eastAsia" w:ascii="仿宋_GB2312" w:hAnsi="微软雅黑" w:eastAsia="仿宋_GB2312"/>
          <w:color w:val="000000"/>
          <w:szCs w:val="32"/>
        </w:rPr>
        <w:t>现委托</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作为</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的合法代理人，全权代理 </w:t>
      </w:r>
      <w:r>
        <w:rPr>
          <w:rFonts w:hint="eastAsia" w:ascii="仿宋_GB2312" w:hAnsi="微软雅黑" w:eastAsia="仿宋_GB2312"/>
          <w:szCs w:val="32"/>
          <w:u w:val="single"/>
        </w:rPr>
        <w:t xml:space="preserve"> </w:t>
      </w:r>
      <w:r>
        <w:rPr>
          <w:rFonts w:ascii="仿宋_GB2312" w:hAnsi="微软雅黑" w:eastAsia="仿宋_GB2312"/>
          <w:szCs w:val="32"/>
          <w:u w:val="single"/>
        </w:rPr>
        <w:t xml:space="preserve">                            </w:t>
      </w:r>
      <w:r>
        <w:rPr>
          <w:rFonts w:hint="eastAsia" w:ascii="仿宋_GB2312" w:hAnsi="微软雅黑" w:eastAsia="仿宋_GB2312"/>
          <w:color w:val="000000"/>
          <w:szCs w:val="32"/>
        </w:rPr>
        <w:t>的比选，以本公司名义处理一切与之有关的事务。</w:t>
      </w:r>
    </w:p>
    <w:p>
      <w:pPr>
        <w:adjustRightInd w:val="0"/>
        <w:snapToGrid w:val="0"/>
        <w:ind w:firstLine="640"/>
        <w:rPr>
          <w:rFonts w:ascii="仿宋_GB2312" w:hAnsi="微软雅黑" w:eastAsia="仿宋_GB2312"/>
          <w:color w:val="000000"/>
          <w:szCs w:val="32"/>
        </w:rPr>
      </w:pPr>
    </w:p>
    <w:p>
      <w:pPr>
        <w:adjustRightInd w:val="0"/>
        <w:snapToGrid w:val="0"/>
        <w:spacing w:before="156" w:beforeLines="50" w:after="84"/>
        <w:ind w:right="560" w:firstLine="1417" w:firstLineChars="443"/>
        <w:rPr>
          <w:rFonts w:ascii="仿宋_GB2312" w:hAnsi="微软雅黑" w:eastAsia="仿宋_GB2312"/>
          <w:color w:val="000000"/>
          <w:szCs w:val="32"/>
        </w:rPr>
      </w:pPr>
      <w:r>
        <w:rPr>
          <w:rFonts w:hint="eastAsia" w:ascii="仿宋_GB2312" w:hAnsi="微软雅黑" w:eastAsia="仿宋_GB2312"/>
          <w:color w:val="000000"/>
          <w:szCs w:val="32"/>
        </w:rPr>
        <w:t>被授权人签字：</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before="156" w:beforeLines="50" w:after="84"/>
        <w:ind w:firstLine="1417" w:firstLineChars="443"/>
        <w:rPr>
          <w:rFonts w:ascii="仿宋_GB2312" w:hAnsi="微软雅黑" w:eastAsia="仿宋_GB2312"/>
          <w:color w:val="000000"/>
          <w:szCs w:val="32"/>
          <w:u w:val="single"/>
        </w:rPr>
      </w:pPr>
      <w:r>
        <w:rPr>
          <w:rFonts w:hint="eastAsia" w:ascii="仿宋_GB2312" w:hAnsi="微软雅黑" w:eastAsia="仿宋_GB2312"/>
          <w:color w:val="000000"/>
          <w:szCs w:val="32"/>
        </w:rPr>
        <w:t>法定代表人(签字或盖章)：</w:t>
      </w:r>
      <w:r>
        <w:rPr>
          <w:rFonts w:hint="eastAsia" w:ascii="仿宋_GB2312" w:hAnsi="微软雅黑" w:eastAsia="仿宋_GB2312"/>
          <w:color w:val="000000"/>
          <w:szCs w:val="32"/>
          <w:u w:val="single"/>
        </w:rPr>
        <w:t xml:space="preserve">               </w:t>
      </w:r>
    </w:p>
    <w:p>
      <w:pPr>
        <w:adjustRightInd w:val="0"/>
        <w:snapToGrid w:val="0"/>
        <w:spacing w:before="156" w:beforeLines="50" w:after="84"/>
        <w:ind w:right="560" w:firstLine="1417" w:firstLineChars="443"/>
        <w:rPr>
          <w:rFonts w:ascii="仿宋_GB2312" w:hAnsi="微软雅黑" w:eastAsia="仿宋_GB2312"/>
          <w:color w:val="000000"/>
          <w:szCs w:val="32"/>
        </w:rPr>
      </w:pPr>
      <w:r>
        <w:rPr>
          <w:rFonts w:hint="eastAsia" w:ascii="仿宋_GB2312" w:hAnsi="微软雅黑" w:eastAsia="仿宋_GB2312"/>
          <w:color w:val="000000"/>
          <w:szCs w:val="32"/>
        </w:rPr>
        <w:t xml:space="preserve">参选人全称（公章）： </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before="156" w:beforeLines="50" w:after="84"/>
        <w:ind w:right="1120" w:firstLine="1417" w:firstLineChars="443"/>
        <w:rPr>
          <w:rFonts w:ascii="仿宋_GB2312" w:hAnsi="微软雅黑" w:eastAsia="仿宋_GB2312"/>
          <w:color w:val="000000"/>
          <w:szCs w:val="32"/>
        </w:rPr>
      </w:pPr>
      <w:r>
        <w:rPr>
          <w:rFonts w:hint="eastAsia" w:ascii="仿宋_GB2312" w:hAnsi="微软雅黑" w:eastAsia="仿宋_GB2312"/>
          <w:color w:val="000000"/>
          <w:szCs w:val="32"/>
        </w:rPr>
        <w:t>日期：</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月</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 xml:space="preserve">日   </w:t>
      </w:r>
    </w:p>
    <w:p>
      <w:pPr>
        <w:adjustRightInd w:val="0"/>
        <w:snapToGrid w:val="0"/>
        <w:ind w:firstLine="640"/>
        <w:rPr>
          <w:rFonts w:ascii="仿宋_GB2312" w:hAnsi="微软雅黑" w:eastAsia="仿宋_GB2312"/>
          <w:szCs w:val="32"/>
        </w:rPr>
      </w:pPr>
    </w:p>
    <w:p>
      <w:pPr>
        <w:ind w:firstLine="640"/>
        <w:jc w:val="right"/>
        <w:rPr>
          <w:rFonts w:ascii="宋体" w:hAnsi="宋体" w:cs="宋体"/>
          <w:u w:val="single"/>
        </w:rPr>
      </w:pPr>
    </w:p>
    <w:p>
      <w:pPr>
        <w:spacing w:after="312" w:afterLines="100" w:line="400" w:lineRule="exact"/>
        <w:ind w:firstLine="723"/>
        <w:jc w:val="center"/>
        <w:rPr>
          <w:rFonts w:ascii="宋体" w:hAnsi="宋体" w:cs="宋体"/>
          <w:b/>
          <w:bCs/>
          <w:color w:val="000000"/>
          <w:sz w:val="36"/>
          <w:szCs w:val="36"/>
        </w:rPr>
      </w:pPr>
    </w:p>
    <w:p>
      <w:pPr>
        <w:ind w:firstLine="32" w:firstLineChars="10"/>
        <w:rPr>
          <w:rFonts w:cs="宋体"/>
          <w:b/>
          <w:color w:val="000000"/>
          <w:szCs w:val="21"/>
        </w:rPr>
      </w:pPr>
      <w:bookmarkStart w:id="80" w:name="_Toc1738114125_WPSOffice_Level3"/>
      <w:r>
        <w:rPr>
          <w:rFonts w:hint="eastAsia" w:cs="宋体"/>
          <w:b/>
          <w:color w:val="000000"/>
          <w:szCs w:val="21"/>
        </w:rPr>
        <w:t>注：请附被授权人身份证复印件。</w:t>
      </w:r>
      <w:bookmarkEnd w:id="80"/>
    </w:p>
    <w:p>
      <w:pPr>
        <w:spacing w:after="312" w:afterLines="100" w:line="400" w:lineRule="exact"/>
        <w:ind w:firstLine="723"/>
        <w:jc w:val="center"/>
        <w:rPr>
          <w:rFonts w:ascii="宋体" w:hAnsi="宋体" w:cs="宋体"/>
          <w:b/>
          <w:bCs/>
          <w:color w:val="000000"/>
          <w:sz w:val="36"/>
          <w:szCs w:val="36"/>
        </w:rPr>
      </w:pPr>
    </w:p>
    <w:p>
      <w:pPr>
        <w:ind w:firstLine="643"/>
        <w:rPr>
          <w:rFonts w:ascii="宋体" w:hAnsi="宋体" w:cs="宋体"/>
          <w:b/>
          <w:bCs/>
        </w:rPr>
      </w:pPr>
      <w:bookmarkStart w:id="81" w:name="_Toc14807"/>
      <w:bookmarkStart w:id="82" w:name="_Toc28974"/>
      <w:bookmarkStart w:id="83" w:name="_Toc12037"/>
      <w:r>
        <w:rPr>
          <w:rFonts w:hint="eastAsia" w:ascii="宋体" w:hAnsi="宋体" w:cs="宋体"/>
          <w:b/>
          <w:bCs/>
        </w:rPr>
        <w:br w:type="page"/>
      </w:r>
    </w:p>
    <w:p>
      <w:pPr>
        <w:pStyle w:val="6"/>
        <w:rPr>
          <w:rFonts w:ascii="宋体" w:hAnsi="宋体" w:cs="宋体"/>
        </w:rPr>
      </w:pPr>
      <w:bookmarkStart w:id="84" w:name="_Toc259441035"/>
      <w:bookmarkStart w:id="85" w:name="_Toc1618617023_WPSOffice_Level2"/>
      <w:bookmarkStart w:id="86" w:name="_Toc208314415"/>
      <w:r>
        <w:rPr>
          <w:rFonts w:hint="eastAsia" w:ascii="宋体" w:hAnsi="宋体" w:cs="宋体"/>
        </w:rPr>
        <w:t>四、参加本次政府采购活动前三年内，在经营活动中没有重大违法记录的声明</w:t>
      </w:r>
      <w:bookmarkEnd w:id="84"/>
      <w:bookmarkEnd w:id="85"/>
      <w:bookmarkEnd w:id="86"/>
    </w:p>
    <w:p>
      <w:pPr>
        <w:ind w:firstLine="640"/>
        <w:jc w:val="right"/>
        <w:rPr>
          <w:rFonts w:ascii="宋体" w:hAnsi="宋体" w:cs="宋体"/>
        </w:rPr>
      </w:pPr>
    </w:p>
    <w:p>
      <w:pPr>
        <w:ind w:firstLine="640"/>
        <w:jc w:val="right"/>
        <w:rPr>
          <w:rFonts w:ascii="宋体" w:hAnsi="宋体" w:cs="宋体"/>
        </w:rPr>
      </w:pP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after="84"/>
        <w:ind w:firstLine="640"/>
        <w:rPr>
          <w:rFonts w:ascii="仿宋_GB2312" w:hAnsi="微软雅黑" w:eastAsia="仿宋_GB2312"/>
          <w:color w:val="000000"/>
          <w:szCs w:val="32"/>
        </w:rPr>
      </w:pPr>
      <w:r>
        <w:rPr>
          <w:rFonts w:ascii="仿宋_GB2312" w:hAnsi="微软雅黑" w:eastAsia="仿宋_GB2312"/>
          <w:color w:val="000000"/>
          <w:szCs w:val="32"/>
        </w:rPr>
        <w:t>我单位</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ascii="仿宋_GB2312" w:hAnsi="微软雅黑" w:eastAsia="仿宋_GB2312"/>
          <w:color w:val="000000"/>
          <w:szCs w:val="32"/>
        </w:rPr>
        <w:t>近三年内，在参加政府采购活动中没有重大违法记录，特此声明。</w:t>
      </w:r>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若招标采购单位在本项目采购过程中发现我单位近三年内在政府采购活动中有重大违法记录，我单位将无条件地退出本项目的招标，并承担因此引起的一切后果。</w:t>
      </w: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640"/>
        <w:rPr>
          <w:rFonts w:ascii="仿宋_GB2312" w:hAnsi="微软雅黑" w:eastAsia="仿宋_GB2312"/>
          <w:color w:val="000000"/>
          <w:szCs w:val="32"/>
        </w:rPr>
      </w:pPr>
      <w:r>
        <w:rPr>
          <w:rFonts w:ascii="仿宋_GB2312" w:hAnsi="微软雅黑" w:eastAsia="仿宋_GB2312"/>
          <w:color w:val="000000"/>
          <w:szCs w:val="32"/>
        </w:rPr>
        <w:t>承诺单位名称（单位公章）：</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p>
    <w:p>
      <w:pPr>
        <w:adjustRightInd w:val="0"/>
        <w:snapToGrid w:val="0"/>
        <w:spacing w:after="84"/>
        <w:ind w:firstLine="640"/>
        <w:rPr>
          <w:rFonts w:ascii="仿宋_GB2312" w:hAnsi="微软雅黑" w:eastAsia="仿宋_GB2312"/>
          <w:color w:val="000000"/>
          <w:szCs w:val="32"/>
        </w:rPr>
      </w:pPr>
      <w:r>
        <w:rPr>
          <w:rFonts w:ascii="仿宋_GB2312" w:hAnsi="微软雅黑" w:eastAsia="仿宋_GB2312"/>
          <w:color w:val="000000"/>
          <w:szCs w:val="32"/>
        </w:rPr>
        <w:t xml:space="preserve"> </w:t>
      </w:r>
      <w:r>
        <w:rPr>
          <w:rFonts w:hint="eastAsia" w:ascii="仿宋_GB2312" w:hAnsi="微软雅黑" w:eastAsia="仿宋_GB2312"/>
          <w:color w:val="000000"/>
          <w:szCs w:val="32"/>
        </w:rPr>
        <w:t xml:space="preserve">             </w:t>
      </w:r>
      <w:r>
        <w:rPr>
          <w:rFonts w:ascii="仿宋_GB2312" w:hAnsi="微软雅黑" w:eastAsia="仿宋_GB2312"/>
          <w:color w:val="000000"/>
          <w:szCs w:val="32"/>
        </w:rPr>
        <w:t xml:space="preserve"> </w:t>
      </w:r>
      <w:bookmarkStart w:id="87" w:name="_Toc600029132"/>
      <w:bookmarkStart w:id="88" w:name="_Toc991698207_WPSOffice_Level3"/>
      <w:r>
        <w:rPr>
          <w:rFonts w:hint="eastAsia" w:ascii="仿宋_GB2312" w:hAnsi="微软雅黑" w:eastAsia="仿宋_GB2312"/>
          <w:color w:val="000000"/>
          <w:szCs w:val="32"/>
        </w:rPr>
        <w:t>日  期</w:t>
      </w:r>
      <w:r>
        <w:rPr>
          <w:rFonts w:ascii="仿宋_GB2312" w:hAnsi="微软雅黑" w:eastAsia="仿宋_GB2312"/>
          <w:color w:val="000000"/>
          <w:szCs w:val="32"/>
        </w:rPr>
        <w:t>：</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年</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月</w:t>
      </w:r>
      <w:r>
        <w:rPr>
          <w:rFonts w:hint="eastAsia" w:ascii="仿宋_GB2312" w:hAnsi="微软雅黑" w:eastAsia="仿宋_GB2312"/>
          <w:color w:val="000000"/>
          <w:szCs w:val="32"/>
          <w:u w:val="single"/>
        </w:rPr>
        <w:t xml:space="preserve"> </w:t>
      </w:r>
      <w:r>
        <w:rPr>
          <w:rFonts w:ascii="仿宋_GB2312" w:hAnsi="微软雅黑" w:eastAsia="仿宋_GB2312"/>
          <w:color w:val="000000"/>
          <w:szCs w:val="32"/>
          <w:u w:val="single"/>
        </w:rPr>
        <w:t xml:space="preserve"> </w:t>
      </w:r>
      <w:r>
        <w:rPr>
          <w:rFonts w:hint="eastAsia" w:ascii="仿宋_GB2312" w:hAnsi="微软雅黑" w:eastAsia="仿宋_GB2312"/>
          <w:color w:val="000000"/>
          <w:szCs w:val="32"/>
          <w:u w:val="single"/>
        </w:rPr>
        <w:t xml:space="preserve">  </w:t>
      </w:r>
      <w:r>
        <w:rPr>
          <w:rFonts w:hint="eastAsia" w:ascii="仿宋_GB2312" w:hAnsi="微软雅黑" w:eastAsia="仿宋_GB2312"/>
          <w:color w:val="000000"/>
          <w:szCs w:val="32"/>
        </w:rPr>
        <w:t>日</w:t>
      </w:r>
      <w:bookmarkEnd w:id="87"/>
      <w:bookmarkEnd w:id="88"/>
    </w:p>
    <w:p>
      <w:pPr>
        <w:ind w:firstLine="640"/>
        <w:jc w:val="right"/>
        <w:rPr>
          <w:rFonts w:ascii="宋体" w:hAnsi="宋体" w:cs="宋体"/>
        </w:rPr>
      </w:pPr>
    </w:p>
    <w:p>
      <w:pPr>
        <w:ind w:firstLine="640"/>
        <w:rPr>
          <w:rFonts w:ascii="宋体" w:hAnsi="宋体" w:cs="宋体"/>
        </w:rPr>
      </w:pPr>
    </w:p>
    <w:p>
      <w:pPr>
        <w:ind w:firstLine="643"/>
        <w:rPr>
          <w:rFonts w:ascii="宋体" w:hAnsi="宋体" w:cs="宋体"/>
          <w:b/>
          <w:bCs/>
        </w:rPr>
      </w:pPr>
      <w:r>
        <w:rPr>
          <w:rFonts w:hint="eastAsia" w:hAnsi="宋体" w:cs="宋体"/>
          <w:b/>
          <w:bCs/>
        </w:rPr>
        <w:br w:type="page"/>
      </w:r>
    </w:p>
    <w:bookmarkEnd w:id="81"/>
    <w:bookmarkEnd w:id="82"/>
    <w:bookmarkEnd w:id="83"/>
    <w:p>
      <w:pPr>
        <w:pStyle w:val="6"/>
        <w:rPr>
          <w:rFonts w:ascii="宋体" w:hAnsi="宋体" w:cs="宋体"/>
        </w:rPr>
      </w:pPr>
      <w:bookmarkStart w:id="89" w:name="_Toc1616246137_WPSOffice_Level2"/>
      <w:bookmarkStart w:id="90" w:name="_Toc208314416"/>
      <w:bookmarkStart w:id="91" w:name="_Toc1230356075"/>
      <w:r>
        <w:rPr>
          <w:rFonts w:hint="eastAsia"/>
        </w:rPr>
        <w:t>五、</w:t>
      </w:r>
      <w:r>
        <w:rPr>
          <w:rFonts w:hint="eastAsia"/>
        </w:rPr>
        <w:fldChar w:fldCharType="begin"/>
      </w:r>
      <w:r>
        <w:instrText xml:space="preserve"> HY</w:instrText>
      </w:r>
      <w:bookmarkEnd w:id="89"/>
      <w:r>
        <w:instrText xml:space="preserve">PERLINK \l "_Toc426097207" </w:instrText>
      </w:r>
      <w:r>
        <w:rPr>
          <w:rFonts w:hint="eastAsia"/>
        </w:rPr>
        <w:fldChar w:fldCharType="separate"/>
      </w:r>
      <w:r>
        <w:rPr>
          <w:rFonts w:hint="eastAsia" w:ascii="宋体" w:hAnsi="宋体" w:cs="宋体"/>
        </w:rPr>
        <w:t>公司简介</w:t>
      </w:r>
      <w:bookmarkEnd w:id="90"/>
      <w:r>
        <w:rPr>
          <w:rFonts w:hint="eastAsia" w:ascii="宋体" w:hAnsi="宋体" w:cs="宋体"/>
        </w:rPr>
        <w:fldChar w:fldCharType="end"/>
      </w:r>
      <w:bookmarkEnd w:id="91"/>
    </w:p>
    <w:p>
      <w:pPr>
        <w:adjustRightInd w:val="0"/>
        <w:snapToGrid w:val="0"/>
        <w:spacing w:after="84"/>
        <w:ind w:firstLine="640"/>
        <w:rPr>
          <w:rFonts w:ascii="仿宋_GB2312" w:hAnsi="微软雅黑" w:eastAsia="仿宋_GB2312"/>
          <w:color w:val="000000"/>
          <w:szCs w:val="32"/>
        </w:rPr>
      </w:pPr>
      <w:r>
        <w:rPr>
          <w:rFonts w:ascii="仿宋_GB2312" w:hAnsi="微软雅黑" w:eastAsia="仿宋_GB2312"/>
          <w:color w:val="000000"/>
          <w:szCs w:val="32"/>
        </w:rPr>
        <w:t>参选人自拟。</w:t>
      </w:r>
    </w:p>
    <w:p>
      <w:pPr>
        <w:pStyle w:val="6"/>
        <w:rPr>
          <w:rFonts w:ascii="宋体" w:hAnsi="宋体" w:cs="宋体"/>
        </w:rPr>
      </w:pPr>
      <w:bookmarkStart w:id="92" w:name="_Toc208314417"/>
      <w:bookmarkStart w:id="93" w:name="_Toc1553467063"/>
      <w:bookmarkStart w:id="94" w:name="_Toc1739950880_WPSOffice_Level2"/>
      <w:r>
        <w:rPr>
          <w:rFonts w:hint="eastAsia" w:ascii="宋体" w:hAnsi="宋体" w:cs="宋体"/>
        </w:rPr>
        <w:t>六</w:t>
      </w:r>
      <w:r>
        <w:rPr>
          <w:rFonts w:ascii="宋体" w:hAnsi="宋体" w:cs="宋体"/>
        </w:rPr>
        <w:t>、</w:t>
      </w:r>
      <w:r>
        <w:rPr>
          <w:rFonts w:hint="eastAsia" w:ascii="宋体" w:hAnsi="宋体" w:cs="宋体"/>
        </w:rPr>
        <w:t>业绩</w:t>
      </w:r>
      <w:r>
        <w:rPr>
          <w:rFonts w:ascii="宋体" w:hAnsi="宋体" w:cs="宋体"/>
        </w:rPr>
        <w:t>经验</w:t>
      </w:r>
      <w:bookmarkEnd w:id="92"/>
      <w:bookmarkEnd w:id="93"/>
      <w:bookmarkEnd w:id="94"/>
    </w:p>
    <w:p>
      <w:pPr>
        <w:pStyle w:val="9"/>
        <w:ind w:left="640" w:firstLine="480"/>
        <w:rPr>
          <w:rFonts w:hAnsi="宋体" w:cs="宋体"/>
          <w:sz w:val="24"/>
          <w:szCs w:val="24"/>
        </w:rPr>
      </w:pPr>
    </w:p>
    <w:p>
      <w:pPr>
        <w:adjustRightInd w:val="0"/>
        <w:snapToGrid w:val="0"/>
        <w:spacing w:after="84"/>
        <w:ind w:firstLine="1280" w:firstLineChars="400"/>
        <w:rPr>
          <w:rFonts w:ascii="仿宋_GB2312" w:hAnsi="微软雅黑" w:eastAsia="仿宋_GB2312"/>
          <w:color w:val="000000"/>
          <w:szCs w:val="32"/>
        </w:rPr>
      </w:pPr>
      <w:bookmarkStart w:id="95" w:name="_Toc1165354720_WPSOffice_Level3"/>
      <w:r>
        <w:rPr>
          <w:rFonts w:hint="eastAsia" w:ascii="仿宋_GB2312" w:hAnsi="微软雅黑" w:eastAsia="仿宋_GB2312"/>
          <w:color w:val="000000"/>
          <w:szCs w:val="32"/>
        </w:rPr>
        <w:t>公司近三年监理业绩</w:t>
      </w:r>
      <w:r>
        <w:rPr>
          <w:rFonts w:ascii="仿宋_GB2312" w:hAnsi="微软雅黑" w:eastAsia="仿宋_GB2312"/>
          <w:color w:val="000000"/>
          <w:szCs w:val="32"/>
        </w:rPr>
        <w:t>经验一</w:t>
      </w:r>
      <w:r>
        <w:rPr>
          <w:rFonts w:hint="eastAsia" w:ascii="仿宋_GB2312" w:hAnsi="微软雅黑" w:eastAsia="仿宋_GB2312"/>
          <w:color w:val="000000"/>
          <w:szCs w:val="32"/>
        </w:rPr>
        <w:t>览表</w:t>
      </w:r>
      <w:bookmarkEnd w:id="95"/>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21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1" w:type="dxa"/>
            <w:vAlign w:val="center"/>
          </w:tcPr>
          <w:p>
            <w:pPr>
              <w:adjustRightInd w:val="0"/>
              <w:snapToGrid w:val="0"/>
              <w:spacing w:after="84"/>
              <w:ind w:left="0" w:leftChars="0" w:firstLine="0" w:firstLineChars="0"/>
              <w:jc w:val="center"/>
              <w:rPr>
                <w:rFonts w:ascii="仿宋_GB2312" w:hAnsi="微软雅黑" w:eastAsia="仿宋_GB2312"/>
                <w:color w:val="000000"/>
                <w:sz w:val="28"/>
                <w:szCs w:val="28"/>
              </w:rPr>
            </w:pPr>
            <w:r>
              <w:rPr>
                <w:rFonts w:hint="eastAsia" w:ascii="仿宋_GB2312" w:hAnsi="微软雅黑" w:eastAsia="仿宋_GB2312"/>
                <w:color w:val="000000"/>
                <w:sz w:val="28"/>
                <w:szCs w:val="28"/>
              </w:rPr>
              <w:t>年度</w:t>
            </w:r>
          </w:p>
        </w:tc>
        <w:tc>
          <w:tcPr>
            <w:tcW w:w="4212" w:type="dxa"/>
            <w:vAlign w:val="center"/>
          </w:tcPr>
          <w:p>
            <w:pPr>
              <w:adjustRightInd w:val="0"/>
              <w:snapToGrid w:val="0"/>
              <w:spacing w:after="84"/>
              <w:ind w:left="0" w:leftChars="0" w:firstLine="0" w:firstLineChars="0"/>
              <w:jc w:val="center"/>
              <w:rPr>
                <w:rFonts w:ascii="仿宋_GB2312" w:hAnsi="微软雅黑" w:eastAsia="仿宋_GB2312"/>
                <w:color w:val="000000"/>
                <w:sz w:val="28"/>
                <w:szCs w:val="28"/>
              </w:rPr>
            </w:pPr>
            <w:r>
              <w:rPr>
                <w:rFonts w:hint="eastAsia" w:ascii="仿宋_GB2312" w:hAnsi="微软雅黑" w:eastAsia="仿宋_GB2312"/>
                <w:color w:val="000000"/>
                <w:sz w:val="28"/>
                <w:szCs w:val="28"/>
              </w:rPr>
              <w:t>项目名称</w:t>
            </w:r>
          </w:p>
        </w:tc>
        <w:tc>
          <w:tcPr>
            <w:tcW w:w="2595" w:type="dxa"/>
            <w:vAlign w:val="center"/>
          </w:tcPr>
          <w:p>
            <w:pPr>
              <w:adjustRightInd w:val="0"/>
              <w:snapToGrid w:val="0"/>
              <w:spacing w:after="84"/>
              <w:ind w:firstLine="0" w:firstLineChars="0"/>
              <w:jc w:val="center"/>
              <w:rPr>
                <w:rFonts w:ascii="仿宋_GB2312" w:hAnsi="微软雅黑" w:eastAsia="仿宋_GB2312"/>
                <w:color w:val="000000"/>
                <w:sz w:val="28"/>
                <w:szCs w:val="28"/>
              </w:rPr>
            </w:pPr>
            <w:r>
              <w:rPr>
                <w:rFonts w:hint="eastAsia" w:ascii="仿宋_GB2312" w:hAnsi="微软雅黑" w:eastAsia="仿宋_GB2312"/>
                <w:color w:val="000000"/>
                <w:sz w:val="28"/>
                <w:szCs w:val="28"/>
              </w:rPr>
              <w:t>监理金额（元）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adjustRightInd w:val="0"/>
              <w:snapToGrid w:val="0"/>
              <w:spacing w:after="84"/>
              <w:ind w:firstLine="640"/>
              <w:rPr>
                <w:rFonts w:ascii="仿宋_GB2312" w:hAnsi="微软雅黑" w:eastAsia="仿宋_GB2312"/>
                <w:color w:val="000000"/>
                <w:szCs w:val="32"/>
              </w:rPr>
            </w:pPr>
          </w:p>
        </w:tc>
        <w:tc>
          <w:tcPr>
            <w:tcW w:w="4212" w:type="dxa"/>
            <w:vAlign w:val="center"/>
          </w:tcPr>
          <w:p>
            <w:pPr>
              <w:adjustRightInd w:val="0"/>
              <w:snapToGrid w:val="0"/>
              <w:spacing w:after="84"/>
              <w:ind w:firstLine="640"/>
              <w:rPr>
                <w:rFonts w:ascii="仿宋_GB2312" w:hAnsi="微软雅黑" w:eastAsia="仿宋_GB2312"/>
                <w:color w:val="000000"/>
                <w:szCs w:val="32"/>
              </w:rPr>
            </w:pPr>
          </w:p>
        </w:tc>
        <w:tc>
          <w:tcPr>
            <w:tcW w:w="2595" w:type="dxa"/>
            <w:vAlign w:val="center"/>
          </w:tcPr>
          <w:p>
            <w:pPr>
              <w:adjustRightInd w:val="0"/>
              <w:snapToGrid w:val="0"/>
              <w:spacing w:after="84"/>
              <w:ind w:firstLine="640"/>
              <w:rPr>
                <w:rFonts w:ascii="仿宋_GB2312" w:hAnsi="微软雅黑" w:eastAsia="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adjustRightInd w:val="0"/>
              <w:snapToGrid w:val="0"/>
              <w:spacing w:after="84"/>
              <w:ind w:firstLine="640"/>
              <w:rPr>
                <w:rFonts w:ascii="仿宋_GB2312" w:hAnsi="微软雅黑" w:eastAsia="仿宋_GB2312"/>
                <w:color w:val="000000"/>
                <w:szCs w:val="32"/>
              </w:rPr>
            </w:pPr>
          </w:p>
        </w:tc>
        <w:tc>
          <w:tcPr>
            <w:tcW w:w="4212" w:type="dxa"/>
            <w:vAlign w:val="center"/>
          </w:tcPr>
          <w:p>
            <w:pPr>
              <w:adjustRightInd w:val="0"/>
              <w:snapToGrid w:val="0"/>
              <w:spacing w:after="84"/>
              <w:ind w:firstLine="640"/>
              <w:rPr>
                <w:rFonts w:ascii="仿宋_GB2312" w:hAnsi="微软雅黑" w:eastAsia="仿宋_GB2312"/>
                <w:color w:val="000000"/>
                <w:szCs w:val="32"/>
              </w:rPr>
            </w:pPr>
          </w:p>
        </w:tc>
        <w:tc>
          <w:tcPr>
            <w:tcW w:w="2595" w:type="dxa"/>
            <w:vAlign w:val="center"/>
          </w:tcPr>
          <w:p>
            <w:pPr>
              <w:adjustRightInd w:val="0"/>
              <w:snapToGrid w:val="0"/>
              <w:spacing w:after="84"/>
              <w:ind w:firstLine="640"/>
              <w:rPr>
                <w:rFonts w:ascii="仿宋_GB2312" w:hAnsi="微软雅黑" w:eastAsia="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adjustRightInd w:val="0"/>
              <w:snapToGrid w:val="0"/>
              <w:spacing w:after="84"/>
              <w:ind w:firstLine="640"/>
              <w:rPr>
                <w:rFonts w:ascii="仿宋_GB2312" w:hAnsi="微软雅黑" w:eastAsia="仿宋_GB2312"/>
                <w:color w:val="000000"/>
                <w:szCs w:val="32"/>
              </w:rPr>
            </w:pPr>
          </w:p>
        </w:tc>
        <w:tc>
          <w:tcPr>
            <w:tcW w:w="4212" w:type="dxa"/>
            <w:vAlign w:val="center"/>
          </w:tcPr>
          <w:p>
            <w:pPr>
              <w:adjustRightInd w:val="0"/>
              <w:snapToGrid w:val="0"/>
              <w:spacing w:after="84"/>
              <w:ind w:firstLine="640"/>
              <w:rPr>
                <w:rFonts w:ascii="仿宋_GB2312" w:hAnsi="微软雅黑" w:eastAsia="仿宋_GB2312"/>
                <w:color w:val="000000"/>
                <w:szCs w:val="32"/>
              </w:rPr>
            </w:pPr>
          </w:p>
        </w:tc>
        <w:tc>
          <w:tcPr>
            <w:tcW w:w="2595" w:type="dxa"/>
            <w:vAlign w:val="center"/>
          </w:tcPr>
          <w:p>
            <w:pPr>
              <w:adjustRightInd w:val="0"/>
              <w:snapToGrid w:val="0"/>
              <w:spacing w:after="84"/>
              <w:ind w:firstLine="640"/>
              <w:rPr>
                <w:rFonts w:ascii="仿宋_GB2312" w:hAnsi="微软雅黑" w:eastAsia="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adjustRightInd w:val="0"/>
              <w:snapToGrid w:val="0"/>
              <w:spacing w:after="84"/>
              <w:ind w:firstLine="640"/>
              <w:rPr>
                <w:rFonts w:ascii="仿宋_GB2312" w:hAnsi="微软雅黑" w:eastAsia="仿宋_GB2312"/>
                <w:color w:val="000000"/>
                <w:szCs w:val="32"/>
              </w:rPr>
            </w:pPr>
          </w:p>
        </w:tc>
        <w:tc>
          <w:tcPr>
            <w:tcW w:w="4212" w:type="dxa"/>
            <w:vAlign w:val="center"/>
          </w:tcPr>
          <w:p>
            <w:pPr>
              <w:adjustRightInd w:val="0"/>
              <w:snapToGrid w:val="0"/>
              <w:spacing w:after="84"/>
              <w:ind w:firstLine="640"/>
              <w:rPr>
                <w:rFonts w:ascii="仿宋_GB2312" w:hAnsi="微软雅黑" w:eastAsia="仿宋_GB2312"/>
                <w:color w:val="000000"/>
                <w:szCs w:val="32"/>
              </w:rPr>
            </w:pPr>
          </w:p>
        </w:tc>
        <w:tc>
          <w:tcPr>
            <w:tcW w:w="2595" w:type="dxa"/>
            <w:vAlign w:val="center"/>
          </w:tcPr>
          <w:p>
            <w:pPr>
              <w:adjustRightInd w:val="0"/>
              <w:snapToGrid w:val="0"/>
              <w:spacing w:after="84"/>
              <w:ind w:firstLine="640"/>
              <w:rPr>
                <w:rFonts w:ascii="仿宋_GB2312" w:hAnsi="微软雅黑" w:eastAsia="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adjustRightInd w:val="0"/>
              <w:snapToGrid w:val="0"/>
              <w:spacing w:after="84"/>
              <w:ind w:firstLine="640"/>
              <w:rPr>
                <w:rFonts w:ascii="仿宋_GB2312" w:hAnsi="微软雅黑" w:eastAsia="仿宋_GB2312"/>
                <w:color w:val="000000"/>
                <w:szCs w:val="32"/>
              </w:rPr>
            </w:pPr>
          </w:p>
        </w:tc>
        <w:tc>
          <w:tcPr>
            <w:tcW w:w="4212" w:type="dxa"/>
            <w:vAlign w:val="center"/>
          </w:tcPr>
          <w:p>
            <w:pPr>
              <w:adjustRightInd w:val="0"/>
              <w:snapToGrid w:val="0"/>
              <w:spacing w:after="84"/>
              <w:ind w:firstLine="640"/>
              <w:rPr>
                <w:rFonts w:ascii="仿宋_GB2312" w:hAnsi="微软雅黑" w:eastAsia="仿宋_GB2312"/>
                <w:color w:val="000000"/>
                <w:szCs w:val="32"/>
              </w:rPr>
            </w:pPr>
          </w:p>
        </w:tc>
        <w:tc>
          <w:tcPr>
            <w:tcW w:w="2595" w:type="dxa"/>
            <w:vAlign w:val="center"/>
          </w:tcPr>
          <w:p>
            <w:pPr>
              <w:adjustRightInd w:val="0"/>
              <w:snapToGrid w:val="0"/>
              <w:spacing w:after="84"/>
              <w:ind w:firstLine="640"/>
              <w:rPr>
                <w:rFonts w:ascii="仿宋_GB2312" w:hAnsi="微软雅黑" w:eastAsia="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adjustRightInd w:val="0"/>
              <w:snapToGrid w:val="0"/>
              <w:spacing w:after="84"/>
              <w:ind w:firstLine="640"/>
              <w:rPr>
                <w:rFonts w:ascii="仿宋_GB2312" w:hAnsi="微软雅黑" w:eastAsia="仿宋_GB2312"/>
                <w:color w:val="000000"/>
                <w:szCs w:val="32"/>
              </w:rPr>
            </w:pPr>
          </w:p>
        </w:tc>
        <w:tc>
          <w:tcPr>
            <w:tcW w:w="4212" w:type="dxa"/>
            <w:vAlign w:val="center"/>
          </w:tcPr>
          <w:p>
            <w:pPr>
              <w:adjustRightInd w:val="0"/>
              <w:snapToGrid w:val="0"/>
              <w:spacing w:after="84"/>
              <w:ind w:firstLine="640"/>
              <w:rPr>
                <w:rFonts w:ascii="仿宋_GB2312" w:hAnsi="微软雅黑" w:eastAsia="仿宋_GB2312"/>
                <w:color w:val="000000"/>
                <w:szCs w:val="32"/>
              </w:rPr>
            </w:pPr>
          </w:p>
        </w:tc>
        <w:tc>
          <w:tcPr>
            <w:tcW w:w="2595" w:type="dxa"/>
            <w:vAlign w:val="center"/>
          </w:tcPr>
          <w:p>
            <w:pPr>
              <w:adjustRightInd w:val="0"/>
              <w:snapToGrid w:val="0"/>
              <w:spacing w:after="84"/>
              <w:ind w:firstLine="640"/>
              <w:rPr>
                <w:rFonts w:ascii="仿宋_GB2312" w:hAnsi="微软雅黑" w:eastAsia="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adjustRightInd w:val="0"/>
              <w:snapToGrid w:val="0"/>
              <w:spacing w:after="84"/>
              <w:ind w:firstLine="640"/>
              <w:rPr>
                <w:rFonts w:ascii="仿宋_GB2312" w:hAnsi="微软雅黑" w:eastAsia="仿宋_GB2312"/>
                <w:color w:val="000000"/>
                <w:szCs w:val="32"/>
              </w:rPr>
            </w:pPr>
          </w:p>
        </w:tc>
        <w:tc>
          <w:tcPr>
            <w:tcW w:w="4212" w:type="dxa"/>
            <w:vAlign w:val="center"/>
          </w:tcPr>
          <w:p>
            <w:pPr>
              <w:adjustRightInd w:val="0"/>
              <w:snapToGrid w:val="0"/>
              <w:spacing w:after="84"/>
              <w:ind w:firstLine="640"/>
              <w:rPr>
                <w:rFonts w:ascii="仿宋_GB2312" w:hAnsi="微软雅黑" w:eastAsia="仿宋_GB2312"/>
                <w:color w:val="000000"/>
                <w:szCs w:val="32"/>
              </w:rPr>
            </w:pPr>
          </w:p>
        </w:tc>
        <w:tc>
          <w:tcPr>
            <w:tcW w:w="2595" w:type="dxa"/>
            <w:vAlign w:val="center"/>
          </w:tcPr>
          <w:p>
            <w:pPr>
              <w:adjustRightInd w:val="0"/>
              <w:snapToGrid w:val="0"/>
              <w:spacing w:after="84"/>
              <w:ind w:firstLine="640"/>
              <w:rPr>
                <w:rFonts w:ascii="仿宋_GB2312" w:hAnsi="微软雅黑" w:eastAsia="仿宋_GB2312"/>
                <w:color w:val="000000"/>
                <w:szCs w:val="32"/>
              </w:rPr>
            </w:pPr>
          </w:p>
        </w:tc>
      </w:tr>
    </w:tbl>
    <w:p>
      <w:pPr>
        <w:adjustRightInd w:val="0"/>
        <w:snapToGrid w:val="0"/>
        <w:spacing w:after="84"/>
        <w:ind w:firstLine="640"/>
        <w:rPr>
          <w:rFonts w:ascii="仿宋_GB2312" w:hAnsi="微软雅黑" w:eastAsia="仿宋_GB2312"/>
          <w:color w:val="000000"/>
          <w:szCs w:val="32"/>
        </w:rPr>
      </w:pPr>
    </w:p>
    <w:p>
      <w:pPr>
        <w:adjustRightInd w:val="0"/>
        <w:snapToGrid w:val="0"/>
        <w:spacing w:after="84"/>
        <w:ind w:firstLine="560"/>
        <w:rPr>
          <w:rFonts w:ascii="仿宋_GB2312" w:hAnsi="微软雅黑" w:eastAsia="仿宋_GB2312"/>
          <w:color w:val="000000"/>
          <w:sz w:val="28"/>
          <w:szCs w:val="28"/>
        </w:rPr>
      </w:pPr>
      <w:bookmarkStart w:id="96" w:name="_Toc693110979_WPSOffice_Level3"/>
      <w:r>
        <w:rPr>
          <w:rFonts w:hint="eastAsia" w:ascii="仿宋_GB2312" w:hAnsi="微软雅黑" w:eastAsia="仿宋_GB2312"/>
          <w:color w:val="000000"/>
          <w:sz w:val="28"/>
          <w:szCs w:val="28"/>
        </w:rPr>
        <w:t>（提供合同复印件，加盖单位公章）</w:t>
      </w:r>
      <w:bookmarkEnd w:id="96"/>
    </w:p>
    <w:p>
      <w:pPr>
        <w:ind w:firstLine="643"/>
        <w:rPr>
          <w:rFonts w:ascii="宋体" w:hAnsi="宋体" w:cs="宋体"/>
          <w:b/>
          <w:bCs/>
        </w:rPr>
      </w:pPr>
      <w:r>
        <w:rPr>
          <w:rFonts w:hint="eastAsia" w:ascii="宋体" w:hAnsi="宋体" w:cs="宋体"/>
          <w:b/>
          <w:bCs/>
        </w:rPr>
        <w:br w:type="page"/>
      </w:r>
    </w:p>
    <w:p>
      <w:pPr>
        <w:pStyle w:val="6"/>
        <w:rPr>
          <w:rFonts w:ascii="宋体" w:hAnsi="宋体" w:cs="宋体"/>
        </w:rPr>
      </w:pPr>
      <w:bookmarkStart w:id="97" w:name="_Toc259617560_WPSOffice_Level2"/>
      <w:bookmarkStart w:id="98" w:name="_Toc208314418"/>
      <w:bookmarkStart w:id="99" w:name="_Toc2020342334"/>
      <w:r>
        <w:rPr>
          <w:rFonts w:hint="eastAsia" w:ascii="宋体" w:hAnsi="宋体" w:cs="宋体"/>
        </w:rPr>
        <w:t>七</w:t>
      </w:r>
      <w:r>
        <w:rPr>
          <w:rFonts w:ascii="宋体" w:hAnsi="宋体" w:cs="宋体"/>
        </w:rPr>
        <w:t>、监理</w:t>
      </w:r>
      <w:r>
        <w:rPr>
          <w:rFonts w:hint="eastAsia" w:ascii="宋体" w:hAnsi="宋体" w:cs="宋体"/>
        </w:rPr>
        <w:t>人员配备</w:t>
      </w:r>
      <w:bookmarkEnd w:id="97"/>
      <w:bookmarkEnd w:id="98"/>
      <w:bookmarkEnd w:id="99"/>
    </w:p>
    <w:p>
      <w:pPr>
        <w:pStyle w:val="22"/>
        <w:ind w:firstLine="640"/>
        <w:rPr>
          <w:rFonts w:ascii="仿宋_GB2312" w:eastAsia="仿宋_GB2312"/>
          <w:sz w:val="32"/>
          <w:szCs w:val="32"/>
        </w:rPr>
      </w:pPr>
      <w:r>
        <w:rPr>
          <w:rFonts w:hint="eastAsia" w:ascii="仿宋_GB2312" w:eastAsia="仿宋_GB2312"/>
          <w:sz w:val="32"/>
          <w:szCs w:val="32"/>
        </w:rPr>
        <w:t>包括项目总监理工程师，拟参与项目监理人员等。</w:t>
      </w:r>
    </w:p>
    <w:p>
      <w:pPr>
        <w:widowControl/>
        <w:ind w:firstLine="640"/>
        <w:jc w:val="center"/>
        <w:rPr>
          <w:rFonts w:ascii="仿宋_GB2312" w:hAnsi="Calibri" w:eastAsia="仿宋_GB2312"/>
          <w:kern w:val="0"/>
          <w:szCs w:val="32"/>
        </w:rPr>
      </w:pPr>
      <w:bookmarkStart w:id="100" w:name="_Toc33202827"/>
      <w:bookmarkStart w:id="101" w:name="_Toc849655965_WPSOffice_Level3"/>
      <w:bookmarkStart w:id="102" w:name="_Toc33207828"/>
      <w:bookmarkStart w:id="103" w:name="_Toc247614917"/>
      <w:bookmarkStart w:id="104" w:name="_Toc9321"/>
      <w:bookmarkStart w:id="105" w:name="_Toc33208327"/>
      <w:bookmarkStart w:id="106" w:name="_Toc8057"/>
      <w:r>
        <w:rPr>
          <w:rFonts w:hint="eastAsia" w:ascii="仿宋_GB2312" w:hAnsi="Calibri" w:eastAsia="仿宋_GB2312"/>
          <w:kern w:val="0"/>
          <w:szCs w:val="32"/>
        </w:rPr>
        <w:t>监理人员一览表</w:t>
      </w:r>
      <w:bookmarkEnd w:id="100"/>
      <w:bookmarkEnd w:id="101"/>
      <w:bookmarkEnd w:id="102"/>
      <w:bookmarkEnd w:id="103"/>
      <w:bookmarkEnd w:id="104"/>
      <w:bookmarkEnd w:id="105"/>
      <w:bookmarkEnd w:id="106"/>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155"/>
        <w:gridCol w:w="867"/>
        <w:gridCol w:w="867"/>
        <w:gridCol w:w="1052"/>
        <w:gridCol w:w="1080"/>
        <w:gridCol w:w="123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458" w:type="pct"/>
            <w:vAlign w:val="center"/>
          </w:tcPr>
          <w:p>
            <w:pPr>
              <w:spacing w:line="240" w:lineRule="auto"/>
              <w:ind w:firstLine="0" w:firstLineChars="0"/>
              <w:jc w:val="center"/>
              <w:rPr>
                <w:rFonts w:ascii="仿宋_GB2312" w:hAnsi="Calibri" w:eastAsia="仿宋_GB2312"/>
                <w:kern w:val="0"/>
                <w:szCs w:val="32"/>
              </w:rPr>
            </w:pPr>
            <w:r>
              <w:rPr>
                <w:rFonts w:hint="eastAsia" w:ascii="仿宋_GB2312" w:hAnsi="Calibri" w:eastAsia="仿宋_GB2312"/>
                <w:kern w:val="0"/>
                <w:szCs w:val="32"/>
              </w:rPr>
              <w:t>序号</w:t>
            </w:r>
          </w:p>
        </w:tc>
        <w:tc>
          <w:tcPr>
            <w:tcW w:w="677" w:type="pct"/>
            <w:vAlign w:val="center"/>
          </w:tcPr>
          <w:p>
            <w:pPr>
              <w:spacing w:line="240" w:lineRule="auto"/>
              <w:ind w:firstLine="0" w:firstLineChars="0"/>
              <w:jc w:val="center"/>
              <w:rPr>
                <w:rFonts w:ascii="仿宋_GB2312" w:hAnsi="Calibri" w:eastAsia="仿宋_GB2312"/>
                <w:kern w:val="0"/>
                <w:szCs w:val="32"/>
              </w:rPr>
            </w:pPr>
            <w:r>
              <w:rPr>
                <w:rFonts w:hint="eastAsia" w:ascii="仿宋_GB2312" w:hAnsi="Calibri" w:eastAsia="仿宋_GB2312"/>
                <w:kern w:val="0"/>
                <w:szCs w:val="32"/>
              </w:rPr>
              <w:t>姓名</w:t>
            </w:r>
          </w:p>
        </w:tc>
        <w:tc>
          <w:tcPr>
            <w:tcW w:w="508" w:type="pct"/>
            <w:vAlign w:val="center"/>
          </w:tcPr>
          <w:p>
            <w:pPr>
              <w:spacing w:line="240" w:lineRule="auto"/>
              <w:ind w:firstLine="0" w:firstLineChars="0"/>
              <w:jc w:val="center"/>
              <w:rPr>
                <w:rFonts w:ascii="仿宋_GB2312" w:hAnsi="Calibri" w:eastAsia="仿宋_GB2312"/>
                <w:kern w:val="0"/>
                <w:szCs w:val="32"/>
              </w:rPr>
            </w:pPr>
            <w:r>
              <w:rPr>
                <w:rFonts w:hint="eastAsia" w:ascii="仿宋_GB2312" w:hAnsi="Calibri" w:eastAsia="仿宋_GB2312"/>
                <w:kern w:val="0"/>
                <w:szCs w:val="32"/>
              </w:rPr>
              <w:t>性别</w:t>
            </w:r>
          </w:p>
        </w:tc>
        <w:tc>
          <w:tcPr>
            <w:tcW w:w="508" w:type="pct"/>
            <w:vAlign w:val="center"/>
          </w:tcPr>
          <w:p>
            <w:pPr>
              <w:spacing w:line="240" w:lineRule="auto"/>
              <w:ind w:firstLine="0" w:firstLineChars="0"/>
              <w:jc w:val="center"/>
              <w:rPr>
                <w:rFonts w:ascii="仿宋_GB2312" w:hAnsi="Calibri" w:eastAsia="仿宋_GB2312"/>
                <w:kern w:val="0"/>
                <w:szCs w:val="32"/>
              </w:rPr>
            </w:pPr>
            <w:r>
              <w:rPr>
                <w:rFonts w:hint="eastAsia" w:ascii="仿宋_GB2312" w:hAnsi="Calibri" w:eastAsia="仿宋_GB2312"/>
                <w:kern w:val="0"/>
                <w:szCs w:val="32"/>
              </w:rPr>
              <w:t>年龄</w:t>
            </w:r>
          </w:p>
        </w:tc>
        <w:tc>
          <w:tcPr>
            <w:tcW w:w="617" w:type="pct"/>
            <w:vAlign w:val="center"/>
          </w:tcPr>
          <w:p>
            <w:pPr>
              <w:spacing w:line="240" w:lineRule="auto"/>
              <w:ind w:firstLine="0" w:firstLineChars="0"/>
              <w:jc w:val="center"/>
              <w:rPr>
                <w:rFonts w:ascii="仿宋_GB2312" w:hAnsi="Calibri" w:eastAsia="仿宋_GB2312"/>
                <w:kern w:val="0"/>
                <w:szCs w:val="32"/>
              </w:rPr>
            </w:pPr>
            <w:r>
              <w:rPr>
                <w:rFonts w:hint="eastAsia" w:ascii="仿宋_GB2312" w:hAnsi="Calibri" w:eastAsia="仿宋_GB2312"/>
                <w:kern w:val="0"/>
                <w:szCs w:val="32"/>
              </w:rPr>
              <w:t>职称</w:t>
            </w:r>
          </w:p>
        </w:tc>
        <w:tc>
          <w:tcPr>
            <w:tcW w:w="633" w:type="pct"/>
            <w:vAlign w:val="center"/>
          </w:tcPr>
          <w:p>
            <w:pPr>
              <w:spacing w:line="240" w:lineRule="auto"/>
              <w:ind w:firstLine="0" w:firstLineChars="0"/>
              <w:jc w:val="center"/>
              <w:rPr>
                <w:rFonts w:ascii="仿宋_GB2312" w:hAnsi="Calibri" w:eastAsia="仿宋_GB2312"/>
                <w:kern w:val="0"/>
                <w:szCs w:val="32"/>
              </w:rPr>
            </w:pPr>
            <w:r>
              <w:rPr>
                <w:rFonts w:hint="eastAsia" w:ascii="仿宋_GB2312" w:hAnsi="Calibri" w:eastAsia="仿宋_GB2312"/>
                <w:kern w:val="0"/>
                <w:szCs w:val="32"/>
              </w:rPr>
              <w:t>专业</w:t>
            </w:r>
          </w:p>
        </w:tc>
        <w:tc>
          <w:tcPr>
            <w:tcW w:w="725" w:type="pct"/>
            <w:vAlign w:val="center"/>
          </w:tcPr>
          <w:p>
            <w:pPr>
              <w:spacing w:line="240" w:lineRule="auto"/>
              <w:ind w:firstLine="0" w:firstLineChars="0"/>
              <w:jc w:val="center"/>
              <w:rPr>
                <w:rFonts w:hint="eastAsia" w:ascii="仿宋_GB2312" w:hAnsi="Calibri" w:eastAsia="仿宋_GB2312"/>
                <w:kern w:val="0"/>
                <w:szCs w:val="32"/>
              </w:rPr>
            </w:pPr>
            <w:r>
              <w:rPr>
                <w:rFonts w:hint="eastAsia" w:ascii="仿宋_GB2312" w:hAnsi="Calibri" w:eastAsia="仿宋_GB2312"/>
                <w:kern w:val="0"/>
                <w:szCs w:val="32"/>
              </w:rPr>
              <w:t>工作</w:t>
            </w:r>
          </w:p>
          <w:p>
            <w:pPr>
              <w:spacing w:line="240" w:lineRule="auto"/>
              <w:ind w:firstLine="0" w:firstLineChars="0"/>
              <w:jc w:val="center"/>
              <w:rPr>
                <w:rFonts w:ascii="仿宋_GB2312" w:hAnsi="Calibri" w:eastAsia="仿宋_GB2312"/>
                <w:kern w:val="0"/>
                <w:szCs w:val="32"/>
              </w:rPr>
            </w:pPr>
            <w:r>
              <w:rPr>
                <w:rFonts w:hint="eastAsia" w:ascii="仿宋_GB2312" w:hAnsi="Calibri" w:eastAsia="仿宋_GB2312"/>
                <w:kern w:val="0"/>
                <w:szCs w:val="32"/>
              </w:rPr>
              <w:t>年限</w:t>
            </w:r>
          </w:p>
        </w:tc>
        <w:tc>
          <w:tcPr>
            <w:tcW w:w="870" w:type="pct"/>
            <w:vAlign w:val="center"/>
          </w:tcPr>
          <w:p>
            <w:pPr>
              <w:spacing w:line="240" w:lineRule="auto"/>
              <w:ind w:firstLine="0" w:firstLineChars="0"/>
              <w:jc w:val="center"/>
              <w:rPr>
                <w:rFonts w:hint="eastAsia" w:ascii="仿宋_GB2312" w:hAnsi="Calibri" w:eastAsia="仿宋_GB2312"/>
                <w:kern w:val="0"/>
                <w:szCs w:val="32"/>
              </w:rPr>
            </w:pPr>
            <w:r>
              <w:rPr>
                <w:rFonts w:hint="eastAsia" w:ascii="仿宋_GB2312" w:hAnsi="Calibri" w:eastAsia="仿宋_GB2312"/>
                <w:kern w:val="0"/>
                <w:szCs w:val="32"/>
              </w:rPr>
              <w:t>拟担任</w:t>
            </w:r>
          </w:p>
          <w:p>
            <w:pPr>
              <w:spacing w:line="240" w:lineRule="auto"/>
              <w:ind w:firstLine="0" w:firstLineChars="0"/>
              <w:jc w:val="center"/>
              <w:rPr>
                <w:rFonts w:ascii="仿宋_GB2312" w:hAnsi="Calibri" w:eastAsia="仿宋_GB2312"/>
                <w:kern w:val="0"/>
                <w:szCs w:val="32"/>
              </w:rPr>
            </w:pPr>
            <w:r>
              <w:rPr>
                <w:rFonts w:hint="eastAsia" w:ascii="仿宋_GB2312" w:hAnsi="Calibri" w:eastAsia="仿宋_GB2312"/>
                <w:kern w:val="0"/>
                <w:szCs w:val="3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58" w:type="pct"/>
            <w:vAlign w:val="center"/>
          </w:tcPr>
          <w:p>
            <w:pPr>
              <w:spacing w:line="240" w:lineRule="auto"/>
              <w:ind w:firstLine="0" w:firstLineChars="0"/>
              <w:rPr>
                <w:rFonts w:ascii="仿宋_GB2312" w:hAnsi="Calibri" w:eastAsia="仿宋_GB2312"/>
                <w:kern w:val="0"/>
                <w:szCs w:val="32"/>
              </w:rPr>
            </w:pPr>
          </w:p>
        </w:tc>
        <w:tc>
          <w:tcPr>
            <w:tcW w:w="677"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617" w:type="pct"/>
            <w:vAlign w:val="center"/>
          </w:tcPr>
          <w:p>
            <w:pPr>
              <w:spacing w:line="240" w:lineRule="auto"/>
              <w:ind w:firstLine="0" w:firstLineChars="0"/>
              <w:rPr>
                <w:rFonts w:ascii="仿宋_GB2312" w:hAnsi="Calibri" w:eastAsia="仿宋_GB2312"/>
                <w:kern w:val="0"/>
                <w:szCs w:val="32"/>
              </w:rPr>
            </w:pPr>
          </w:p>
        </w:tc>
        <w:tc>
          <w:tcPr>
            <w:tcW w:w="633" w:type="pct"/>
            <w:vAlign w:val="center"/>
          </w:tcPr>
          <w:p>
            <w:pPr>
              <w:spacing w:line="240" w:lineRule="auto"/>
              <w:ind w:firstLine="0" w:firstLineChars="0"/>
              <w:rPr>
                <w:rFonts w:ascii="仿宋_GB2312" w:hAnsi="Calibri" w:eastAsia="仿宋_GB2312"/>
                <w:kern w:val="0"/>
                <w:szCs w:val="32"/>
              </w:rPr>
            </w:pPr>
          </w:p>
        </w:tc>
        <w:tc>
          <w:tcPr>
            <w:tcW w:w="725" w:type="pct"/>
            <w:vAlign w:val="center"/>
          </w:tcPr>
          <w:p>
            <w:pPr>
              <w:spacing w:line="240" w:lineRule="auto"/>
              <w:ind w:firstLine="0" w:firstLineChars="0"/>
              <w:rPr>
                <w:rFonts w:ascii="仿宋_GB2312" w:hAnsi="Calibri" w:eastAsia="仿宋_GB2312"/>
                <w:kern w:val="0"/>
                <w:szCs w:val="32"/>
              </w:rPr>
            </w:pPr>
          </w:p>
        </w:tc>
        <w:tc>
          <w:tcPr>
            <w:tcW w:w="870" w:type="pct"/>
            <w:vAlign w:val="center"/>
          </w:tcPr>
          <w:p>
            <w:pPr>
              <w:spacing w:line="240" w:lineRule="auto"/>
              <w:ind w:firstLine="0" w:firstLineChars="0"/>
              <w:rPr>
                <w:rFonts w:ascii="仿宋_GB2312" w:hAnsi="Calibri" w:eastAsia="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58" w:type="pct"/>
            <w:vAlign w:val="center"/>
          </w:tcPr>
          <w:p>
            <w:pPr>
              <w:spacing w:line="240" w:lineRule="auto"/>
              <w:ind w:firstLine="0" w:firstLineChars="0"/>
              <w:rPr>
                <w:rFonts w:ascii="仿宋_GB2312" w:hAnsi="Calibri" w:eastAsia="仿宋_GB2312"/>
                <w:kern w:val="0"/>
                <w:szCs w:val="32"/>
              </w:rPr>
            </w:pPr>
          </w:p>
        </w:tc>
        <w:tc>
          <w:tcPr>
            <w:tcW w:w="677"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617" w:type="pct"/>
            <w:vAlign w:val="center"/>
          </w:tcPr>
          <w:p>
            <w:pPr>
              <w:spacing w:line="240" w:lineRule="auto"/>
              <w:ind w:firstLine="0" w:firstLineChars="0"/>
              <w:rPr>
                <w:rFonts w:ascii="仿宋_GB2312" w:hAnsi="Calibri" w:eastAsia="仿宋_GB2312"/>
                <w:kern w:val="0"/>
                <w:szCs w:val="32"/>
              </w:rPr>
            </w:pPr>
          </w:p>
        </w:tc>
        <w:tc>
          <w:tcPr>
            <w:tcW w:w="633" w:type="pct"/>
            <w:vAlign w:val="center"/>
          </w:tcPr>
          <w:p>
            <w:pPr>
              <w:spacing w:line="240" w:lineRule="auto"/>
              <w:ind w:firstLine="0" w:firstLineChars="0"/>
              <w:rPr>
                <w:rFonts w:ascii="仿宋_GB2312" w:hAnsi="Calibri" w:eastAsia="仿宋_GB2312"/>
                <w:kern w:val="0"/>
                <w:szCs w:val="32"/>
              </w:rPr>
            </w:pPr>
          </w:p>
        </w:tc>
        <w:tc>
          <w:tcPr>
            <w:tcW w:w="725" w:type="pct"/>
            <w:vAlign w:val="center"/>
          </w:tcPr>
          <w:p>
            <w:pPr>
              <w:spacing w:line="240" w:lineRule="auto"/>
              <w:ind w:firstLine="0" w:firstLineChars="0"/>
              <w:rPr>
                <w:rFonts w:ascii="仿宋_GB2312" w:hAnsi="Calibri" w:eastAsia="仿宋_GB2312"/>
                <w:kern w:val="0"/>
                <w:szCs w:val="32"/>
              </w:rPr>
            </w:pPr>
          </w:p>
        </w:tc>
        <w:tc>
          <w:tcPr>
            <w:tcW w:w="870" w:type="pct"/>
            <w:vAlign w:val="center"/>
          </w:tcPr>
          <w:p>
            <w:pPr>
              <w:spacing w:line="240" w:lineRule="auto"/>
              <w:ind w:firstLine="0" w:firstLineChars="0"/>
              <w:rPr>
                <w:rFonts w:ascii="仿宋_GB2312" w:hAnsi="Calibri" w:eastAsia="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58" w:type="pct"/>
            <w:vAlign w:val="center"/>
          </w:tcPr>
          <w:p>
            <w:pPr>
              <w:spacing w:line="240" w:lineRule="auto"/>
              <w:ind w:firstLine="0" w:firstLineChars="0"/>
              <w:rPr>
                <w:rFonts w:ascii="仿宋_GB2312" w:hAnsi="Calibri" w:eastAsia="仿宋_GB2312"/>
                <w:kern w:val="0"/>
                <w:szCs w:val="32"/>
              </w:rPr>
            </w:pPr>
          </w:p>
        </w:tc>
        <w:tc>
          <w:tcPr>
            <w:tcW w:w="677"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617" w:type="pct"/>
            <w:vAlign w:val="center"/>
          </w:tcPr>
          <w:p>
            <w:pPr>
              <w:spacing w:line="240" w:lineRule="auto"/>
              <w:ind w:firstLine="0" w:firstLineChars="0"/>
              <w:rPr>
                <w:rFonts w:ascii="仿宋_GB2312" w:hAnsi="Calibri" w:eastAsia="仿宋_GB2312"/>
                <w:kern w:val="0"/>
                <w:szCs w:val="32"/>
              </w:rPr>
            </w:pPr>
          </w:p>
        </w:tc>
        <w:tc>
          <w:tcPr>
            <w:tcW w:w="633" w:type="pct"/>
            <w:vAlign w:val="center"/>
          </w:tcPr>
          <w:p>
            <w:pPr>
              <w:spacing w:line="240" w:lineRule="auto"/>
              <w:ind w:firstLine="0" w:firstLineChars="0"/>
              <w:rPr>
                <w:rFonts w:ascii="仿宋_GB2312" w:hAnsi="Calibri" w:eastAsia="仿宋_GB2312"/>
                <w:kern w:val="0"/>
                <w:szCs w:val="32"/>
              </w:rPr>
            </w:pPr>
          </w:p>
        </w:tc>
        <w:tc>
          <w:tcPr>
            <w:tcW w:w="725" w:type="pct"/>
            <w:vAlign w:val="center"/>
          </w:tcPr>
          <w:p>
            <w:pPr>
              <w:spacing w:line="240" w:lineRule="auto"/>
              <w:ind w:firstLine="0" w:firstLineChars="0"/>
              <w:rPr>
                <w:rFonts w:ascii="仿宋_GB2312" w:hAnsi="Calibri" w:eastAsia="仿宋_GB2312"/>
                <w:kern w:val="0"/>
                <w:szCs w:val="32"/>
              </w:rPr>
            </w:pPr>
          </w:p>
        </w:tc>
        <w:tc>
          <w:tcPr>
            <w:tcW w:w="870" w:type="pct"/>
            <w:vAlign w:val="center"/>
          </w:tcPr>
          <w:p>
            <w:pPr>
              <w:spacing w:line="240" w:lineRule="auto"/>
              <w:ind w:firstLine="0" w:firstLineChars="0"/>
              <w:rPr>
                <w:rFonts w:ascii="仿宋_GB2312" w:hAnsi="Calibri" w:eastAsia="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58" w:type="pct"/>
            <w:vAlign w:val="center"/>
          </w:tcPr>
          <w:p>
            <w:pPr>
              <w:spacing w:line="240" w:lineRule="auto"/>
              <w:ind w:firstLine="0" w:firstLineChars="0"/>
              <w:rPr>
                <w:rFonts w:ascii="仿宋_GB2312" w:hAnsi="Calibri" w:eastAsia="仿宋_GB2312"/>
                <w:kern w:val="0"/>
                <w:szCs w:val="32"/>
              </w:rPr>
            </w:pPr>
          </w:p>
        </w:tc>
        <w:tc>
          <w:tcPr>
            <w:tcW w:w="677"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617" w:type="pct"/>
            <w:vAlign w:val="center"/>
          </w:tcPr>
          <w:p>
            <w:pPr>
              <w:spacing w:line="240" w:lineRule="auto"/>
              <w:ind w:firstLine="0" w:firstLineChars="0"/>
              <w:rPr>
                <w:rFonts w:ascii="仿宋_GB2312" w:hAnsi="Calibri" w:eastAsia="仿宋_GB2312"/>
                <w:kern w:val="0"/>
                <w:szCs w:val="32"/>
              </w:rPr>
            </w:pPr>
          </w:p>
        </w:tc>
        <w:tc>
          <w:tcPr>
            <w:tcW w:w="633" w:type="pct"/>
            <w:vAlign w:val="center"/>
          </w:tcPr>
          <w:p>
            <w:pPr>
              <w:spacing w:line="240" w:lineRule="auto"/>
              <w:ind w:firstLine="0" w:firstLineChars="0"/>
              <w:rPr>
                <w:rFonts w:ascii="仿宋_GB2312" w:hAnsi="Calibri" w:eastAsia="仿宋_GB2312"/>
                <w:kern w:val="0"/>
                <w:szCs w:val="32"/>
              </w:rPr>
            </w:pPr>
          </w:p>
        </w:tc>
        <w:tc>
          <w:tcPr>
            <w:tcW w:w="725" w:type="pct"/>
            <w:vAlign w:val="center"/>
          </w:tcPr>
          <w:p>
            <w:pPr>
              <w:spacing w:line="240" w:lineRule="auto"/>
              <w:ind w:firstLine="0" w:firstLineChars="0"/>
              <w:rPr>
                <w:rFonts w:ascii="仿宋_GB2312" w:hAnsi="Calibri" w:eastAsia="仿宋_GB2312"/>
                <w:kern w:val="0"/>
                <w:szCs w:val="32"/>
              </w:rPr>
            </w:pPr>
          </w:p>
        </w:tc>
        <w:tc>
          <w:tcPr>
            <w:tcW w:w="870" w:type="pct"/>
            <w:vAlign w:val="center"/>
          </w:tcPr>
          <w:p>
            <w:pPr>
              <w:spacing w:line="240" w:lineRule="auto"/>
              <w:ind w:firstLine="0" w:firstLineChars="0"/>
              <w:rPr>
                <w:rFonts w:ascii="仿宋_GB2312" w:hAnsi="Calibri" w:eastAsia="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58" w:type="pct"/>
            <w:vAlign w:val="center"/>
          </w:tcPr>
          <w:p>
            <w:pPr>
              <w:spacing w:line="240" w:lineRule="auto"/>
              <w:ind w:firstLine="0" w:firstLineChars="0"/>
              <w:rPr>
                <w:rFonts w:ascii="仿宋_GB2312" w:hAnsi="Calibri" w:eastAsia="仿宋_GB2312"/>
                <w:kern w:val="0"/>
                <w:szCs w:val="32"/>
              </w:rPr>
            </w:pPr>
          </w:p>
        </w:tc>
        <w:tc>
          <w:tcPr>
            <w:tcW w:w="677"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617" w:type="pct"/>
            <w:vAlign w:val="center"/>
          </w:tcPr>
          <w:p>
            <w:pPr>
              <w:spacing w:line="240" w:lineRule="auto"/>
              <w:ind w:firstLine="0" w:firstLineChars="0"/>
              <w:rPr>
                <w:rFonts w:ascii="仿宋_GB2312" w:hAnsi="Calibri" w:eastAsia="仿宋_GB2312"/>
                <w:kern w:val="0"/>
                <w:szCs w:val="32"/>
              </w:rPr>
            </w:pPr>
          </w:p>
        </w:tc>
        <w:tc>
          <w:tcPr>
            <w:tcW w:w="633" w:type="pct"/>
            <w:vAlign w:val="center"/>
          </w:tcPr>
          <w:p>
            <w:pPr>
              <w:spacing w:line="240" w:lineRule="auto"/>
              <w:ind w:firstLine="0" w:firstLineChars="0"/>
              <w:rPr>
                <w:rFonts w:ascii="仿宋_GB2312" w:hAnsi="Calibri" w:eastAsia="仿宋_GB2312"/>
                <w:kern w:val="0"/>
                <w:szCs w:val="32"/>
              </w:rPr>
            </w:pPr>
          </w:p>
        </w:tc>
        <w:tc>
          <w:tcPr>
            <w:tcW w:w="725" w:type="pct"/>
            <w:vAlign w:val="center"/>
          </w:tcPr>
          <w:p>
            <w:pPr>
              <w:spacing w:line="240" w:lineRule="auto"/>
              <w:ind w:firstLine="0" w:firstLineChars="0"/>
              <w:rPr>
                <w:rFonts w:ascii="仿宋_GB2312" w:hAnsi="Calibri" w:eastAsia="仿宋_GB2312"/>
                <w:kern w:val="0"/>
                <w:szCs w:val="32"/>
              </w:rPr>
            </w:pPr>
          </w:p>
        </w:tc>
        <w:tc>
          <w:tcPr>
            <w:tcW w:w="870" w:type="pct"/>
            <w:vAlign w:val="center"/>
          </w:tcPr>
          <w:p>
            <w:pPr>
              <w:spacing w:line="240" w:lineRule="auto"/>
              <w:ind w:firstLine="0" w:firstLineChars="0"/>
              <w:rPr>
                <w:rFonts w:ascii="仿宋_GB2312" w:hAnsi="Calibri" w:eastAsia="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58" w:type="pct"/>
            <w:vAlign w:val="center"/>
          </w:tcPr>
          <w:p>
            <w:pPr>
              <w:spacing w:line="240" w:lineRule="auto"/>
              <w:ind w:firstLine="0" w:firstLineChars="0"/>
              <w:rPr>
                <w:rFonts w:ascii="仿宋_GB2312" w:hAnsi="Calibri" w:eastAsia="仿宋_GB2312"/>
                <w:kern w:val="0"/>
                <w:szCs w:val="32"/>
              </w:rPr>
            </w:pPr>
          </w:p>
        </w:tc>
        <w:tc>
          <w:tcPr>
            <w:tcW w:w="677"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617" w:type="pct"/>
            <w:vAlign w:val="center"/>
          </w:tcPr>
          <w:p>
            <w:pPr>
              <w:spacing w:line="240" w:lineRule="auto"/>
              <w:ind w:firstLine="0" w:firstLineChars="0"/>
              <w:rPr>
                <w:rFonts w:ascii="仿宋_GB2312" w:hAnsi="Calibri" w:eastAsia="仿宋_GB2312"/>
                <w:kern w:val="0"/>
                <w:szCs w:val="32"/>
              </w:rPr>
            </w:pPr>
          </w:p>
        </w:tc>
        <w:tc>
          <w:tcPr>
            <w:tcW w:w="633" w:type="pct"/>
            <w:vAlign w:val="center"/>
          </w:tcPr>
          <w:p>
            <w:pPr>
              <w:spacing w:line="240" w:lineRule="auto"/>
              <w:ind w:firstLine="0" w:firstLineChars="0"/>
              <w:rPr>
                <w:rFonts w:ascii="仿宋_GB2312" w:hAnsi="Calibri" w:eastAsia="仿宋_GB2312"/>
                <w:kern w:val="0"/>
                <w:szCs w:val="32"/>
              </w:rPr>
            </w:pPr>
          </w:p>
        </w:tc>
        <w:tc>
          <w:tcPr>
            <w:tcW w:w="725" w:type="pct"/>
            <w:vAlign w:val="center"/>
          </w:tcPr>
          <w:p>
            <w:pPr>
              <w:spacing w:line="240" w:lineRule="auto"/>
              <w:ind w:firstLine="0" w:firstLineChars="0"/>
              <w:rPr>
                <w:rFonts w:ascii="仿宋_GB2312" w:hAnsi="Calibri" w:eastAsia="仿宋_GB2312"/>
                <w:kern w:val="0"/>
                <w:szCs w:val="32"/>
              </w:rPr>
            </w:pPr>
          </w:p>
        </w:tc>
        <w:tc>
          <w:tcPr>
            <w:tcW w:w="870" w:type="pct"/>
            <w:vAlign w:val="center"/>
          </w:tcPr>
          <w:p>
            <w:pPr>
              <w:spacing w:line="240" w:lineRule="auto"/>
              <w:ind w:firstLine="0" w:firstLineChars="0"/>
              <w:rPr>
                <w:rFonts w:ascii="仿宋_GB2312" w:hAnsi="Calibri" w:eastAsia="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58" w:type="pct"/>
            <w:vAlign w:val="center"/>
          </w:tcPr>
          <w:p>
            <w:pPr>
              <w:spacing w:line="240" w:lineRule="auto"/>
              <w:ind w:firstLine="0" w:firstLineChars="0"/>
              <w:rPr>
                <w:rFonts w:ascii="仿宋_GB2312" w:hAnsi="Calibri" w:eastAsia="仿宋_GB2312"/>
                <w:kern w:val="0"/>
                <w:szCs w:val="32"/>
              </w:rPr>
            </w:pPr>
          </w:p>
        </w:tc>
        <w:tc>
          <w:tcPr>
            <w:tcW w:w="677"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617" w:type="pct"/>
            <w:vAlign w:val="center"/>
          </w:tcPr>
          <w:p>
            <w:pPr>
              <w:spacing w:line="240" w:lineRule="auto"/>
              <w:ind w:firstLine="0" w:firstLineChars="0"/>
              <w:rPr>
                <w:rFonts w:ascii="仿宋_GB2312" w:hAnsi="Calibri" w:eastAsia="仿宋_GB2312"/>
                <w:kern w:val="0"/>
                <w:szCs w:val="32"/>
              </w:rPr>
            </w:pPr>
          </w:p>
        </w:tc>
        <w:tc>
          <w:tcPr>
            <w:tcW w:w="633" w:type="pct"/>
            <w:vAlign w:val="center"/>
          </w:tcPr>
          <w:p>
            <w:pPr>
              <w:spacing w:line="240" w:lineRule="auto"/>
              <w:ind w:firstLine="0" w:firstLineChars="0"/>
              <w:rPr>
                <w:rFonts w:ascii="仿宋_GB2312" w:hAnsi="Calibri" w:eastAsia="仿宋_GB2312"/>
                <w:kern w:val="0"/>
                <w:szCs w:val="32"/>
              </w:rPr>
            </w:pPr>
          </w:p>
        </w:tc>
        <w:tc>
          <w:tcPr>
            <w:tcW w:w="725" w:type="pct"/>
            <w:vAlign w:val="center"/>
          </w:tcPr>
          <w:p>
            <w:pPr>
              <w:spacing w:line="240" w:lineRule="auto"/>
              <w:ind w:firstLine="0" w:firstLineChars="0"/>
              <w:rPr>
                <w:rFonts w:ascii="仿宋_GB2312" w:hAnsi="Calibri" w:eastAsia="仿宋_GB2312"/>
                <w:kern w:val="0"/>
                <w:szCs w:val="32"/>
              </w:rPr>
            </w:pPr>
          </w:p>
        </w:tc>
        <w:tc>
          <w:tcPr>
            <w:tcW w:w="870" w:type="pct"/>
            <w:vAlign w:val="center"/>
          </w:tcPr>
          <w:p>
            <w:pPr>
              <w:spacing w:line="240" w:lineRule="auto"/>
              <w:ind w:firstLine="0" w:firstLineChars="0"/>
              <w:rPr>
                <w:rFonts w:ascii="仿宋_GB2312" w:hAnsi="Calibri" w:eastAsia="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58" w:type="pct"/>
            <w:vAlign w:val="center"/>
          </w:tcPr>
          <w:p>
            <w:pPr>
              <w:spacing w:line="240" w:lineRule="auto"/>
              <w:ind w:firstLine="0" w:firstLineChars="0"/>
              <w:rPr>
                <w:rFonts w:ascii="仿宋_GB2312" w:hAnsi="Calibri" w:eastAsia="仿宋_GB2312"/>
                <w:kern w:val="0"/>
                <w:szCs w:val="32"/>
              </w:rPr>
            </w:pPr>
          </w:p>
        </w:tc>
        <w:tc>
          <w:tcPr>
            <w:tcW w:w="677"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508" w:type="pct"/>
            <w:vAlign w:val="center"/>
          </w:tcPr>
          <w:p>
            <w:pPr>
              <w:spacing w:line="240" w:lineRule="auto"/>
              <w:ind w:firstLine="0" w:firstLineChars="0"/>
              <w:rPr>
                <w:rFonts w:ascii="仿宋_GB2312" w:hAnsi="Calibri" w:eastAsia="仿宋_GB2312"/>
                <w:kern w:val="0"/>
                <w:szCs w:val="32"/>
              </w:rPr>
            </w:pPr>
          </w:p>
        </w:tc>
        <w:tc>
          <w:tcPr>
            <w:tcW w:w="617" w:type="pct"/>
            <w:vAlign w:val="center"/>
          </w:tcPr>
          <w:p>
            <w:pPr>
              <w:spacing w:line="240" w:lineRule="auto"/>
              <w:ind w:firstLine="0" w:firstLineChars="0"/>
              <w:rPr>
                <w:rFonts w:ascii="仿宋_GB2312" w:hAnsi="Calibri" w:eastAsia="仿宋_GB2312"/>
                <w:kern w:val="0"/>
                <w:szCs w:val="32"/>
              </w:rPr>
            </w:pPr>
          </w:p>
        </w:tc>
        <w:tc>
          <w:tcPr>
            <w:tcW w:w="633" w:type="pct"/>
            <w:vAlign w:val="center"/>
          </w:tcPr>
          <w:p>
            <w:pPr>
              <w:spacing w:line="240" w:lineRule="auto"/>
              <w:ind w:firstLine="0" w:firstLineChars="0"/>
              <w:rPr>
                <w:rFonts w:ascii="仿宋_GB2312" w:hAnsi="Calibri" w:eastAsia="仿宋_GB2312"/>
                <w:kern w:val="0"/>
                <w:szCs w:val="32"/>
              </w:rPr>
            </w:pPr>
          </w:p>
        </w:tc>
        <w:tc>
          <w:tcPr>
            <w:tcW w:w="725" w:type="pct"/>
            <w:vAlign w:val="center"/>
          </w:tcPr>
          <w:p>
            <w:pPr>
              <w:spacing w:line="240" w:lineRule="auto"/>
              <w:ind w:firstLine="0" w:firstLineChars="0"/>
              <w:rPr>
                <w:rFonts w:ascii="仿宋_GB2312" w:hAnsi="Calibri" w:eastAsia="仿宋_GB2312"/>
                <w:kern w:val="0"/>
                <w:szCs w:val="32"/>
              </w:rPr>
            </w:pPr>
          </w:p>
        </w:tc>
        <w:tc>
          <w:tcPr>
            <w:tcW w:w="870" w:type="pct"/>
            <w:vAlign w:val="center"/>
          </w:tcPr>
          <w:p>
            <w:pPr>
              <w:spacing w:line="240" w:lineRule="auto"/>
              <w:ind w:firstLine="0" w:firstLineChars="0"/>
              <w:rPr>
                <w:rFonts w:ascii="仿宋_GB2312" w:hAnsi="Calibri" w:eastAsia="仿宋_GB2312"/>
                <w:kern w:val="0"/>
                <w:szCs w:val="32"/>
              </w:rPr>
            </w:pPr>
          </w:p>
        </w:tc>
      </w:tr>
    </w:tbl>
    <w:p>
      <w:pPr>
        <w:spacing w:line="460" w:lineRule="exact"/>
        <w:ind w:left="560" w:hanging="560" w:hangingChars="200"/>
        <w:rPr>
          <w:rFonts w:ascii="仿宋_GB2312" w:hAnsi="Calibri" w:eastAsia="仿宋_GB2312"/>
          <w:kern w:val="0"/>
          <w:szCs w:val="32"/>
        </w:rPr>
        <w:sectPr>
          <w:pgSz w:w="11906" w:h="16838"/>
          <w:pgMar w:top="1440" w:right="1800" w:bottom="1440" w:left="1800" w:header="851" w:footer="992" w:gutter="0"/>
          <w:cols w:space="720" w:num="1"/>
          <w:docGrid w:type="lines" w:linePitch="312" w:charSpace="0"/>
        </w:sectPr>
      </w:pPr>
      <w:bookmarkStart w:id="107" w:name="_Toc881211742_WPSOffice_Level3"/>
      <w:r>
        <w:rPr>
          <w:rFonts w:hint="eastAsia" w:ascii="仿宋_GB2312" w:hAnsi="Calibri" w:eastAsia="仿宋_GB2312"/>
          <w:kern w:val="0"/>
          <w:sz w:val="28"/>
          <w:szCs w:val="28"/>
        </w:rPr>
        <w:t>注：附上述人员相关资格证明文件（包括身份证、职称证、注册证书、培训证书等）并加盖公章，总监理工程师必须是注册监理工程师。比选申请人可自行调整</w:t>
      </w:r>
      <w:bookmarkEnd w:id="107"/>
      <w:r>
        <w:rPr>
          <w:rFonts w:hint="eastAsia" w:ascii="仿宋_GB2312" w:hAnsi="Calibri" w:eastAsia="仿宋_GB2312"/>
          <w:kern w:val="0"/>
          <w:sz w:val="28"/>
          <w:szCs w:val="28"/>
        </w:rPr>
        <w:t>该表行数</w:t>
      </w:r>
      <w:r>
        <w:rPr>
          <w:rFonts w:hint="eastAsia" w:ascii="仿宋_GB2312" w:hAnsi="Calibri" w:eastAsia="仿宋_GB2312"/>
          <w:kern w:val="0"/>
          <w:szCs w:val="32"/>
        </w:rPr>
        <w:t>。</w:t>
      </w:r>
    </w:p>
    <w:p>
      <w:pPr>
        <w:spacing w:line="460" w:lineRule="exact"/>
        <w:ind w:firstLine="0" w:firstLineChars="0"/>
        <w:rPr>
          <w:rFonts w:ascii="宋体" w:hAnsi="宋体" w:eastAsia="宋体" w:cs="宋体"/>
          <w:b/>
          <w:color w:val="000000"/>
          <w:sz w:val="28"/>
          <w:szCs w:val="21"/>
        </w:rPr>
      </w:pPr>
    </w:p>
    <w:p>
      <w:pPr>
        <w:pStyle w:val="6"/>
        <w:rPr>
          <w:rFonts w:ascii="宋体" w:hAnsi="宋体" w:cs="宋体"/>
        </w:rPr>
      </w:pPr>
      <w:bookmarkStart w:id="108" w:name="_Toc697404877_WPSOffice_Level2"/>
      <w:bookmarkStart w:id="109" w:name="_Toc1190199762"/>
      <w:bookmarkStart w:id="110" w:name="_Toc208314419"/>
      <w:r>
        <w:rPr>
          <w:rFonts w:hint="eastAsia" w:ascii="宋体" w:hAnsi="宋体" w:cs="宋体"/>
        </w:rPr>
        <w:t>八</w:t>
      </w:r>
      <w:r>
        <w:rPr>
          <w:rFonts w:ascii="宋体" w:hAnsi="宋体" w:cs="宋体"/>
        </w:rPr>
        <w:t>、</w:t>
      </w:r>
      <w:r>
        <w:rPr>
          <w:rFonts w:hint="eastAsia" w:ascii="宋体" w:hAnsi="宋体" w:cs="宋体"/>
        </w:rPr>
        <w:t>营业执照、资质证书</w:t>
      </w:r>
      <w:bookmarkEnd w:id="108"/>
      <w:bookmarkEnd w:id="109"/>
      <w:r>
        <w:rPr>
          <w:rFonts w:hint="eastAsia" w:ascii="宋体" w:hAnsi="宋体" w:cs="宋体"/>
        </w:rPr>
        <w:t>及三标认证（I</w:t>
      </w:r>
      <w:r>
        <w:rPr>
          <w:rFonts w:ascii="宋体" w:hAnsi="宋体" w:cs="宋体"/>
        </w:rPr>
        <w:t>SO9001质量管理体系、</w:t>
      </w:r>
      <w:r>
        <w:rPr>
          <w:rFonts w:hint="eastAsia" w:ascii="宋体" w:hAnsi="宋体" w:cs="宋体"/>
        </w:rPr>
        <w:t>I</w:t>
      </w:r>
      <w:r>
        <w:rPr>
          <w:rFonts w:ascii="宋体" w:hAnsi="宋体" w:cs="宋体"/>
        </w:rPr>
        <w:t>SO45001职业健康安全管理体系</w:t>
      </w:r>
      <w:r>
        <w:rPr>
          <w:rFonts w:hint="eastAsia" w:ascii="宋体" w:hAnsi="宋体" w:cs="宋体"/>
        </w:rPr>
        <w:t>和I</w:t>
      </w:r>
      <w:r>
        <w:rPr>
          <w:rFonts w:ascii="宋体" w:hAnsi="宋体" w:cs="宋体"/>
        </w:rPr>
        <w:t>SO14001环境管理体系</w:t>
      </w:r>
      <w:r>
        <w:rPr>
          <w:rFonts w:hint="eastAsia" w:ascii="宋体" w:hAnsi="宋体" w:cs="宋体"/>
        </w:rPr>
        <w:t>）</w:t>
      </w:r>
      <w:r>
        <w:rPr>
          <w:rFonts w:ascii="宋体" w:hAnsi="宋体" w:cs="宋体"/>
        </w:rPr>
        <w:t>证书</w:t>
      </w:r>
      <w:bookmarkEnd w:id="110"/>
    </w:p>
    <w:p>
      <w:pPr>
        <w:adjustRightInd w:val="0"/>
        <w:snapToGrid w:val="0"/>
        <w:spacing w:after="84"/>
        <w:ind w:firstLine="640"/>
        <w:rPr>
          <w:rFonts w:ascii="仿宋_GB2312" w:hAnsi="微软雅黑" w:eastAsia="仿宋_GB2312"/>
          <w:color w:val="000000"/>
          <w:szCs w:val="32"/>
        </w:rPr>
      </w:pPr>
      <w:r>
        <w:rPr>
          <w:rFonts w:hint="eastAsia" w:ascii="仿宋_GB2312" w:hAnsi="微软雅黑" w:eastAsia="仿宋_GB2312"/>
          <w:color w:val="000000"/>
          <w:szCs w:val="32"/>
        </w:rPr>
        <w:t>复印件并加盖公章</w:t>
      </w:r>
    </w:p>
    <w:p>
      <w:pPr>
        <w:pStyle w:val="6"/>
        <w:rPr>
          <w:rFonts w:hint="eastAsia" w:ascii="宋体" w:hAnsi="宋体" w:cs="宋体"/>
        </w:rPr>
      </w:pPr>
      <w:bookmarkStart w:id="111" w:name="_Toc208314420"/>
      <w:bookmarkStart w:id="112" w:name="_Toc1727844851"/>
      <w:bookmarkStart w:id="113" w:name="_Toc1340527482_WPSOffice_Level2"/>
    </w:p>
    <w:p>
      <w:pPr>
        <w:pStyle w:val="6"/>
        <w:rPr>
          <w:rFonts w:ascii="宋体" w:hAnsi="宋体" w:cs="宋体"/>
        </w:rPr>
      </w:pPr>
      <w:r>
        <w:rPr>
          <w:rFonts w:hint="eastAsia" w:ascii="宋体" w:hAnsi="宋体" w:cs="宋体"/>
        </w:rPr>
        <w:t>九、报价单</w:t>
      </w:r>
      <w:bookmarkEnd w:id="111"/>
      <w:bookmarkEnd w:id="112"/>
      <w:bookmarkEnd w:id="113"/>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063"/>
        <w:gridCol w:w="1532"/>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95" w:type="pct"/>
            <w:vAlign w:val="center"/>
          </w:tcPr>
          <w:p>
            <w:pPr>
              <w:spacing w:line="460" w:lineRule="exact"/>
              <w:ind w:left="640" w:hanging="640" w:hangingChars="200"/>
              <w:jc w:val="center"/>
              <w:rPr>
                <w:rFonts w:ascii="仿宋_GB2312" w:hAnsi="Calibri" w:eastAsia="仿宋_GB2312"/>
                <w:kern w:val="0"/>
                <w:szCs w:val="32"/>
              </w:rPr>
            </w:pPr>
            <w:r>
              <w:rPr>
                <w:rFonts w:hint="eastAsia" w:ascii="仿宋_GB2312" w:hAnsi="Calibri" w:eastAsia="仿宋_GB2312"/>
                <w:kern w:val="0"/>
                <w:szCs w:val="32"/>
              </w:rPr>
              <w:t>项目名称</w:t>
            </w:r>
          </w:p>
        </w:tc>
        <w:tc>
          <w:tcPr>
            <w:tcW w:w="1797" w:type="pct"/>
            <w:vAlign w:val="center"/>
          </w:tcPr>
          <w:p>
            <w:pPr>
              <w:spacing w:line="460" w:lineRule="exact"/>
              <w:ind w:left="640" w:hanging="640" w:hangingChars="200"/>
              <w:rPr>
                <w:rFonts w:ascii="仿宋_GB2312" w:hAnsi="Calibri" w:eastAsia="仿宋_GB2312"/>
                <w:kern w:val="0"/>
                <w:szCs w:val="32"/>
              </w:rPr>
            </w:pPr>
          </w:p>
        </w:tc>
        <w:tc>
          <w:tcPr>
            <w:tcW w:w="899" w:type="pct"/>
            <w:vAlign w:val="center"/>
          </w:tcPr>
          <w:p>
            <w:pPr>
              <w:spacing w:line="460" w:lineRule="exact"/>
              <w:ind w:left="640" w:hanging="640" w:hangingChars="200"/>
              <w:jc w:val="center"/>
              <w:rPr>
                <w:rFonts w:ascii="仿宋_GB2312" w:hAnsi="Calibri" w:eastAsia="仿宋_GB2312"/>
                <w:kern w:val="0"/>
                <w:szCs w:val="32"/>
              </w:rPr>
            </w:pPr>
            <w:r>
              <w:rPr>
                <w:rFonts w:hint="eastAsia" w:ascii="仿宋_GB2312" w:hAnsi="Calibri" w:eastAsia="仿宋_GB2312"/>
                <w:kern w:val="0"/>
                <w:szCs w:val="32"/>
              </w:rPr>
              <w:t>项目编号</w:t>
            </w:r>
          </w:p>
        </w:tc>
        <w:tc>
          <w:tcPr>
            <w:tcW w:w="1308" w:type="pct"/>
            <w:vAlign w:val="center"/>
          </w:tcPr>
          <w:p>
            <w:pPr>
              <w:spacing w:line="460" w:lineRule="exact"/>
              <w:ind w:left="640" w:hanging="640" w:hangingChars="200"/>
              <w:rPr>
                <w:rFonts w:ascii="仿宋_GB2312" w:hAnsi="Calibri" w:eastAsia="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95" w:type="pct"/>
            <w:vAlign w:val="center"/>
          </w:tcPr>
          <w:p>
            <w:pPr>
              <w:spacing w:line="460" w:lineRule="exact"/>
              <w:ind w:left="640" w:hanging="640" w:hangingChars="200"/>
              <w:jc w:val="center"/>
              <w:rPr>
                <w:rFonts w:ascii="仿宋_GB2312" w:hAnsi="Calibri" w:eastAsia="仿宋_GB2312"/>
                <w:kern w:val="0"/>
                <w:szCs w:val="32"/>
              </w:rPr>
            </w:pPr>
            <w:r>
              <w:rPr>
                <w:rFonts w:hint="eastAsia" w:ascii="仿宋_GB2312" w:hAnsi="Calibri" w:eastAsia="仿宋_GB2312"/>
                <w:kern w:val="0"/>
                <w:szCs w:val="32"/>
              </w:rPr>
              <w:t>参选报价</w:t>
            </w:r>
          </w:p>
        </w:tc>
        <w:tc>
          <w:tcPr>
            <w:tcW w:w="4004" w:type="pct"/>
            <w:gridSpan w:val="3"/>
            <w:vAlign w:val="center"/>
          </w:tcPr>
          <w:p>
            <w:pPr>
              <w:spacing w:line="460" w:lineRule="exact"/>
              <w:ind w:left="640" w:hanging="640" w:hangingChars="200"/>
              <w:rPr>
                <w:rFonts w:ascii="仿宋_GB2312" w:hAnsi="Calibri" w:eastAsia="仿宋_GB2312"/>
                <w:kern w:val="0"/>
                <w:szCs w:val="32"/>
              </w:rPr>
            </w:pPr>
            <w:r>
              <w:rPr>
                <w:rFonts w:hint="eastAsia" w:ascii="仿宋_GB2312" w:hAnsi="Calibri" w:eastAsia="仿宋_GB2312"/>
                <w:kern w:val="0"/>
                <w:szCs w:val="32"/>
              </w:rPr>
              <w:t>报价：            （大写）元人民币</w:t>
            </w:r>
          </w:p>
          <w:p>
            <w:pPr>
              <w:spacing w:line="460" w:lineRule="exact"/>
              <w:ind w:left="640" w:hanging="640" w:hangingChars="200"/>
              <w:rPr>
                <w:rFonts w:ascii="仿宋_GB2312" w:hAnsi="Calibri" w:eastAsia="仿宋_GB2312"/>
                <w:kern w:val="0"/>
                <w:szCs w:val="32"/>
              </w:rPr>
            </w:pPr>
            <w:r>
              <w:rPr>
                <w:rFonts w:hint="eastAsia" w:ascii="仿宋_GB2312" w:hAnsi="Calibri" w:eastAsia="仿宋_GB2312"/>
                <w:kern w:val="0"/>
                <w:szCs w:val="32"/>
              </w:rPr>
              <w:t xml:space="preserve">            （小写）元人民币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95" w:type="pct"/>
            <w:vAlign w:val="center"/>
          </w:tcPr>
          <w:p>
            <w:pPr>
              <w:spacing w:line="460" w:lineRule="exact"/>
              <w:ind w:left="640" w:hanging="640" w:hangingChars="200"/>
              <w:jc w:val="center"/>
              <w:rPr>
                <w:rFonts w:ascii="仿宋_GB2312" w:hAnsi="Calibri" w:eastAsia="仿宋_GB2312"/>
                <w:kern w:val="0"/>
                <w:szCs w:val="32"/>
              </w:rPr>
            </w:pPr>
            <w:r>
              <w:rPr>
                <w:rFonts w:hint="eastAsia" w:ascii="仿宋_GB2312" w:hAnsi="Calibri" w:eastAsia="仿宋_GB2312"/>
                <w:kern w:val="0"/>
                <w:szCs w:val="32"/>
              </w:rPr>
              <w:t>服务周期</w:t>
            </w:r>
          </w:p>
        </w:tc>
        <w:tc>
          <w:tcPr>
            <w:tcW w:w="4004" w:type="pct"/>
            <w:gridSpan w:val="3"/>
            <w:vAlign w:val="center"/>
          </w:tcPr>
          <w:p>
            <w:pPr>
              <w:spacing w:line="460" w:lineRule="exact"/>
              <w:ind w:left="640" w:hanging="640" w:hangingChars="200"/>
              <w:rPr>
                <w:rFonts w:ascii="仿宋_GB2312" w:hAnsi="Calibri" w:eastAsia="仿宋_GB2312"/>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95" w:type="pct"/>
            <w:vAlign w:val="center"/>
          </w:tcPr>
          <w:p>
            <w:pPr>
              <w:spacing w:line="460" w:lineRule="exact"/>
              <w:ind w:left="640" w:hanging="640" w:hangingChars="200"/>
              <w:jc w:val="center"/>
              <w:rPr>
                <w:rFonts w:ascii="仿宋_GB2312" w:hAnsi="Calibri" w:eastAsia="仿宋_GB2312"/>
                <w:kern w:val="0"/>
                <w:szCs w:val="32"/>
              </w:rPr>
            </w:pPr>
            <w:r>
              <w:rPr>
                <w:rFonts w:hint="eastAsia" w:ascii="仿宋_GB2312" w:hAnsi="Calibri" w:eastAsia="仿宋_GB2312"/>
                <w:kern w:val="0"/>
                <w:szCs w:val="32"/>
              </w:rPr>
              <w:t>计算依据</w:t>
            </w:r>
          </w:p>
        </w:tc>
        <w:tc>
          <w:tcPr>
            <w:tcW w:w="4004" w:type="pct"/>
            <w:gridSpan w:val="3"/>
            <w:vAlign w:val="center"/>
          </w:tcPr>
          <w:p>
            <w:pPr>
              <w:spacing w:line="460" w:lineRule="exact"/>
              <w:ind w:left="640" w:hanging="640" w:hangingChars="200"/>
              <w:rPr>
                <w:rFonts w:ascii="仿宋_GB2312" w:hAnsi="Calibri" w:eastAsia="仿宋_GB2312"/>
                <w:kern w:val="0"/>
                <w:szCs w:val="32"/>
              </w:rPr>
            </w:pPr>
          </w:p>
        </w:tc>
      </w:tr>
    </w:tbl>
    <w:p>
      <w:pPr>
        <w:spacing w:line="460" w:lineRule="exact"/>
        <w:ind w:left="640" w:hanging="640" w:hangingChars="200"/>
        <w:rPr>
          <w:rFonts w:ascii="仿宋_GB2312" w:hAnsi="Calibri" w:eastAsia="仿宋_GB2312"/>
          <w:kern w:val="0"/>
          <w:szCs w:val="32"/>
        </w:rPr>
      </w:pPr>
    </w:p>
    <w:p>
      <w:pPr>
        <w:spacing w:line="460" w:lineRule="exact"/>
        <w:ind w:left="640" w:hanging="640" w:hangingChars="200"/>
        <w:rPr>
          <w:rFonts w:ascii="仿宋_GB2312" w:hAnsi="Calibri" w:eastAsia="仿宋_GB2312"/>
          <w:kern w:val="0"/>
          <w:szCs w:val="32"/>
        </w:rPr>
      </w:pPr>
    </w:p>
    <w:p>
      <w:pPr>
        <w:spacing w:line="460" w:lineRule="exact"/>
        <w:ind w:left="640" w:hanging="640" w:hangingChars="200"/>
        <w:rPr>
          <w:rFonts w:ascii="仿宋_GB2312" w:hAnsi="Calibri" w:eastAsia="仿宋_GB2312"/>
          <w:kern w:val="0"/>
          <w:szCs w:val="32"/>
        </w:rPr>
      </w:pPr>
      <w:r>
        <w:rPr>
          <w:rFonts w:hint="eastAsia" w:ascii="仿宋_GB2312" w:hAnsi="Calibri" w:eastAsia="仿宋_GB2312"/>
          <w:kern w:val="0"/>
          <w:szCs w:val="32"/>
        </w:rPr>
        <w:t>参选人（盖章）：</w:t>
      </w:r>
    </w:p>
    <w:p>
      <w:pPr>
        <w:spacing w:line="460" w:lineRule="exact"/>
        <w:ind w:left="640" w:hanging="640" w:hangingChars="200"/>
        <w:rPr>
          <w:rFonts w:ascii="仿宋_GB2312" w:hAnsi="Calibri" w:eastAsia="仿宋_GB2312"/>
          <w:kern w:val="0"/>
          <w:szCs w:val="32"/>
        </w:rPr>
      </w:pPr>
      <w:r>
        <w:rPr>
          <w:rFonts w:hint="eastAsia" w:ascii="仿宋_GB2312" w:hAnsi="Calibri" w:eastAsia="仿宋_GB2312"/>
          <w:kern w:val="0"/>
          <w:szCs w:val="32"/>
        </w:rPr>
        <w:t>法人代表或委托代理人（签字或盖章）：</w:t>
      </w:r>
    </w:p>
    <w:p>
      <w:pPr>
        <w:spacing w:line="460" w:lineRule="exact"/>
        <w:ind w:left="640" w:hanging="640" w:hangingChars="200"/>
        <w:rPr>
          <w:rFonts w:ascii="仿宋_GB2312" w:hAnsi="Calibri" w:eastAsia="仿宋_GB2312"/>
          <w:kern w:val="0"/>
          <w:szCs w:val="32"/>
        </w:rPr>
        <w:sectPr>
          <w:footerReference r:id="rId13" w:type="default"/>
          <w:pgSz w:w="11907" w:h="16839"/>
          <w:pgMar w:top="1440" w:right="1800" w:bottom="1440" w:left="1800" w:header="720" w:footer="720" w:gutter="0"/>
          <w:cols w:space="720" w:num="1"/>
          <w:docGrid w:linePitch="286" w:charSpace="0"/>
        </w:sectPr>
      </w:pPr>
      <w:r>
        <w:rPr>
          <w:rFonts w:hint="eastAsia" w:ascii="仿宋_GB2312" w:hAnsi="Calibri" w:eastAsia="仿宋_GB2312"/>
          <w:kern w:val="0"/>
          <w:szCs w:val="32"/>
        </w:rPr>
        <w:t>日期：          年      月      日</w:t>
      </w:r>
    </w:p>
    <w:p>
      <w:pPr>
        <w:pStyle w:val="6"/>
        <w:rPr>
          <w:rFonts w:ascii="宋体" w:hAnsi="宋体" w:cs="宋体"/>
        </w:rPr>
      </w:pPr>
      <w:bookmarkStart w:id="114" w:name="_Toc1467296581_WPSOffice_Level2"/>
      <w:bookmarkStart w:id="115" w:name="_Toc799101863"/>
      <w:bookmarkStart w:id="116" w:name="_Toc208314421"/>
      <w:r>
        <w:rPr>
          <w:rFonts w:hint="eastAsia" w:ascii="宋体" w:hAnsi="宋体" w:cs="宋体"/>
        </w:rPr>
        <w:t>十</w:t>
      </w:r>
      <w:r>
        <w:rPr>
          <w:rFonts w:ascii="宋体" w:hAnsi="宋体" w:cs="宋体"/>
        </w:rPr>
        <w:t>、</w:t>
      </w:r>
      <w:r>
        <w:rPr>
          <w:rFonts w:hint="eastAsia" w:ascii="宋体" w:hAnsi="宋体" w:cs="宋体"/>
        </w:rPr>
        <w:t>针对本项目的</w:t>
      </w:r>
      <w:bookmarkEnd w:id="114"/>
      <w:bookmarkEnd w:id="115"/>
      <w:r>
        <w:rPr>
          <w:rFonts w:hint="eastAsia" w:ascii="宋体" w:hAnsi="宋体" w:cs="宋体"/>
        </w:rPr>
        <w:t>监理大纲</w:t>
      </w:r>
      <w:bookmarkEnd w:id="116"/>
    </w:p>
    <w:p>
      <w:pPr>
        <w:pStyle w:val="22"/>
        <w:ind w:firstLine="640"/>
        <w:rPr>
          <w:rFonts w:ascii="仿宋_GB2312" w:eastAsia="仿宋_GB2312"/>
          <w:sz w:val="32"/>
          <w:szCs w:val="32"/>
        </w:rPr>
      </w:pPr>
      <w:bookmarkStart w:id="117" w:name="_Toc28511_WPSOffice_Level1"/>
      <w:bookmarkStart w:id="118" w:name="_Toc31453"/>
      <w:r>
        <w:rPr>
          <w:rFonts w:hint="eastAsia" w:ascii="仿宋_GB2312" w:eastAsia="仿宋_GB2312"/>
          <w:sz w:val="32"/>
          <w:szCs w:val="32"/>
        </w:rPr>
        <w:t>包括但不限于</w:t>
      </w:r>
      <w:bookmarkEnd w:id="117"/>
      <w:bookmarkEnd w:id="118"/>
      <w:r>
        <w:rPr>
          <w:rFonts w:hint="eastAsia" w:ascii="仿宋_GB2312" w:eastAsia="仿宋_GB2312"/>
          <w:sz w:val="32"/>
          <w:szCs w:val="32"/>
        </w:rPr>
        <w:t>工程特点、重难点及监理对策、质量控制重点及监理措施、进度控制及监理措施、造价控制及监理措施、安全环保及文明施工监理措施、服务承诺等。</w:t>
      </w:r>
    </w:p>
    <w:p>
      <w:pPr>
        <w:pStyle w:val="22"/>
        <w:ind w:firstLine="640"/>
        <w:rPr>
          <w:rFonts w:ascii="仿宋_GB2312" w:eastAsia="仿宋_GB2312"/>
          <w:sz w:val="32"/>
          <w:szCs w:val="32"/>
        </w:rPr>
      </w:pPr>
    </w:p>
    <w:p>
      <w:pPr>
        <w:pStyle w:val="6"/>
        <w:rPr>
          <w:rFonts w:ascii="宋体" w:hAnsi="宋体" w:cs="宋体"/>
        </w:rPr>
      </w:pPr>
      <w:bookmarkStart w:id="119" w:name="_Toc1205513619"/>
      <w:bookmarkStart w:id="120" w:name="_Toc862479186_WPSOffice_Level2"/>
      <w:bookmarkStart w:id="121" w:name="_Toc208314422"/>
      <w:r>
        <w:rPr>
          <w:rFonts w:hint="eastAsia" w:ascii="宋体" w:hAnsi="宋体" w:cs="宋体"/>
        </w:rPr>
        <w:t>十一</w:t>
      </w:r>
      <w:r>
        <w:rPr>
          <w:rFonts w:ascii="宋体" w:hAnsi="宋体" w:cs="宋体"/>
        </w:rPr>
        <w:t>、</w:t>
      </w:r>
      <w:r>
        <w:rPr>
          <w:rFonts w:hint="eastAsia" w:ascii="宋体" w:hAnsi="宋体" w:cs="宋体"/>
        </w:rPr>
        <w:t>其他资料</w:t>
      </w:r>
      <w:bookmarkEnd w:id="119"/>
      <w:bookmarkEnd w:id="120"/>
      <w:bookmarkEnd w:id="121"/>
    </w:p>
    <w:p>
      <w:pPr>
        <w:pStyle w:val="22"/>
        <w:ind w:firstLine="640"/>
        <w:rPr>
          <w:rFonts w:ascii="仿宋_GB2312" w:eastAsia="仿宋_GB2312"/>
          <w:sz w:val="32"/>
          <w:szCs w:val="32"/>
        </w:rPr>
      </w:pPr>
      <w:r>
        <w:rPr>
          <w:rFonts w:hint="eastAsia" w:ascii="仿宋_GB2312" w:eastAsia="仿宋_GB2312"/>
          <w:sz w:val="32"/>
          <w:szCs w:val="32"/>
        </w:rPr>
        <w:t>说明：比选申请人根据本次采购</w:t>
      </w:r>
      <w:r>
        <w:rPr>
          <w:rFonts w:ascii="仿宋_GB2312" w:eastAsia="仿宋_GB2312"/>
          <w:sz w:val="32"/>
          <w:szCs w:val="32"/>
        </w:rPr>
        <w:t>比选</w:t>
      </w:r>
      <w:r>
        <w:rPr>
          <w:rFonts w:hint="eastAsia" w:ascii="仿宋_GB2312" w:eastAsia="仿宋_GB2312"/>
          <w:sz w:val="32"/>
          <w:szCs w:val="32"/>
        </w:rPr>
        <w:t>要求并结合自身情况提交相关证明材料，格式自拟。</w:t>
      </w:r>
    </w:p>
    <w:p>
      <w:pPr>
        <w:ind w:firstLine="640"/>
      </w:pPr>
    </w:p>
    <w:p>
      <w:pPr>
        <w:ind w:firstLine="640"/>
      </w:pPr>
    </w:p>
    <w:p>
      <w:pPr>
        <w:ind w:firstLine="640"/>
      </w:pPr>
    </w:p>
    <w:bookmarkEnd w:id="60"/>
    <w:p>
      <w:pPr>
        <w:ind w:firstLine="0" w:firstLineChars="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jc w:val="center"/>
      <w:rPr>
        <w:sz w:val="21"/>
      </w:rPr>
    </w:pPr>
    <w:r>
      <w:rPr>
        <w:sz w:val="21"/>
      </w:rPr>
      <w:fldChar w:fldCharType="begin"/>
    </w:r>
    <w:r>
      <w:rPr>
        <w:sz w:val="21"/>
      </w:rPr>
      <w:instrText xml:space="preserve">PAGE   \* MERGEFORMAT</w:instrText>
    </w:r>
    <w:r>
      <w:rPr>
        <w:sz w:val="21"/>
      </w:rPr>
      <w:fldChar w:fldCharType="separate"/>
    </w:r>
    <w:r>
      <w:rPr>
        <w:sz w:val="21"/>
        <w:lang w:val="zh-CN"/>
      </w:rPr>
      <w:t>21</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019"/>
    <w:multiLevelType w:val="multilevel"/>
    <w:tmpl w:val="00000019"/>
    <w:lvl w:ilvl="0" w:tentative="0">
      <w:start w:val="1"/>
      <w:numFmt w:val="decimal"/>
      <w:pStyle w:val="5"/>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260"/>
        </w:tabs>
        <w:ind w:left="1260" w:hanging="420"/>
      </w:pPr>
      <w:rPr>
        <w:rFonts w:hint="default" w:ascii="Times New Roman" w:hAnsi="Times New Roman"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6FE7F15"/>
    <w:multiLevelType w:val="singleLevel"/>
    <w:tmpl w:val="26FE7F15"/>
    <w:lvl w:ilvl="0" w:tentative="0">
      <w:start w:val="1"/>
      <w:numFmt w:val="chineseCounting"/>
      <w:suff w:val="space"/>
      <w:lvlText w:val="第%1章"/>
      <w:lvlJc w:val="left"/>
      <w:rPr>
        <w:rFonts w:hint="eastAsia"/>
      </w:rPr>
    </w:lvl>
  </w:abstractNum>
  <w:abstractNum w:abstractNumId="3">
    <w:nsid w:val="7A4D32E0"/>
    <w:multiLevelType w:val="singleLevel"/>
    <w:tmpl w:val="7A4D32E0"/>
    <w:lvl w:ilvl="0" w:tentative="0">
      <w:start w:val="1"/>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F55FE"/>
    <w:rsid w:val="00033B51"/>
    <w:rsid w:val="000912C8"/>
    <w:rsid w:val="000C3AD2"/>
    <w:rsid w:val="000D3769"/>
    <w:rsid w:val="00117E75"/>
    <w:rsid w:val="00154A47"/>
    <w:rsid w:val="001748BC"/>
    <w:rsid w:val="001F1329"/>
    <w:rsid w:val="002D251F"/>
    <w:rsid w:val="003E2B8F"/>
    <w:rsid w:val="00452A48"/>
    <w:rsid w:val="004A4313"/>
    <w:rsid w:val="004C2315"/>
    <w:rsid w:val="00540D1B"/>
    <w:rsid w:val="005C0069"/>
    <w:rsid w:val="00632A12"/>
    <w:rsid w:val="0064504C"/>
    <w:rsid w:val="006F12DA"/>
    <w:rsid w:val="00735942"/>
    <w:rsid w:val="00777D56"/>
    <w:rsid w:val="00792439"/>
    <w:rsid w:val="007A0BC2"/>
    <w:rsid w:val="007C3C6F"/>
    <w:rsid w:val="00850E6B"/>
    <w:rsid w:val="00857FE0"/>
    <w:rsid w:val="00882B4A"/>
    <w:rsid w:val="00893EE0"/>
    <w:rsid w:val="009247CC"/>
    <w:rsid w:val="00946440"/>
    <w:rsid w:val="00961B6E"/>
    <w:rsid w:val="00962368"/>
    <w:rsid w:val="009E2D76"/>
    <w:rsid w:val="009F165E"/>
    <w:rsid w:val="00A109B8"/>
    <w:rsid w:val="00A21799"/>
    <w:rsid w:val="00A54255"/>
    <w:rsid w:val="00AA14E5"/>
    <w:rsid w:val="00AB66D5"/>
    <w:rsid w:val="00AE323C"/>
    <w:rsid w:val="00BC10AC"/>
    <w:rsid w:val="00BC5A0C"/>
    <w:rsid w:val="00C37F59"/>
    <w:rsid w:val="00C762F2"/>
    <w:rsid w:val="00CC18CC"/>
    <w:rsid w:val="00DA1BD1"/>
    <w:rsid w:val="00DE56CA"/>
    <w:rsid w:val="00DE700C"/>
    <w:rsid w:val="00EC07EB"/>
    <w:rsid w:val="00EF175C"/>
    <w:rsid w:val="00F5050D"/>
    <w:rsid w:val="00F577D9"/>
    <w:rsid w:val="00FD2582"/>
    <w:rsid w:val="00FE3A3E"/>
    <w:rsid w:val="073C78A2"/>
    <w:rsid w:val="08376D0A"/>
    <w:rsid w:val="0B3E4A03"/>
    <w:rsid w:val="0DD81383"/>
    <w:rsid w:val="12C84493"/>
    <w:rsid w:val="163E6719"/>
    <w:rsid w:val="16535A2F"/>
    <w:rsid w:val="17EF2BA2"/>
    <w:rsid w:val="18F318D5"/>
    <w:rsid w:val="1C177904"/>
    <w:rsid w:val="1CFE3E15"/>
    <w:rsid w:val="1DFF06D8"/>
    <w:rsid w:val="1EA824CD"/>
    <w:rsid w:val="1FCB9414"/>
    <w:rsid w:val="1FFE5FBC"/>
    <w:rsid w:val="263E1AF9"/>
    <w:rsid w:val="2CFBCA16"/>
    <w:rsid w:val="2F4E2FA9"/>
    <w:rsid w:val="36D39C0A"/>
    <w:rsid w:val="377B6F02"/>
    <w:rsid w:val="377F5452"/>
    <w:rsid w:val="37CD174F"/>
    <w:rsid w:val="37FBCC9A"/>
    <w:rsid w:val="39A42F75"/>
    <w:rsid w:val="3C190B07"/>
    <w:rsid w:val="3CD7BD7D"/>
    <w:rsid w:val="3D731A2B"/>
    <w:rsid w:val="3DBF65C2"/>
    <w:rsid w:val="3DDA69D2"/>
    <w:rsid w:val="3EBA2645"/>
    <w:rsid w:val="3EEF5D5D"/>
    <w:rsid w:val="3F0F5E8A"/>
    <w:rsid w:val="417C5E61"/>
    <w:rsid w:val="438F335E"/>
    <w:rsid w:val="44010309"/>
    <w:rsid w:val="4605402A"/>
    <w:rsid w:val="46BFB620"/>
    <w:rsid w:val="4A5E4B20"/>
    <w:rsid w:val="4D1FDF1B"/>
    <w:rsid w:val="4FEE5B4F"/>
    <w:rsid w:val="4FFFCAF3"/>
    <w:rsid w:val="5336A1FB"/>
    <w:rsid w:val="57B5E7EB"/>
    <w:rsid w:val="57D7952F"/>
    <w:rsid w:val="57FF10A8"/>
    <w:rsid w:val="59AB55F2"/>
    <w:rsid w:val="5B7F55FE"/>
    <w:rsid w:val="5B7F8EF5"/>
    <w:rsid w:val="5BA39AF4"/>
    <w:rsid w:val="5D772CAB"/>
    <w:rsid w:val="5DFB6D38"/>
    <w:rsid w:val="5DFF085A"/>
    <w:rsid w:val="5EFA9C14"/>
    <w:rsid w:val="5F4F90DF"/>
    <w:rsid w:val="5F9123C8"/>
    <w:rsid w:val="5FA5AFF1"/>
    <w:rsid w:val="5FDFC005"/>
    <w:rsid w:val="5FFBA232"/>
    <w:rsid w:val="60716BAF"/>
    <w:rsid w:val="60986E03"/>
    <w:rsid w:val="666A6737"/>
    <w:rsid w:val="67F914F1"/>
    <w:rsid w:val="683E0118"/>
    <w:rsid w:val="6B5F2552"/>
    <w:rsid w:val="6B684788"/>
    <w:rsid w:val="6DEE93D0"/>
    <w:rsid w:val="6EF7A571"/>
    <w:rsid w:val="6FEE5C90"/>
    <w:rsid w:val="6FFFAADF"/>
    <w:rsid w:val="70727D2E"/>
    <w:rsid w:val="75BE09B6"/>
    <w:rsid w:val="75DAB224"/>
    <w:rsid w:val="75FF07E2"/>
    <w:rsid w:val="76EF9496"/>
    <w:rsid w:val="77E76BD0"/>
    <w:rsid w:val="7847671A"/>
    <w:rsid w:val="79F5C7C3"/>
    <w:rsid w:val="7AEDDDD2"/>
    <w:rsid w:val="7BD94D5B"/>
    <w:rsid w:val="7CBB7E94"/>
    <w:rsid w:val="7D875911"/>
    <w:rsid w:val="7DEB1ECF"/>
    <w:rsid w:val="7DFCE509"/>
    <w:rsid w:val="7DFDDE15"/>
    <w:rsid w:val="7E659218"/>
    <w:rsid w:val="7EF5372A"/>
    <w:rsid w:val="7F3F8989"/>
    <w:rsid w:val="7FBE338E"/>
    <w:rsid w:val="7FFD3956"/>
    <w:rsid w:val="8BFB0A79"/>
    <w:rsid w:val="8FDF68A4"/>
    <w:rsid w:val="955F38E4"/>
    <w:rsid w:val="9B7BF3B3"/>
    <w:rsid w:val="9DE01B9B"/>
    <w:rsid w:val="9F9A4893"/>
    <w:rsid w:val="A7BBE0F7"/>
    <w:rsid w:val="A7C37010"/>
    <w:rsid w:val="AFD75662"/>
    <w:rsid w:val="B77FB401"/>
    <w:rsid w:val="B7FD0048"/>
    <w:rsid w:val="BBBDBCD5"/>
    <w:rsid w:val="BBDE20FA"/>
    <w:rsid w:val="BCBA287C"/>
    <w:rsid w:val="BEF622F4"/>
    <w:rsid w:val="BEFBFD56"/>
    <w:rsid w:val="BF7D54A5"/>
    <w:rsid w:val="BFCFCEDA"/>
    <w:rsid w:val="C0FF7553"/>
    <w:rsid w:val="C9F94FF6"/>
    <w:rsid w:val="CBF5D317"/>
    <w:rsid w:val="CE9EEB3E"/>
    <w:rsid w:val="CF74CBD3"/>
    <w:rsid w:val="CF7F8D5D"/>
    <w:rsid w:val="D2EDB578"/>
    <w:rsid w:val="D3BF6F6F"/>
    <w:rsid w:val="D6AE99B7"/>
    <w:rsid w:val="D6DF017E"/>
    <w:rsid w:val="DA56DA83"/>
    <w:rsid w:val="DBA0FBFC"/>
    <w:rsid w:val="DBED2FCC"/>
    <w:rsid w:val="DD7E5046"/>
    <w:rsid w:val="DEB3062D"/>
    <w:rsid w:val="DEFDB25D"/>
    <w:rsid w:val="DEFF956B"/>
    <w:rsid w:val="DF2EB439"/>
    <w:rsid w:val="DF6F4F92"/>
    <w:rsid w:val="DFBFB80D"/>
    <w:rsid w:val="DFF92358"/>
    <w:rsid w:val="E02B33DB"/>
    <w:rsid w:val="E3FD1007"/>
    <w:rsid w:val="E7CFD904"/>
    <w:rsid w:val="ED26E94E"/>
    <w:rsid w:val="EDFDBBEA"/>
    <w:rsid w:val="EFFF0314"/>
    <w:rsid w:val="F46F1BA2"/>
    <w:rsid w:val="F5574CDC"/>
    <w:rsid w:val="F5B915A4"/>
    <w:rsid w:val="F5FD3DBC"/>
    <w:rsid w:val="F6B9E2BA"/>
    <w:rsid w:val="F739B9D1"/>
    <w:rsid w:val="F755725F"/>
    <w:rsid w:val="F766ABA8"/>
    <w:rsid w:val="F76A1032"/>
    <w:rsid w:val="F77FEDA8"/>
    <w:rsid w:val="F7BBF4B9"/>
    <w:rsid w:val="F7F2C0D1"/>
    <w:rsid w:val="F9DF5B00"/>
    <w:rsid w:val="F9F5BBD2"/>
    <w:rsid w:val="FAF784D6"/>
    <w:rsid w:val="FBFDE5F3"/>
    <w:rsid w:val="FD7A0044"/>
    <w:rsid w:val="FDBB1577"/>
    <w:rsid w:val="FDED11C6"/>
    <w:rsid w:val="FE3D18D0"/>
    <w:rsid w:val="FEEFC856"/>
    <w:rsid w:val="FF7B5FDC"/>
    <w:rsid w:val="FF7E6C00"/>
    <w:rsid w:val="FF7FFB98"/>
    <w:rsid w:val="FFBBDBF7"/>
    <w:rsid w:val="FFDA7F8F"/>
    <w:rsid w:val="FFDFC9F9"/>
    <w:rsid w:val="FFEE865A"/>
    <w:rsid w:val="FFEFC733"/>
    <w:rsid w:val="FFF3C3D4"/>
    <w:rsid w:val="FFF9D106"/>
    <w:rsid w:val="FFFAFEEC"/>
    <w:rsid w:val="FFFB395B"/>
    <w:rsid w:val="FFFE269F"/>
    <w:rsid w:val="FFFE8B67"/>
    <w:rsid w:val="FFFFD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楷体_GB2312" w:cs="Times New Roman"/>
      <w:kern w:val="2"/>
      <w:sz w:val="32"/>
      <w:szCs w:val="22"/>
      <w:lang w:val="en-US" w:eastAsia="zh-CN" w:bidi="ar-SA"/>
    </w:rPr>
  </w:style>
  <w:style w:type="paragraph" w:styleId="5">
    <w:name w:val="heading 1"/>
    <w:basedOn w:val="1"/>
    <w:next w:val="1"/>
    <w:qFormat/>
    <w:uiPriority w:val="99"/>
    <w:pPr>
      <w:keepNext/>
      <w:keepLines/>
      <w:widowControl/>
      <w:numPr>
        <w:ilvl w:val="0"/>
        <w:numId w:val="1"/>
      </w:numPr>
      <w:spacing w:before="340" w:after="330" w:line="578" w:lineRule="atLeast"/>
      <w:ind w:firstLine="0" w:firstLineChars="0"/>
      <w:jc w:val="center"/>
      <w:outlineLvl w:val="0"/>
    </w:pPr>
    <w:rPr>
      <w:rFonts w:ascii="Calibri" w:hAnsi="Calibri" w:eastAsia="宋体"/>
      <w:b/>
      <w:bCs/>
      <w:kern w:val="44"/>
      <w:sz w:val="30"/>
      <w:szCs w:val="28"/>
    </w:rPr>
  </w:style>
  <w:style w:type="paragraph" w:styleId="6">
    <w:name w:val="heading 2"/>
    <w:basedOn w:val="1"/>
    <w:next w:val="1"/>
    <w:qFormat/>
    <w:uiPriority w:val="0"/>
    <w:pPr>
      <w:keepNext/>
      <w:keepLines/>
      <w:widowControl/>
      <w:spacing w:line="416" w:lineRule="auto"/>
      <w:ind w:firstLine="0" w:firstLineChars="0"/>
      <w:jc w:val="left"/>
      <w:outlineLvl w:val="1"/>
    </w:pPr>
    <w:rPr>
      <w:rFonts w:ascii="Arial" w:hAnsi="Arial" w:eastAsia="黑体"/>
      <w:b/>
      <w:bCs/>
      <w:kern w:val="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7"/>
      </w:tabs>
      <w:spacing w:before="0" w:after="120" w:line="240" w:lineRule="auto"/>
      <w:ind w:firstLine="420" w:firstLineChars="100"/>
    </w:pPr>
    <w:rPr>
      <w:rFonts w:ascii="仿宋_GB2312" w:hAnsi="Calibri" w:eastAsia="仿宋_GB2312"/>
      <w:sz w:val="21"/>
      <w:szCs w:val="20"/>
    </w:rPr>
  </w:style>
  <w:style w:type="paragraph" w:styleId="3">
    <w:name w:val="Body Text"/>
    <w:basedOn w:val="1"/>
    <w:next w:val="4"/>
    <w:qFormat/>
    <w:uiPriority w:val="1"/>
    <w:pPr>
      <w:tabs>
        <w:tab w:val="left" w:pos="567"/>
      </w:tabs>
      <w:spacing w:before="120" w:line="22" w:lineRule="atLeast"/>
    </w:pPr>
    <w:rPr>
      <w:rFonts w:ascii="宋体" w:hAnsi="宋体"/>
      <w:sz w:val="24"/>
    </w:rPr>
  </w:style>
  <w:style w:type="paragraph" w:styleId="4">
    <w:name w:val="toc 5"/>
    <w:basedOn w:val="1"/>
    <w:next w:val="1"/>
    <w:qFormat/>
    <w:uiPriority w:val="0"/>
    <w:pPr>
      <w:ind w:left="1680" w:leftChars="800"/>
    </w:pPr>
  </w:style>
  <w:style w:type="paragraph" w:styleId="7">
    <w:name w:val="Body Text Indent"/>
    <w:basedOn w:val="1"/>
    <w:unhideWhenUsed/>
    <w:qFormat/>
    <w:uiPriority w:val="99"/>
    <w:pPr>
      <w:spacing w:after="120"/>
      <w:ind w:left="420" w:leftChars="200"/>
    </w:pPr>
  </w:style>
  <w:style w:type="paragraph" w:styleId="8">
    <w:name w:val="toc 3"/>
    <w:basedOn w:val="1"/>
    <w:next w:val="1"/>
    <w:qFormat/>
    <w:uiPriority w:val="39"/>
    <w:pPr>
      <w:ind w:left="840" w:leftChars="400"/>
    </w:pPr>
  </w:style>
  <w:style w:type="paragraph" w:styleId="9">
    <w:name w:val="Plain Text"/>
    <w:basedOn w:val="1"/>
    <w:qFormat/>
    <w:uiPriority w:val="0"/>
    <w:pPr>
      <w:widowControl/>
      <w:spacing w:line="240" w:lineRule="auto"/>
      <w:ind w:firstLine="0" w:firstLineChars="0"/>
    </w:pPr>
    <w:rPr>
      <w:rFonts w:ascii="宋体" w:hAnsi="Courier New" w:eastAsia="宋体"/>
      <w:sz w:val="21"/>
      <w:szCs w:val="21"/>
    </w:rPr>
  </w:style>
  <w:style w:type="paragraph" w:styleId="10">
    <w:name w:val="footer"/>
    <w:basedOn w:val="1"/>
    <w:link w:val="25"/>
    <w:unhideWhenUsed/>
    <w:qFormat/>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7"/>
    <w:next w:val="1"/>
    <w:qFormat/>
    <w:uiPriority w:val="0"/>
    <w:pPr>
      <w:widowControl/>
      <w:spacing w:line="480" w:lineRule="exact"/>
      <w:ind w:left="1104" w:leftChars="460" w:firstLine="420" w:firstLineChars="0"/>
    </w:pPr>
    <w:rPr>
      <w:rFonts w:ascii="宋体" w:hAnsi="宋体" w:eastAsia="宋体"/>
      <w:sz w:val="21"/>
      <w:szCs w:val="24"/>
    </w:rPr>
  </w:style>
  <w:style w:type="table" w:styleId="17">
    <w:name w:val="Table Grid"/>
    <w:basedOn w:val="1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WPSOffice手动目录 1"/>
    <w:qFormat/>
    <w:uiPriority w:val="0"/>
    <w:rPr>
      <w:rFonts w:ascii="Calibri" w:hAnsi="Calibri" w:eastAsia="宋体" w:cs="Times New Roman"/>
      <w:lang w:val="en-US" w:eastAsia="zh-CN" w:bidi="ar-SA"/>
    </w:rPr>
  </w:style>
  <w:style w:type="paragraph" w:customStyle="1" w:styleId="22">
    <w:name w:val="标准文本"/>
    <w:basedOn w:val="1"/>
    <w:qFormat/>
    <w:uiPriority w:val="0"/>
    <w:pPr>
      <w:widowControl/>
      <w:spacing w:line="360" w:lineRule="auto"/>
      <w:ind w:firstLine="480"/>
      <w:jc w:val="left"/>
    </w:pPr>
    <w:rPr>
      <w:rFonts w:ascii="Calibri" w:hAnsi="Calibri" w:eastAsia="宋体"/>
      <w:kern w:val="0"/>
      <w:sz w:val="24"/>
      <w:szCs w:val="24"/>
    </w:rPr>
  </w:style>
  <w:style w:type="paragraph" w:customStyle="1" w:styleId="23">
    <w:name w:val="WPSOffice手动目录 2"/>
    <w:qFormat/>
    <w:uiPriority w:val="0"/>
    <w:pPr>
      <w:ind w:left="200" w:leftChars="200"/>
    </w:pPr>
    <w:rPr>
      <w:rFonts w:ascii="Calibri" w:hAnsi="Calibri" w:eastAsia="宋体" w:cs="Times New Roman"/>
      <w:lang w:val="en-US" w:eastAsia="zh-CN" w:bidi="ar-SA"/>
    </w:rPr>
  </w:style>
  <w:style w:type="paragraph" w:customStyle="1" w:styleId="24">
    <w:name w:val="WPSOffice手动目录 3"/>
    <w:qFormat/>
    <w:uiPriority w:val="0"/>
    <w:pPr>
      <w:ind w:left="400" w:leftChars="400"/>
    </w:pPr>
    <w:rPr>
      <w:rFonts w:ascii="Calibri" w:hAnsi="Calibri" w:eastAsia="宋体" w:cs="Times New Roman"/>
      <w:lang w:val="en-US" w:eastAsia="zh-CN" w:bidi="ar-SA"/>
    </w:rPr>
  </w:style>
  <w:style w:type="character" w:customStyle="1" w:styleId="25">
    <w:name w:val="页脚 Char"/>
    <w:link w:val="10"/>
    <w:qFormat/>
    <w:uiPriority w:val="99"/>
    <w:rPr>
      <w:rFonts w:ascii="Times New Roman" w:hAnsi="Times New Roman" w:eastAsia="楷体_GB2312"/>
      <w:kern w:val="2"/>
      <w:sz w:val="18"/>
      <w:szCs w:val="22"/>
    </w:rPr>
  </w:style>
  <w:style w:type="paragraph" w:customStyle="1" w:styleId="26">
    <w:name w:val="!正文"/>
    <w:basedOn w:val="1"/>
    <w:qFormat/>
    <w:uiPriority w:val="0"/>
    <w:pPr>
      <w:spacing w:line="360" w:lineRule="auto"/>
      <w:ind w:firstLine="480"/>
    </w:pPr>
    <w:rPr>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23</Pages>
  <Words>2204</Words>
  <Characters>2335</Characters>
  <Lines>68</Lines>
  <Paragraphs>19</Paragraphs>
  <TotalTime>11</TotalTime>
  <ScaleCrop>false</ScaleCrop>
  <LinksUpToDate>false</LinksUpToDate>
  <CharactersWithSpaces>2401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2025-09-09T04:12:00Z</dcterms:created>
  <dc:creator>user</dc:creator>
  <cp:lastModifiedBy>YSJ</cp:lastModifiedBy>
  <cp:lastPrinted>2025-09-02T16:23:00Z</cp:lastPrinted>
  <dcterms:modified xsi:type="dcterms:W3CDTF">2025-09-18T08:08:34Z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0B233DC1017395239F5FCB68AE7C4524_43</vt:lpwstr>
  </property>
  <property fmtid="{D5CDD505-2E9C-101B-9397-08002B2CF9AE}" pid="4" name="KSOTemplateDocerSaveRecord">
    <vt:lpwstr>eyJoZGlkIjoiNzEzMGU0Mzk2YTc3YmFiNDE1ZjNkZWFkMzVkMjIwNjMiLCJ1c2VySWQiOiIzMDQ0NDIwOTIifQ==</vt:lpwstr>
  </property>
</Properties>
</file>