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eastAsia="zh-CN"/>
        </w:rPr>
      </w:pPr>
      <w:bookmarkStart w:id="3" w:name="_GoBack"/>
      <w:r>
        <w:rPr>
          <w:rFonts w:hint="eastAsia" w:ascii="方正小标宋简体" w:hAnsi="方正小标宋简体" w:eastAsia="方正小标宋简体" w:cs="方正小标宋简体"/>
          <w:sz w:val="44"/>
          <w:szCs w:val="44"/>
          <w:lang w:eastAsia="zh-CN"/>
        </w:rPr>
        <w:t>农用地破坏程度鉴定</w:t>
      </w:r>
      <w:r>
        <w:rPr>
          <w:rFonts w:hint="eastAsia" w:ascii="方正小标宋简体" w:hAnsi="方正小标宋简体" w:eastAsia="方正小标宋简体" w:cs="方正小标宋简体"/>
          <w:sz w:val="44"/>
          <w:szCs w:val="44"/>
        </w:rPr>
        <w:t>机构</w:t>
      </w:r>
      <w:r>
        <w:rPr>
          <w:rFonts w:hint="eastAsia" w:ascii="方正小标宋简体" w:hAnsi="方正小标宋简体" w:eastAsia="方正小标宋简体" w:cs="方正小标宋简体"/>
          <w:sz w:val="44"/>
          <w:szCs w:val="44"/>
          <w:lang w:eastAsia="zh-CN"/>
        </w:rPr>
        <w:t>比选</w:t>
      </w:r>
      <w:r>
        <w:rPr>
          <w:rFonts w:hint="eastAsia" w:ascii="方正小标宋简体" w:hAnsi="方正小标宋简体" w:eastAsia="方正小标宋简体" w:cs="方正小标宋简体"/>
          <w:sz w:val="44"/>
          <w:szCs w:val="44"/>
        </w:rPr>
        <w:t>评分</w:t>
      </w:r>
      <w:r>
        <w:rPr>
          <w:rFonts w:hint="eastAsia" w:ascii="方正小标宋简体" w:hAnsi="方正小标宋简体" w:eastAsia="方正小标宋简体" w:cs="方正小标宋简体"/>
          <w:sz w:val="44"/>
          <w:szCs w:val="44"/>
          <w:lang w:eastAsia="zh-CN"/>
        </w:rPr>
        <w:t>标准</w:t>
      </w:r>
      <w:bookmarkEnd w:id="3"/>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eastAsia="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本次比选采用综合评分法，</w:t>
      </w:r>
      <w:r>
        <w:rPr>
          <w:rFonts w:hint="eastAsia" w:ascii="仿宋_GB2312" w:hAnsi="仿宋_GB2312" w:eastAsia="仿宋_GB2312" w:cs="仿宋_GB2312"/>
          <w:sz w:val="32"/>
          <w:szCs w:val="32"/>
        </w:rPr>
        <w:t>即响应文件满足比选文件全部实质性要求且按照评审因素的量化指标评审得分最高的供应商为成交候选供应商的评审方法</w:t>
      </w:r>
      <w:r>
        <w:rPr>
          <w:rFonts w:hint="eastAsia" w:ascii="仿宋_GB2312" w:hAnsi="仿宋_GB2312" w:eastAsia="仿宋_GB2312" w:cs="仿宋_GB2312"/>
          <w:kern w:val="0"/>
          <w:sz w:val="32"/>
          <w:szCs w:val="32"/>
        </w:rPr>
        <w:t>。评分因素所占权重见下表。</w:t>
      </w:r>
    </w:p>
    <w:p>
      <w:pPr>
        <w:spacing w:line="360" w:lineRule="auto"/>
        <w:jc w:val="center"/>
        <w:rPr>
          <w:rFonts w:hint="eastAsia" w:ascii="黑体" w:hAnsi="黑体" w:eastAsia="黑体" w:cs="黑体"/>
          <w:b w:val="0"/>
          <w:bCs w:val="0"/>
          <w:kern w:val="0"/>
          <w:sz w:val="32"/>
          <w:szCs w:val="32"/>
          <w:lang w:eastAsia="zh-CN"/>
        </w:rPr>
      </w:pPr>
      <w:r>
        <w:rPr>
          <w:rFonts w:hint="eastAsia" w:ascii="黑体" w:hAnsi="黑体" w:eastAsia="黑体" w:cs="黑体"/>
          <w:b w:val="0"/>
          <w:bCs w:val="0"/>
          <w:sz w:val="32"/>
          <w:szCs w:val="32"/>
          <w:lang w:eastAsia="zh-CN"/>
        </w:rPr>
        <w:t>详细评分标准</w:t>
      </w:r>
    </w:p>
    <w:tbl>
      <w:tblPr>
        <w:tblStyle w:val="4"/>
        <w:tblW w:w="8265"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712"/>
        <w:gridCol w:w="1065"/>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673" w:type="dxa"/>
            <w:vAlign w:val="center"/>
          </w:tcPr>
          <w:p>
            <w:pPr>
              <w:ind w:firstLine="28"/>
              <w:jc w:val="center"/>
              <w:rPr>
                <w:rFonts w:hint="eastAsia" w:ascii="宋体" w:hAnsi="宋体" w:eastAsia="宋体" w:cs="宋体"/>
                <w:b/>
                <w:highlight w:val="none"/>
              </w:rPr>
            </w:pPr>
            <w:bookmarkStart w:id="0" w:name="_Toc163893461"/>
            <w:bookmarkStart w:id="1" w:name="_Toc399769488"/>
            <w:bookmarkStart w:id="2" w:name="_Toc495677452"/>
            <w:r>
              <w:rPr>
                <w:rFonts w:hint="eastAsia" w:ascii="宋体" w:hAnsi="宋体" w:eastAsia="宋体" w:cs="宋体"/>
                <w:b/>
                <w:highlight w:val="none"/>
              </w:rPr>
              <w:t>序号</w:t>
            </w:r>
          </w:p>
        </w:tc>
        <w:tc>
          <w:tcPr>
            <w:tcW w:w="1712" w:type="dxa"/>
            <w:vAlign w:val="center"/>
          </w:tcPr>
          <w:p>
            <w:pPr>
              <w:ind w:firstLine="28"/>
              <w:jc w:val="center"/>
              <w:rPr>
                <w:rFonts w:hint="eastAsia" w:ascii="宋体" w:hAnsi="宋体" w:eastAsia="宋体" w:cs="宋体"/>
                <w:b/>
                <w:highlight w:val="none"/>
              </w:rPr>
            </w:pPr>
            <w:r>
              <w:rPr>
                <w:rFonts w:hint="eastAsia" w:ascii="宋体" w:hAnsi="宋体" w:eastAsia="宋体" w:cs="宋体"/>
                <w:b/>
                <w:highlight w:val="none"/>
              </w:rPr>
              <w:t>评分因素</w:t>
            </w:r>
          </w:p>
        </w:tc>
        <w:tc>
          <w:tcPr>
            <w:tcW w:w="1065" w:type="dxa"/>
            <w:vAlign w:val="center"/>
          </w:tcPr>
          <w:p>
            <w:pPr>
              <w:ind w:firstLine="28"/>
              <w:jc w:val="center"/>
              <w:rPr>
                <w:rFonts w:hint="eastAsia" w:ascii="宋体" w:hAnsi="宋体" w:eastAsia="宋体" w:cs="宋体"/>
                <w:b/>
                <w:highlight w:val="none"/>
              </w:rPr>
            </w:pPr>
            <w:r>
              <w:rPr>
                <w:rFonts w:hint="eastAsia" w:ascii="宋体" w:hAnsi="宋体" w:eastAsia="宋体" w:cs="宋体"/>
                <w:b/>
                <w:highlight w:val="none"/>
              </w:rPr>
              <w:t>分值</w:t>
            </w:r>
          </w:p>
        </w:tc>
        <w:tc>
          <w:tcPr>
            <w:tcW w:w="4815" w:type="dxa"/>
            <w:vAlign w:val="center"/>
          </w:tcPr>
          <w:p>
            <w:pPr>
              <w:ind w:firstLine="28"/>
              <w:jc w:val="center"/>
              <w:rPr>
                <w:rFonts w:hint="eastAsia" w:ascii="宋体" w:hAnsi="宋体" w:eastAsia="宋体" w:cs="宋体"/>
                <w:b/>
                <w:highlight w:val="none"/>
              </w:rPr>
            </w:pPr>
            <w:r>
              <w:rPr>
                <w:rFonts w:hint="eastAsia" w:ascii="宋体" w:hAnsi="宋体" w:eastAsia="宋体" w:cs="宋体"/>
                <w:b/>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673" w:type="dxa"/>
            <w:vAlign w:val="center"/>
          </w:tcPr>
          <w:p>
            <w:pPr>
              <w:spacing w:line="276"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szCs w:val="21"/>
              </w:rPr>
              <w:t>1</w:t>
            </w:r>
          </w:p>
        </w:tc>
        <w:tc>
          <w:tcPr>
            <w:tcW w:w="1712" w:type="dxa"/>
            <w:vAlign w:val="center"/>
          </w:tcPr>
          <w:p>
            <w:pPr>
              <w:spacing w:line="276"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szCs w:val="21"/>
              </w:rPr>
              <w:t>企业综合实力</w:t>
            </w:r>
          </w:p>
        </w:tc>
        <w:tc>
          <w:tcPr>
            <w:tcW w:w="1065" w:type="dxa"/>
            <w:vAlign w:val="center"/>
          </w:tcPr>
          <w:p>
            <w:pPr>
              <w:spacing w:line="276" w:lineRule="auto"/>
              <w:jc w:val="center"/>
              <w:rPr>
                <w:rFonts w:hint="eastAsia" w:asciiTheme="minorEastAsia" w:hAnsiTheme="minorEastAsia" w:eastAsiaTheme="minorEastAsia" w:cstheme="minorEastAsia"/>
                <w:b/>
                <w:highlight w:val="none"/>
                <w:lang w:val="en-US" w:eastAsia="zh-CN"/>
              </w:rPr>
            </w:pPr>
            <w:r>
              <w:rPr>
                <w:rFonts w:hint="eastAsia" w:asciiTheme="minorEastAsia" w:hAnsiTheme="minorEastAsia" w:eastAsiaTheme="minorEastAsia" w:cstheme="minorEastAsia"/>
                <w:szCs w:val="21"/>
                <w:lang w:val="en-US" w:eastAsia="zh-CN"/>
              </w:rPr>
              <w:t>10分</w:t>
            </w:r>
          </w:p>
        </w:tc>
        <w:tc>
          <w:tcPr>
            <w:tcW w:w="4815" w:type="dxa"/>
            <w:vAlign w:val="center"/>
          </w:tcPr>
          <w:p>
            <w:pPr>
              <w:spacing w:line="276" w:lineRule="auto"/>
              <w:jc w:val="center"/>
              <w:rPr>
                <w:rFonts w:hint="eastAsia" w:asciiTheme="minorEastAsia" w:hAnsiTheme="minorEastAsia" w:eastAsiaTheme="minorEastAsia" w:cstheme="minorEastAsia"/>
                <w:b/>
                <w:highlight w:val="none"/>
                <w:lang w:eastAsia="zh-CN"/>
              </w:rPr>
            </w:pPr>
            <w:r>
              <w:rPr>
                <w:rFonts w:hint="eastAsia" w:asciiTheme="minorEastAsia" w:hAnsiTheme="minorEastAsia" w:eastAsiaTheme="minorEastAsia" w:cstheme="minorEastAsia"/>
                <w:szCs w:val="21"/>
              </w:rPr>
              <w:t>综合考虑供应商公司信誉、财务状况、履约能力等</w:t>
            </w:r>
            <w:r>
              <w:rPr>
                <w:rFonts w:hint="eastAsia" w:asciiTheme="minorEastAsia" w:hAnsiTheme="minorEastAsia" w:eastAsiaTheme="minorEastAsia" w:cs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6" w:hRule="atLeast"/>
        </w:trPr>
        <w:tc>
          <w:tcPr>
            <w:tcW w:w="673" w:type="dxa"/>
            <w:vAlign w:val="center"/>
          </w:tcPr>
          <w:p>
            <w:pPr>
              <w:ind w:firstLine="28"/>
              <w:jc w:val="center"/>
              <w:rPr>
                <w:rFonts w:hint="eastAsia" w:asciiTheme="minorEastAsia" w:hAnsiTheme="minorEastAsia" w:eastAsiaTheme="minorEastAsia" w:cstheme="minorEastAsia"/>
                <w:bCs/>
                <w:highlight w:val="none"/>
                <w:lang w:eastAsia="zh-CN"/>
              </w:rPr>
            </w:pPr>
            <w:r>
              <w:rPr>
                <w:rFonts w:hint="eastAsia" w:asciiTheme="minorEastAsia" w:hAnsiTheme="minorEastAsia" w:eastAsiaTheme="minorEastAsia" w:cstheme="minorEastAsia"/>
                <w:bCs/>
                <w:highlight w:val="none"/>
                <w:lang w:val="en-US" w:eastAsia="zh-CN"/>
              </w:rPr>
              <w:t>2</w:t>
            </w:r>
          </w:p>
        </w:tc>
        <w:tc>
          <w:tcPr>
            <w:tcW w:w="1712" w:type="dxa"/>
            <w:vAlign w:val="center"/>
          </w:tcPr>
          <w:p>
            <w:pPr>
              <w:ind w:firstLine="28"/>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0"/>
                <w:highlight w:val="none"/>
              </w:rPr>
              <w:t>比选申请人同类项目业绩</w:t>
            </w:r>
          </w:p>
        </w:tc>
        <w:tc>
          <w:tcPr>
            <w:tcW w:w="1065" w:type="dxa"/>
            <w:vAlign w:val="center"/>
          </w:tcPr>
          <w:p>
            <w:pPr>
              <w:ind w:firstLine="28"/>
              <w:jc w:val="center"/>
              <w:rPr>
                <w:rFonts w:hint="eastAsia" w:asciiTheme="minorEastAsia" w:hAnsiTheme="minorEastAsia" w:eastAsiaTheme="minorEastAsia" w:cstheme="minorEastAsia"/>
                <w:b/>
                <w:highlight w:val="none"/>
                <w:lang w:val="en-US" w:eastAsia="zh-CN"/>
              </w:rPr>
            </w:pPr>
            <w:r>
              <w:rPr>
                <w:rFonts w:hint="eastAsia" w:asciiTheme="minorEastAsia" w:hAnsiTheme="minorEastAsia" w:eastAsiaTheme="minorEastAsia" w:cstheme="minorEastAsia"/>
                <w:szCs w:val="20"/>
                <w:highlight w:val="none"/>
                <w:lang w:val="en-US" w:eastAsia="zh-CN"/>
              </w:rPr>
              <w:t>20分</w:t>
            </w:r>
          </w:p>
        </w:tc>
        <w:tc>
          <w:tcPr>
            <w:tcW w:w="4815" w:type="dxa"/>
            <w:vAlign w:val="center"/>
          </w:tcPr>
          <w:p>
            <w:pPr>
              <w:jc w:val="center"/>
              <w:rPr>
                <w:rFonts w:hint="eastAsia" w:asciiTheme="minorEastAsia" w:hAnsiTheme="minorEastAsia" w:eastAsiaTheme="minorEastAsia" w:cstheme="minorEastAsia"/>
                <w:b/>
                <w:highlight w:val="none"/>
                <w:lang w:eastAsia="zh-CN"/>
              </w:rPr>
            </w:pPr>
            <w:r>
              <w:rPr>
                <w:rFonts w:hint="eastAsia" w:asciiTheme="minorEastAsia" w:hAnsiTheme="minorEastAsia" w:eastAsiaTheme="minorEastAsia" w:cstheme="minorEastAsia"/>
                <w:szCs w:val="21"/>
              </w:rPr>
              <w:t>近期与本项目相同或类似的项目业绩</w:t>
            </w:r>
            <w:r>
              <w:rPr>
                <w:rFonts w:hint="eastAsia" w:asciiTheme="minorEastAsia" w:hAnsiTheme="minorEastAsia" w:eastAsiaTheme="minorEastAsia" w:cs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8" w:hRule="atLeast"/>
        </w:trPr>
        <w:tc>
          <w:tcPr>
            <w:tcW w:w="673" w:type="dxa"/>
            <w:vAlign w:val="center"/>
          </w:tcPr>
          <w:p>
            <w:pPr>
              <w:ind w:firstLine="28"/>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3</w:t>
            </w:r>
          </w:p>
        </w:tc>
        <w:tc>
          <w:tcPr>
            <w:tcW w:w="1712" w:type="dxa"/>
            <w:vAlign w:val="center"/>
          </w:tcPr>
          <w:p>
            <w:pPr>
              <w:ind w:firstLine="28"/>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1"/>
              </w:rPr>
              <w:t>项目实施方案（针对具体项目的方案）</w:t>
            </w:r>
          </w:p>
        </w:tc>
        <w:tc>
          <w:tcPr>
            <w:tcW w:w="1065" w:type="dxa"/>
            <w:vAlign w:val="center"/>
          </w:tcPr>
          <w:p>
            <w:pPr>
              <w:ind w:firstLine="28"/>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60分</w:t>
            </w:r>
          </w:p>
        </w:tc>
        <w:tc>
          <w:tcPr>
            <w:tcW w:w="4815" w:type="dxa"/>
            <w:vAlign w:val="center"/>
          </w:tcPr>
          <w:p>
            <w:pPr>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方</w:t>
            </w:r>
            <w:r>
              <w:rPr>
                <w:rFonts w:hint="eastAsia" w:asciiTheme="minorEastAsia" w:hAnsiTheme="minorEastAsia" w:eastAsiaTheme="minorEastAsia" w:cstheme="minorEastAsia"/>
                <w:szCs w:val="21"/>
              </w:rPr>
              <w:t>案完整、合理、可行得</w:t>
            </w:r>
            <w:r>
              <w:rPr>
                <w:rFonts w:hint="eastAsia" w:asciiTheme="minorEastAsia" w:hAnsiTheme="minorEastAsia" w:eastAsiaTheme="minorEastAsia" w:cstheme="minorEastAsia"/>
                <w:szCs w:val="21"/>
                <w:lang w:val="en-US" w:eastAsia="zh-CN"/>
              </w:rPr>
              <w:t>51</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0分；</w:t>
            </w:r>
          </w:p>
          <w:p>
            <w:pPr>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工作方案，方案较为完整、较为合理、可行得</w:t>
            </w:r>
            <w:r>
              <w:rPr>
                <w:rFonts w:hint="eastAsia" w:asciiTheme="minorEastAsia" w:hAnsiTheme="minorEastAsia" w:eastAsiaTheme="minorEastAsia" w:cstheme="minorEastAsia"/>
                <w:szCs w:val="21"/>
                <w:lang w:val="en-US" w:eastAsia="zh-CN"/>
              </w:rPr>
              <w:t>31</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50</w:t>
            </w:r>
            <w:r>
              <w:rPr>
                <w:rFonts w:hint="eastAsia" w:asciiTheme="minorEastAsia" w:hAnsiTheme="minorEastAsia" w:eastAsiaTheme="minorEastAsia" w:cstheme="minorEastAsia"/>
                <w:szCs w:val="21"/>
              </w:rPr>
              <w:t>分；</w:t>
            </w:r>
          </w:p>
          <w:p>
            <w:pPr>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zCs w:val="21"/>
              </w:rPr>
              <w:t>工作方案，方案一般</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不全面，</w:t>
            </w:r>
            <w:r>
              <w:rPr>
                <w:rFonts w:hint="eastAsia" w:asciiTheme="minorEastAsia" w:hAnsiTheme="minorEastAsia" w:eastAsiaTheme="minorEastAsia" w:cstheme="minorEastAsia"/>
                <w:szCs w:val="21"/>
              </w:rPr>
              <w:t>得0-</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0分</w:t>
            </w:r>
            <w:r>
              <w:rPr>
                <w:rFonts w:hint="eastAsia" w:asciiTheme="minorEastAsia" w:hAnsiTheme="minorEastAsia" w:eastAsiaTheme="minorEastAsia" w:cs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4" w:hRule="atLeast"/>
        </w:trPr>
        <w:tc>
          <w:tcPr>
            <w:tcW w:w="673" w:type="dxa"/>
            <w:vAlign w:val="center"/>
          </w:tcPr>
          <w:p>
            <w:pPr>
              <w:ind w:firstLine="28"/>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4</w:t>
            </w:r>
          </w:p>
        </w:tc>
        <w:tc>
          <w:tcPr>
            <w:tcW w:w="1712" w:type="dxa"/>
            <w:vAlign w:val="center"/>
          </w:tcPr>
          <w:p>
            <w:pPr>
              <w:ind w:firstLine="28"/>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参选报价</w:t>
            </w:r>
          </w:p>
        </w:tc>
        <w:tc>
          <w:tcPr>
            <w:tcW w:w="1065" w:type="dxa"/>
            <w:vAlign w:val="center"/>
          </w:tcPr>
          <w:p>
            <w:pPr>
              <w:ind w:firstLine="28"/>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10</w:t>
            </w:r>
            <w:r>
              <w:rPr>
                <w:rFonts w:hint="eastAsia" w:asciiTheme="minorEastAsia" w:hAnsiTheme="minorEastAsia" w:eastAsiaTheme="minorEastAsia" w:cstheme="minorEastAsia"/>
                <w:color w:val="auto"/>
                <w:highlight w:val="none"/>
                <w:lang w:eastAsia="zh-CN"/>
              </w:rPr>
              <w:t>分</w:t>
            </w:r>
          </w:p>
        </w:tc>
        <w:tc>
          <w:tcPr>
            <w:tcW w:w="4815" w:type="dxa"/>
            <w:vAlign w:val="center"/>
          </w:tcPr>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满足比选文件要求且参选价格最低的参选报价为评审基准价，其价格分为满分。其他比选申请人的价格分统一按照下列公式计算：</w:t>
            </w:r>
          </w:p>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参选报价得分＝（评审基准价/参选报价）×</w:t>
            </w:r>
            <w:r>
              <w:rPr>
                <w:rFonts w:hint="eastAsia" w:asciiTheme="minorEastAsia" w:hAnsiTheme="minorEastAsia" w:eastAsiaTheme="minorEastAsia" w:cstheme="minorEastAsia"/>
                <w:color w:val="auto"/>
                <w:highlight w:val="none"/>
                <w:lang w:val="en-US" w:eastAsia="zh-CN"/>
              </w:rPr>
              <w:t>10</w:t>
            </w:r>
            <w:r>
              <w:rPr>
                <w:rFonts w:hint="eastAsia" w:asciiTheme="minorEastAsia" w:hAnsiTheme="minorEastAsia" w:eastAsiaTheme="minorEastAsia" w:cstheme="minorEastAsia"/>
                <w:color w:val="auto"/>
                <w:highlight w:val="none"/>
              </w:rPr>
              <w:t>。</w:t>
            </w:r>
          </w:p>
          <w:p>
            <w:pPr>
              <w:ind w:firstLine="28"/>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t>注：此处参选报价指经过报价修正，及因落实政府采购政策进行价格调整后的报价。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2385" w:type="dxa"/>
            <w:gridSpan w:val="2"/>
            <w:vAlign w:val="center"/>
          </w:tcPr>
          <w:p>
            <w:pPr>
              <w:ind w:firstLine="28"/>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合计</w:t>
            </w:r>
          </w:p>
        </w:tc>
        <w:tc>
          <w:tcPr>
            <w:tcW w:w="5880" w:type="dxa"/>
            <w:gridSpan w:val="2"/>
            <w:vAlign w:val="center"/>
          </w:tcPr>
          <w:p>
            <w:pPr>
              <w:ind w:firstLine="28"/>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100</w:t>
            </w:r>
          </w:p>
        </w:tc>
      </w:tr>
      <w:bookmarkEnd w:id="0"/>
      <w:bookmarkEnd w:id="1"/>
      <w:bookmarkEnd w:id="2"/>
    </w:tbl>
    <w:p>
      <w:pPr>
        <w:rPr>
          <w:rFonts w:hint="eastAsia" w:ascii="仿宋_GB2312" w:eastAsia="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77DA1"/>
    <w:rsid w:val="03077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2024-08-28T07:27:00Z</dcterms:created>
  <dc:creator>Administrator</dc:creator>
  <cp:lastModifiedBy>Administrator</cp:lastModifiedBy>
  <dcterms:modified xsi:type="dcterms:W3CDTF">2024-08-28T07:32:47Z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