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pStyle w:val="2"/>
        <w:rPr>
          <w:rFonts w:ascii="黑体" w:eastAsia="黑体"/>
          <w:sz w:val="52"/>
          <w:szCs w:val="52"/>
        </w:rPr>
      </w:pPr>
    </w:p>
    <w:p>
      <w:pPr>
        <w:pStyle w:val="2"/>
        <w:rPr>
          <w:rFonts w:ascii="黑体" w:eastAsia="黑体"/>
          <w:sz w:val="52"/>
          <w:szCs w:val="52"/>
        </w:rPr>
      </w:pPr>
    </w:p>
    <w:p>
      <w:pPr>
        <w:jc w:val="center"/>
        <w:rPr>
          <w:rFonts w:ascii="黑体" w:eastAsia="黑体"/>
          <w:sz w:val="52"/>
          <w:szCs w:val="5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北京市规划和自然资源委员会综合事务中心是经北京市机构编制委员会（京编委〔2021〕123号）核准登记的</w:t>
      </w:r>
      <w:r>
        <w:rPr>
          <w:rFonts w:hint="eastAsia" w:ascii="仿宋_GB2312" w:hAnsi="Times New Roman" w:eastAsia="仿宋_GB2312" w:cs="Times New Roman"/>
          <w:kern w:val="0"/>
          <w:sz w:val="28"/>
          <w:szCs w:val="28"/>
          <w:lang w:eastAsia="zh-CN"/>
        </w:rPr>
        <w:t>公益一类事业</w:t>
      </w:r>
      <w:r>
        <w:rPr>
          <w:rFonts w:hint="eastAsia" w:ascii="仿宋_GB2312" w:hAnsi="Times New Roman" w:eastAsia="仿宋_GB2312" w:cs="Times New Roman"/>
          <w:kern w:val="0"/>
          <w:sz w:val="28"/>
          <w:szCs w:val="28"/>
        </w:rPr>
        <w:t>单位，成立于2021年，主要承担委机关综合服务保障、财务支付核算、离退休人员服务管理和相关人事管理等事务性工作。</w:t>
      </w:r>
    </w:p>
    <w:p>
      <w:pPr>
        <w:tabs>
          <w:tab w:val="center" w:pos="6979"/>
        </w:tabs>
        <w:spacing w:line="580" w:lineRule="exact"/>
        <w:ind w:firstLine="560" w:firstLineChars="2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中心目前</w:t>
      </w:r>
      <w:r>
        <w:rPr>
          <w:rFonts w:hint="eastAsia" w:ascii="仿宋_GB2312" w:hAnsi="Times New Roman" w:eastAsia="仿宋_GB2312" w:cs="Times New Roman"/>
          <w:kern w:val="0"/>
          <w:sz w:val="28"/>
          <w:szCs w:val="28"/>
          <w:lang w:eastAsia="zh-CN"/>
        </w:rPr>
        <w:t>内设</w:t>
      </w:r>
      <w:r>
        <w:rPr>
          <w:rFonts w:hint="eastAsia" w:ascii="仿宋_GB2312" w:hAnsi="Times New Roman" w:eastAsia="仿宋_GB2312" w:cs="Times New Roman"/>
          <w:kern w:val="0"/>
          <w:sz w:val="28"/>
          <w:szCs w:val="28"/>
        </w:rPr>
        <w:t>12个科（室）：办公室、</w:t>
      </w:r>
      <w:r>
        <w:rPr>
          <w:rFonts w:hint="eastAsia" w:ascii="仿宋_GB2312" w:hAnsi="Times New Roman" w:eastAsia="仿宋_GB2312" w:cs="Times New Roman"/>
          <w:kern w:val="0"/>
          <w:sz w:val="28"/>
          <w:szCs w:val="28"/>
          <w:lang w:eastAsia="zh-CN"/>
        </w:rPr>
        <w:t>公务保障科</w:t>
      </w:r>
      <w:r>
        <w:rPr>
          <w:rFonts w:hint="eastAsia" w:ascii="仿宋_GB2312" w:hAnsi="Times New Roman" w:eastAsia="仿宋_GB2312" w:cs="Times New Roman"/>
          <w:kern w:val="0"/>
          <w:sz w:val="28"/>
          <w:szCs w:val="28"/>
        </w:rPr>
        <w:t>、总务管理科、车辆管理科、综合管理科、财务管理科、核算一科、核算二科、</w:t>
      </w:r>
      <w:r>
        <w:rPr>
          <w:rFonts w:hint="eastAsia" w:ascii="仿宋_GB2312" w:hAnsi="Times New Roman" w:eastAsia="仿宋_GB2312" w:cs="Times New Roman"/>
          <w:kern w:val="0"/>
          <w:sz w:val="28"/>
          <w:szCs w:val="28"/>
          <w:lang w:eastAsia="zh-CN"/>
        </w:rPr>
        <w:t>离退休服务一科、离退休服务二科、</w:t>
      </w:r>
      <w:r>
        <w:rPr>
          <w:rFonts w:hint="eastAsia" w:ascii="仿宋_GB2312" w:hAnsi="Times New Roman" w:eastAsia="仿宋_GB2312" w:cs="Times New Roman"/>
          <w:kern w:val="0"/>
          <w:sz w:val="28"/>
          <w:szCs w:val="28"/>
        </w:rPr>
        <w:t>干部教育科</w:t>
      </w:r>
      <w:r>
        <w:rPr>
          <w:rFonts w:hint="eastAsia" w:ascii="仿宋_GB2312" w:hAnsi="Times New Roman" w:eastAsia="仿宋_GB2312" w:cs="Times New Roman"/>
          <w:kern w:val="0"/>
          <w:sz w:val="28"/>
          <w:szCs w:val="28"/>
          <w:lang w:eastAsia="zh-CN"/>
        </w:rPr>
        <w:t>和党建人事科</w:t>
      </w:r>
      <w:r>
        <w:rPr>
          <w:rFonts w:hint="eastAsia" w:ascii="仿宋_GB2312" w:hAnsi="Times New Roman" w:eastAsia="仿宋_GB2312" w:cs="Times New Roman"/>
          <w:kern w:val="0"/>
          <w:sz w:val="28"/>
          <w:szCs w:val="28"/>
        </w:rPr>
        <w:t>。</w:t>
      </w:r>
      <w:r>
        <w:rPr>
          <w:rFonts w:hint="eastAsia" w:ascii="仿宋_GB2312" w:hAnsi="Times New Roman" w:eastAsia="仿宋_GB2312" w:cs="Times New Roman"/>
          <w:kern w:val="0"/>
          <w:sz w:val="28"/>
          <w:szCs w:val="28"/>
          <w:lang w:eastAsia="zh-CN"/>
        </w:rPr>
        <w:t>无下属单位。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3522.28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33.44</w:t>
      </w:r>
      <w:r>
        <w:rPr>
          <w:rFonts w:hint="eastAsia" w:ascii="仿宋_GB2312" w:eastAsia="仿宋_GB2312"/>
          <w:sz w:val="28"/>
          <w:szCs w:val="28"/>
        </w:rPr>
        <w:t>万元，下降</w:t>
      </w:r>
      <w:r>
        <w:rPr>
          <w:rFonts w:hint="eastAsia" w:ascii="仿宋_GB2312" w:eastAsia="仿宋_GB2312"/>
          <w:sz w:val="28"/>
          <w:szCs w:val="28"/>
          <w:lang w:val="en-US" w:eastAsia="zh-CN"/>
        </w:rPr>
        <w:t>0.94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3215.61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270.72</w:t>
      </w:r>
      <w:r>
        <w:rPr>
          <w:rFonts w:hint="eastAsia" w:ascii="仿宋_GB2312" w:eastAsia="仿宋_GB2312"/>
          <w:sz w:val="28"/>
          <w:szCs w:val="28"/>
        </w:rPr>
        <w:t>万元，增长</w:t>
      </w:r>
      <w:r>
        <w:rPr>
          <w:rFonts w:hint="eastAsia" w:ascii="仿宋_GB2312" w:eastAsia="仿宋_GB2312"/>
          <w:sz w:val="28"/>
          <w:szCs w:val="28"/>
          <w:lang w:val="en-US" w:eastAsia="zh-CN"/>
        </w:rPr>
        <w:t>9.19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3070.69</w:t>
      </w:r>
      <w:r>
        <w:rPr>
          <w:rFonts w:hint="eastAsia" w:ascii="仿宋_GB2312" w:eastAsia="仿宋_GB2312"/>
          <w:sz w:val="28"/>
          <w:szCs w:val="28"/>
        </w:rPr>
        <w:t>万元，占收入合计的</w:t>
      </w:r>
      <w:r>
        <w:rPr>
          <w:rFonts w:hint="eastAsia" w:ascii="仿宋_GB2312" w:eastAsia="仿宋_GB2312"/>
          <w:sz w:val="28"/>
          <w:szCs w:val="28"/>
          <w:lang w:eastAsia="zh-CN"/>
        </w:rPr>
        <w:t>95.49%。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3070.69</w:t>
      </w:r>
      <w:r>
        <w:rPr>
          <w:rFonts w:hint="eastAsia" w:ascii="仿宋_GB2312" w:eastAsia="仿宋_GB2312"/>
          <w:sz w:val="28"/>
          <w:szCs w:val="28"/>
        </w:rPr>
        <w:t>万元，占收入合计的</w:t>
      </w:r>
      <w:r>
        <w:rPr>
          <w:rFonts w:hint="eastAsia" w:ascii="仿宋_GB2312" w:eastAsia="仿宋_GB2312"/>
          <w:sz w:val="28"/>
          <w:szCs w:val="28"/>
          <w:lang w:eastAsia="zh-CN"/>
        </w:rPr>
        <w:t>95.49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144.92</w:t>
      </w:r>
      <w:r>
        <w:rPr>
          <w:rFonts w:hint="eastAsia" w:ascii="仿宋_GB2312" w:eastAsia="仿宋_GB2312"/>
          <w:sz w:val="28"/>
          <w:szCs w:val="28"/>
        </w:rPr>
        <w:t>万元，占收入合计的</w:t>
      </w:r>
      <w:r>
        <w:rPr>
          <w:rFonts w:hint="eastAsia" w:ascii="仿宋_GB2312" w:eastAsia="仿宋_GB2312"/>
          <w:sz w:val="28"/>
          <w:szCs w:val="28"/>
          <w:lang w:eastAsia="zh-CN"/>
        </w:rPr>
        <w:t>4.51</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object>
          <v:shape id="_x0000_i1025" o:spt="75" type="#_x0000_t75" style="height:192.15pt;width:353.85pt;" o:ole="t" filled="f" o:preferrelative="t" stroked="f" coordsize="21600,21600">
            <v:path/>
            <v:fill on="f" focussize="0,0"/>
            <v:stroke on="f"/>
            <v:imagedata r:id="rId8" o:title=""/>
            <o:lock v:ext="edit" aspectratio="t"/>
            <w10:wrap type="none"/>
            <w10:anchorlock/>
          </v:shape>
          <o:OLEObject Type="Embed" ProgID="Excel.Chart.8" ShapeID="_x0000_i1025" DrawAspect="Content" ObjectID="_1468075725" r:id="rId7">
            <o:LockedField>false</o:LockedField>
          </o:OLEObject>
        </w:obje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3208.68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29.76</w:t>
      </w:r>
      <w:r>
        <w:rPr>
          <w:rFonts w:hint="eastAsia" w:ascii="仿宋_GB2312" w:eastAsia="仿宋_GB2312"/>
          <w:sz w:val="28"/>
          <w:szCs w:val="28"/>
        </w:rPr>
        <w:t>万元，下降</w:t>
      </w:r>
      <w:r>
        <w:rPr>
          <w:rFonts w:hint="eastAsia" w:ascii="仿宋_GB2312" w:eastAsia="仿宋_GB2312"/>
          <w:sz w:val="28"/>
          <w:szCs w:val="28"/>
          <w:lang w:val="en-US" w:eastAsia="zh-CN"/>
        </w:rPr>
        <w:t>0.92</w:t>
      </w:r>
      <w:r>
        <w:rPr>
          <w:rFonts w:hint="eastAsia" w:ascii="仿宋_GB2312" w:eastAsia="仿宋_GB2312"/>
          <w:sz w:val="28"/>
          <w:szCs w:val="28"/>
        </w:rPr>
        <w:t>%，其中：基本支出</w:t>
      </w:r>
      <w:r>
        <w:rPr>
          <w:rFonts w:ascii="仿宋_GB2312" w:eastAsia="仿宋_GB2312"/>
          <w:sz w:val="28"/>
          <w:szCs w:val="28"/>
        </w:rPr>
        <w:t>2719.37</w:t>
      </w:r>
      <w:r>
        <w:rPr>
          <w:rFonts w:hint="eastAsia" w:ascii="仿宋_GB2312" w:eastAsia="仿宋_GB2312"/>
          <w:sz w:val="28"/>
          <w:szCs w:val="28"/>
        </w:rPr>
        <w:t>万元，占支出合计的</w:t>
      </w:r>
      <w:r>
        <w:rPr>
          <w:rFonts w:hint="eastAsia" w:ascii="仿宋_GB2312" w:eastAsia="仿宋_GB2312"/>
          <w:sz w:val="28"/>
          <w:szCs w:val="28"/>
          <w:lang w:eastAsia="zh-CN"/>
        </w:rPr>
        <w:t>84.75</w:t>
      </w:r>
      <w:r>
        <w:rPr>
          <w:rFonts w:hint="eastAsia" w:ascii="仿宋_GB2312" w:eastAsia="仿宋_GB2312"/>
          <w:sz w:val="28"/>
          <w:szCs w:val="28"/>
        </w:rPr>
        <w:t>%；项目支出</w:t>
      </w:r>
      <w:r>
        <w:rPr>
          <w:rFonts w:ascii="仿宋_GB2312" w:eastAsia="仿宋_GB2312"/>
          <w:sz w:val="28"/>
          <w:szCs w:val="28"/>
        </w:rPr>
        <w:t>489.31</w:t>
      </w:r>
      <w:r>
        <w:rPr>
          <w:rFonts w:hint="eastAsia" w:ascii="仿宋_GB2312" w:eastAsia="仿宋_GB2312"/>
          <w:sz w:val="28"/>
          <w:szCs w:val="28"/>
        </w:rPr>
        <w:t>万元，占支出合计的</w:t>
      </w:r>
      <w:r>
        <w:rPr>
          <w:rFonts w:hint="eastAsia" w:ascii="仿宋_GB2312" w:eastAsia="仿宋_GB2312"/>
          <w:sz w:val="28"/>
          <w:szCs w:val="28"/>
          <w:lang w:eastAsia="zh-CN"/>
        </w:rPr>
        <w:t>15.25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object>
          <v:shape id="_x0000_i1026" o:spt="75" type="#_x0000_t75" style="height:199.6pt;width:328.65pt;" o:ole="t" filled="f" o:preferrelative="t" stroked="f" coordsize="21600,21600">
            <v:path/>
            <v:fill on="f" focussize="0,0"/>
            <v:stroke on="f"/>
            <v:imagedata r:id="rId10" o:title=""/>
            <o:lock v:ext="edit" aspectratio="t"/>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3070.69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151.08</w:t>
      </w:r>
      <w:r>
        <w:rPr>
          <w:rFonts w:hint="eastAsia" w:ascii="仿宋_GB2312" w:eastAsia="仿宋_GB2312"/>
          <w:sz w:val="28"/>
          <w:szCs w:val="28"/>
        </w:rPr>
        <w:t>万元，增长</w:t>
      </w:r>
      <w:r>
        <w:rPr>
          <w:rFonts w:hint="eastAsia" w:ascii="仿宋_GB2312" w:eastAsia="仿宋_GB2312"/>
          <w:sz w:val="28"/>
          <w:szCs w:val="28"/>
          <w:lang w:val="en-US" w:eastAsia="zh-CN"/>
        </w:rPr>
        <w:t>5.17%</w:t>
      </w:r>
      <w:r>
        <w:rPr>
          <w:rFonts w:hint="eastAsia" w:ascii="仿宋_GB2312" w:eastAsia="仿宋_GB2312"/>
          <w:sz w:val="28"/>
          <w:szCs w:val="28"/>
        </w:rPr>
        <w:t>。主要原因：</w:t>
      </w:r>
      <w:r>
        <w:rPr>
          <w:rFonts w:hint="eastAsia" w:ascii="仿宋_GB2312" w:eastAsia="仿宋_GB2312"/>
          <w:sz w:val="28"/>
          <w:szCs w:val="28"/>
          <w:lang w:eastAsia="zh-CN"/>
        </w:rPr>
        <w:t>单位持续消化结余资金，可消化结余资金减少，增加财政拨款支持</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3058.58</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lang w:val="en-US" w:eastAsia="zh-CN"/>
        </w:rPr>
        <w:t>1.96万元，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0.06</w:t>
      </w:r>
      <w:r>
        <w:rPr>
          <w:rFonts w:hint="eastAsia" w:ascii="仿宋_GB2312" w:hAnsi="Times New Roman" w:eastAsia="仿宋_GB2312" w:cs="Times New Roman"/>
          <w:sz w:val="28"/>
          <w:szCs w:val="28"/>
        </w:rPr>
        <w:t>%；社会保障和就业支出</w:t>
      </w:r>
      <w:r>
        <w:rPr>
          <w:rFonts w:hint="eastAsia" w:ascii="仿宋_GB2312" w:hAnsi="Times New Roman" w:eastAsia="仿宋_GB2312" w:cs="Times New Roman"/>
          <w:sz w:val="28"/>
          <w:szCs w:val="28"/>
          <w:lang w:val="en-US" w:eastAsia="zh-CN"/>
        </w:rPr>
        <w:t>433.69万元，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14.18</w:t>
      </w:r>
      <w:r>
        <w:rPr>
          <w:rFonts w:hint="eastAsia" w:ascii="仿宋_GB2312" w:hAnsi="Times New Roman" w:eastAsia="仿宋_GB2312" w:cs="Times New Roman"/>
          <w:sz w:val="28"/>
          <w:szCs w:val="28"/>
        </w:rPr>
        <w:t>%；卫生健康支出</w:t>
      </w:r>
      <w:r>
        <w:rPr>
          <w:rFonts w:hint="eastAsia" w:ascii="仿宋_GB2312" w:hAnsi="Times New Roman" w:eastAsia="仿宋_GB2312" w:cs="Times New Roman"/>
          <w:sz w:val="28"/>
          <w:szCs w:val="28"/>
          <w:lang w:val="en-US" w:eastAsia="zh-CN"/>
        </w:rPr>
        <w:t>185.93万元，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6.08</w:t>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sz w:val="28"/>
          <w:szCs w:val="28"/>
          <w:lang w:eastAsia="zh-CN"/>
        </w:rPr>
        <w:t>；自然资源海洋气象等支出</w:t>
      </w:r>
      <w:r>
        <w:rPr>
          <w:rFonts w:hint="eastAsia" w:ascii="仿宋_GB2312" w:hAnsi="Times New Roman" w:eastAsia="仿宋_GB2312" w:cs="Times New Roman"/>
          <w:sz w:val="28"/>
          <w:szCs w:val="28"/>
          <w:lang w:val="en-US" w:eastAsia="zh-CN"/>
        </w:rPr>
        <w:t>2437.00万元，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79.68</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教育支出</w:t>
      </w:r>
      <w:r>
        <w:rPr>
          <w:rFonts w:hint="eastAsia" w:ascii="仿宋_GB2312" w:hAnsi="Times New Roman" w:eastAsia="仿宋_GB2312" w:cs="Times New Roman"/>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w:t>
      </w:r>
      <w:r>
        <w:rPr>
          <w:rFonts w:hint="eastAsia" w:ascii="仿宋_GB2312" w:eastAsia="仿宋_GB2312"/>
          <w:sz w:val="28"/>
          <w:szCs w:val="28"/>
        </w:rPr>
        <w:t>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1.96</w:t>
      </w:r>
      <w:r>
        <w:rPr>
          <w:rFonts w:hint="eastAsia" w:ascii="仿宋_GB2312" w:hAnsi="Times New Roman" w:eastAsia="仿宋_GB2312" w:cs="Times New Roman"/>
          <w:sz w:val="28"/>
          <w:szCs w:val="28"/>
        </w:rPr>
        <w:t>万元。</w:t>
      </w:r>
      <w:r>
        <w:rPr>
          <w:rFonts w:hint="eastAsia" w:ascii="仿宋_GB2312" w:eastAsia="仿宋_GB2312"/>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进修及培训</w:t>
      </w:r>
      <w:r>
        <w:rPr>
          <w:rFonts w:hint="eastAsia" w:ascii="仿宋_GB2312" w:hAnsi="Times New Roman" w:eastAsia="仿宋_GB2312" w:cs="Times New Roman"/>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w:t>
      </w:r>
      <w:r>
        <w:rPr>
          <w:rFonts w:hint="eastAsia" w:ascii="仿宋_GB2312" w:eastAsia="仿宋_GB2312"/>
          <w:sz w:val="28"/>
          <w:szCs w:val="28"/>
        </w:rPr>
        <w:t>元</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1.96</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在提高员工综合素质、专业能力方面和新员工培养方面加强培训</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2、“社会保障和就业支出”(类)</w:t>
      </w:r>
      <w:r>
        <w:rPr>
          <w:rFonts w:hint="eastAsia" w:ascii="仿宋_GB2312" w:hAnsi="Times New Roman" w:eastAsia="仿宋_GB2312" w:cs="Times New Roman"/>
          <w:sz w:val="28"/>
          <w:szCs w:val="28"/>
          <w:lang w:val="en-US" w:eastAsia="zh-CN"/>
        </w:rPr>
        <w:t>2024年度年初预算428.77万元，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433.69万元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101.15</w:t>
      </w:r>
      <w:r>
        <w:rPr>
          <w:rFonts w:hint="eastAsia" w:ascii="仿宋_GB2312" w:eastAsia="仿宋_GB2312"/>
          <w:sz w:val="28"/>
          <w:szCs w:val="28"/>
        </w:rPr>
        <w:t>%。</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“行政事业单位养老支出”（款）</w:t>
      </w:r>
      <w:r>
        <w:rPr>
          <w:rFonts w:hint="eastAsia" w:ascii="仿宋_GB2312" w:hAnsi="Times New Roman" w:eastAsia="仿宋_GB2312" w:cs="Times New Roman"/>
          <w:sz w:val="28"/>
          <w:szCs w:val="28"/>
          <w:lang w:val="en-US" w:eastAsia="zh-CN"/>
        </w:rPr>
        <w:t>2024年度年初预算428.77万元，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433.69万元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101.15</w:t>
      </w:r>
      <w:r>
        <w:rPr>
          <w:rFonts w:hint="eastAsia" w:ascii="仿宋_GB2312" w:eastAsia="仿宋_GB2312"/>
          <w:sz w:val="28"/>
          <w:szCs w:val="28"/>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单位退休人员增加</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、“卫生健康支出”(类)</w:t>
      </w:r>
      <w:r>
        <w:rPr>
          <w:rFonts w:hint="eastAsia" w:ascii="仿宋_GB2312" w:hAnsi="Times New Roman" w:eastAsia="仿宋_GB2312" w:cs="Times New Roman"/>
          <w:sz w:val="28"/>
          <w:szCs w:val="28"/>
          <w:lang w:val="en-US" w:eastAsia="zh-CN"/>
        </w:rPr>
        <w:t>2024年度年初预算189.30万元，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185.93万元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98.22</w:t>
      </w:r>
      <w:r>
        <w:rPr>
          <w:rFonts w:hint="eastAsia" w:ascii="仿宋_GB2312" w:eastAsia="仿宋_GB2312"/>
          <w:sz w:val="28"/>
          <w:szCs w:val="28"/>
        </w:rPr>
        <w:t>%</w:t>
      </w:r>
      <w:r>
        <w:rPr>
          <w:rFonts w:hint="eastAsia" w:ascii="仿宋_GB2312" w:hAnsi="Times New Roman" w:eastAsia="仿宋_GB2312" w:cs="Times New Roman"/>
          <w:sz w:val="28"/>
          <w:szCs w:val="28"/>
        </w:rPr>
        <w:t>。其中：</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w:t>
      </w:r>
      <w:r>
        <w:rPr>
          <w:rFonts w:hint="eastAsia" w:ascii="仿宋_GB2312" w:hAnsi="Times New Roman" w:eastAsia="仿宋_GB2312" w:cs="Times New Roman"/>
          <w:sz w:val="28"/>
          <w:szCs w:val="28"/>
          <w:lang w:eastAsia="zh-CN"/>
        </w:rPr>
        <w:t>款</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2024年度年初预算189.30万元，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185.93万元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98.22</w:t>
      </w:r>
      <w:r>
        <w:rPr>
          <w:rFonts w:hint="eastAsia" w:ascii="仿宋_GB2312" w:eastAsia="仿宋_GB2312"/>
          <w:sz w:val="28"/>
          <w:szCs w:val="28"/>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单位人员调出及退休</w:t>
      </w:r>
      <w:r>
        <w:rPr>
          <w:rFonts w:hint="eastAsia" w:ascii="仿宋_GB2312" w:hAnsi="Times New Roman" w:eastAsia="仿宋_GB2312" w:cs="Times New Roman"/>
          <w:sz w:val="28"/>
          <w:szCs w:val="28"/>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自然资源海洋气象等支出</w:t>
      </w:r>
      <w:r>
        <w:rPr>
          <w:rFonts w:hint="eastAsia" w:ascii="仿宋_GB2312" w:hAnsi="Times New Roman" w:eastAsia="仿宋_GB2312" w:cs="Times New Roman"/>
          <w:sz w:val="28"/>
          <w:szCs w:val="28"/>
        </w:rPr>
        <w:t>”(类)</w:t>
      </w:r>
      <w:r>
        <w:rPr>
          <w:rFonts w:hint="eastAsia" w:ascii="仿宋_GB2312" w:hAnsi="Times New Roman" w:eastAsia="仿宋_GB2312" w:cs="Times New Roman"/>
          <w:sz w:val="28"/>
          <w:szCs w:val="28"/>
          <w:lang w:val="en-US" w:eastAsia="zh-CN"/>
        </w:rPr>
        <w:t>2024年度年初预算2592.93万元，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2437.00万元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93.99</w:t>
      </w:r>
      <w:r>
        <w:rPr>
          <w:rFonts w:hint="eastAsia" w:ascii="仿宋_GB2312" w:eastAsia="仿宋_GB2312"/>
          <w:sz w:val="28"/>
          <w:szCs w:val="28"/>
        </w:rPr>
        <w:t>%</w:t>
      </w:r>
      <w:r>
        <w:rPr>
          <w:rFonts w:hint="eastAsia" w:ascii="仿宋_GB2312" w:hAnsi="Times New Roman" w:eastAsia="仿宋_GB2312" w:cs="Times New Roman"/>
          <w:sz w:val="28"/>
          <w:szCs w:val="28"/>
        </w:rPr>
        <w:t>。其中：</w:t>
      </w:r>
    </w:p>
    <w:p>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rPr>
        <w:t>“自然资源事务”（款）</w:t>
      </w:r>
      <w:r>
        <w:rPr>
          <w:rFonts w:hint="eastAsia" w:ascii="仿宋_GB2312" w:hAnsi="Times New Roman" w:eastAsia="仿宋_GB2312" w:cs="Times New Roman"/>
          <w:sz w:val="28"/>
          <w:szCs w:val="28"/>
          <w:lang w:val="en-US" w:eastAsia="zh-CN"/>
        </w:rPr>
        <w:t>2024年度年初预算2592.93万元，</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2437.00万元</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93.99</w:t>
      </w:r>
      <w:r>
        <w:rPr>
          <w:rFonts w:hint="eastAsia" w:ascii="仿宋_GB2312" w:eastAsia="仿宋_GB2312"/>
          <w:sz w:val="28"/>
          <w:szCs w:val="28"/>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项目支出和基本支出结余</w:t>
      </w:r>
      <w:r>
        <w:rPr>
          <w:rFonts w:hint="eastAsia" w:ascii="仿宋_GB2312" w:hAnsi="Times New Roman" w:eastAsia="仿宋_GB2312" w:cs="Times New Roman"/>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本年度无此项支出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本年度无此项支出。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2719.37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年度</w:t>
      </w:r>
      <w:r>
        <w:rPr>
          <w:rFonts w:hint="eastAsia" w:ascii="仿宋_GB2312" w:eastAsia="仿宋_GB2312"/>
          <w:sz w:val="28"/>
          <w:szCs w:val="28"/>
        </w:rPr>
        <w:t>无此项</w:t>
      </w:r>
      <w:r>
        <w:rPr>
          <w:rFonts w:hint="eastAsia" w:ascii="仿宋_GB2312" w:eastAsia="仿宋_GB2312"/>
          <w:sz w:val="28"/>
          <w:szCs w:val="28"/>
          <w:lang w:val="en-US" w:eastAsia="zh-CN"/>
        </w:rPr>
        <w:t>支出</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本单位不属于</w:t>
      </w:r>
      <w:r>
        <w:rPr>
          <w:rFonts w:hint="eastAsia" w:ascii="仿宋_GB2312" w:eastAsia="仿宋_GB2312"/>
          <w:sz w:val="28"/>
          <w:szCs w:val="28"/>
        </w:rPr>
        <w:t>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2.23</w:t>
      </w:r>
      <w:r>
        <w:rPr>
          <w:rFonts w:hint="eastAsia" w:ascii="仿宋_GB2312" w:eastAsia="仿宋_GB2312"/>
          <w:sz w:val="28"/>
          <w:szCs w:val="28"/>
        </w:rPr>
        <w:t>万元，其中：政府采购货物支出</w:t>
      </w:r>
      <w:r>
        <w:rPr>
          <w:rFonts w:ascii="仿宋_GB2312" w:eastAsia="仿宋_GB2312"/>
          <w:sz w:val="28"/>
          <w:szCs w:val="28"/>
        </w:rPr>
        <w:t>1.23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w:t>
      </w:r>
      <w:r>
        <w:rPr>
          <w:rFonts w:hint="eastAsia" w:ascii="仿宋_GB2312" w:eastAsia="仿宋_GB2312"/>
          <w:sz w:val="28"/>
          <w:szCs w:val="28"/>
        </w:rPr>
        <w:t>万元。授予中小企业合同金额</w:t>
      </w:r>
      <w:r>
        <w:rPr>
          <w:rFonts w:ascii="仿宋_GB2312" w:eastAsia="仿宋_GB2312"/>
          <w:sz w:val="28"/>
          <w:szCs w:val="28"/>
        </w:rPr>
        <w:t>2.23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2.23</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12月31日，北京市规划和自然资源委员会综合事务中心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本年度无此项支出</w:t>
      </w:r>
      <w:r>
        <w:rPr>
          <w:rFonts w:hint="eastAsia" w:ascii="仿宋_GB2312" w:eastAsia="仿宋_GB2312"/>
          <w:sz w:val="28"/>
          <w:szCs w:val="28"/>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(类）进修及培训（款）培训支出（项）</w:t>
      </w:r>
      <w:r>
        <w:rPr>
          <w:rFonts w:ascii="仿宋_GB2312" w:eastAsia="仿宋_GB2312"/>
          <w:sz w:val="28"/>
          <w:szCs w:val="28"/>
        </w:rPr>
        <w:t>：</w:t>
      </w:r>
      <w:r>
        <w:rPr>
          <w:rFonts w:hint="eastAsia" w:ascii="仿宋_GB2312" w:eastAsia="仿宋_GB2312"/>
          <w:sz w:val="28"/>
          <w:szCs w:val="28"/>
          <w:lang w:eastAsia="zh-CN"/>
        </w:rPr>
        <w:t>反映单位安排的用于培训的支出。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ascii="仿宋_GB2312" w:eastAsia="仿宋_GB2312"/>
          <w:sz w:val="28"/>
          <w:szCs w:val="28"/>
        </w:rPr>
        <w:t>.</w:t>
      </w:r>
      <w:r>
        <w:rPr>
          <w:rFonts w:hint="eastAsia" w:ascii="仿宋_GB2312" w:eastAsia="仿宋_GB2312"/>
          <w:sz w:val="28"/>
          <w:szCs w:val="28"/>
          <w:lang w:eastAsia="zh-CN"/>
        </w:rPr>
        <w:t>社会保障和就业支出（类）</w:t>
      </w:r>
      <w:r>
        <w:rPr>
          <w:rFonts w:hint="eastAsia" w:ascii="仿宋_GB2312" w:eastAsia="仿宋_GB2312"/>
          <w:sz w:val="28"/>
          <w:szCs w:val="28"/>
        </w:rPr>
        <w:t>行政事业单位养老支出（款）事业单位离退休</w:t>
      </w:r>
      <w:r>
        <w:rPr>
          <w:rFonts w:hint="eastAsia" w:ascii="仿宋_GB2312" w:eastAsia="仿宋_GB2312"/>
          <w:sz w:val="28"/>
          <w:szCs w:val="28"/>
          <w:lang w:eastAsia="zh-CN"/>
        </w:rPr>
        <w:t>（项）</w:t>
      </w:r>
      <w:r>
        <w:rPr>
          <w:rFonts w:ascii="仿宋_GB2312" w:eastAsia="仿宋_GB2312"/>
          <w:sz w:val="28"/>
          <w:szCs w:val="28"/>
        </w:rPr>
        <w:t>：</w:t>
      </w:r>
      <w:r>
        <w:rPr>
          <w:rFonts w:hint="eastAsia" w:ascii="仿宋_GB2312" w:eastAsia="仿宋_GB2312"/>
          <w:sz w:val="28"/>
          <w:szCs w:val="28"/>
          <w:lang w:eastAsia="zh-CN"/>
        </w:rPr>
        <w:t>反映事业单位开支的离退休经费。</w:t>
      </w:r>
    </w:p>
    <w:p>
      <w:pPr>
        <w:ind w:firstLine="560" w:firstLineChars="200"/>
      </w:pP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lang w:eastAsia="zh-CN"/>
        </w:rPr>
        <w:t>社会保障和就业支出（类）</w:t>
      </w:r>
      <w:r>
        <w:rPr>
          <w:rFonts w:hint="eastAsia" w:ascii="仿宋_GB2312" w:eastAsia="仿宋_GB2312"/>
          <w:sz w:val="28"/>
          <w:szCs w:val="28"/>
        </w:rPr>
        <w:t>行政事业单位养老支出（款）机关事业单位基本养老保险缴费支出</w:t>
      </w:r>
      <w:r>
        <w:rPr>
          <w:rFonts w:hint="eastAsia" w:ascii="仿宋_GB2312" w:eastAsia="仿宋_GB2312"/>
          <w:sz w:val="28"/>
          <w:szCs w:val="28"/>
          <w:lang w:eastAsia="zh-CN"/>
        </w:rPr>
        <w:t>（项）：反映机关事业单位实施养老保险制度由单位缴纳的基本养老保险费支出。</w:t>
      </w:r>
    </w:p>
    <w:p>
      <w:pPr>
        <w:ind w:firstLine="560" w:firstLineChars="200"/>
      </w:pPr>
      <w:r>
        <w:rPr>
          <w:rFonts w:hint="eastAsia" w:ascii="仿宋_GB2312" w:eastAsia="仿宋_GB2312"/>
          <w:sz w:val="28"/>
          <w:szCs w:val="28"/>
          <w:lang w:val="en-US" w:eastAsia="zh-CN"/>
        </w:rPr>
        <w:t>10.</w:t>
      </w:r>
      <w:r>
        <w:rPr>
          <w:rFonts w:hint="eastAsia" w:ascii="仿宋_GB2312" w:eastAsia="仿宋_GB2312"/>
          <w:sz w:val="28"/>
          <w:szCs w:val="28"/>
          <w:lang w:eastAsia="zh-CN"/>
        </w:rPr>
        <w:t>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卫生健康支出（类）</w:t>
      </w:r>
      <w:r>
        <w:rPr>
          <w:rFonts w:hint="eastAsia" w:ascii="仿宋_GB2312" w:eastAsia="仿宋_GB2312"/>
          <w:sz w:val="28"/>
          <w:szCs w:val="28"/>
          <w:highlight w:val="none"/>
        </w:rPr>
        <w:t>行政事业单位医疗(</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)事业单位医疗</w:t>
      </w:r>
      <w:r>
        <w:rPr>
          <w:rFonts w:hint="eastAsia" w:ascii="仿宋_GB2312" w:eastAsia="仿宋_GB2312"/>
          <w:sz w:val="28"/>
          <w:szCs w:val="28"/>
          <w:highlight w:val="none"/>
          <w:lang w:eastAsia="zh-CN"/>
        </w:rPr>
        <w:t>（项）</w:t>
      </w:r>
      <w:r>
        <w:rPr>
          <w:rFonts w:ascii="仿宋_GB2312" w:eastAsia="仿宋_GB2312"/>
          <w:sz w:val="28"/>
          <w:szCs w:val="28"/>
        </w:rPr>
        <w:t>：</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ascii="仿宋_GB2312" w:eastAsia="仿宋_GB2312"/>
          <w:sz w:val="28"/>
          <w:szCs w:val="28"/>
        </w:rPr>
        <w:t>.</w:t>
      </w:r>
      <w:r>
        <w:rPr>
          <w:rFonts w:hint="eastAsia" w:ascii="仿宋_GB2312" w:eastAsia="仿宋_GB2312"/>
          <w:sz w:val="28"/>
          <w:szCs w:val="28"/>
          <w:lang w:eastAsia="zh-CN"/>
        </w:rPr>
        <w:t>自然资源海洋气象等支出（类）</w:t>
      </w:r>
      <w:r>
        <w:rPr>
          <w:rFonts w:hint="eastAsia" w:ascii="仿宋_GB2312" w:eastAsia="仿宋_GB2312"/>
          <w:sz w:val="28"/>
          <w:szCs w:val="28"/>
        </w:rPr>
        <w:t>自然资源事务（款）</w:t>
      </w:r>
      <w:r>
        <w:rPr>
          <w:rFonts w:hint="eastAsia" w:ascii="仿宋_GB2312" w:eastAsia="仿宋_GB2312"/>
          <w:sz w:val="28"/>
          <w:szCs w:val="28"/>
          <w:lang w:eastAsia="zh-CN"/>
        </w:rPr>
        <w:t>事业运行（项）</w:t>
      </w:r>
      <w:r>
        <w:rPr>
          <w:rFonts w:ascii="仿宋_GB2312" w:eastAsia="仿宋_GB2312"/>
          <w:sz w:val="28"/>
          <w:szCs w:val="28"/>
        </w:rPr>
        <w:t>：</w:t>
      </w:r>
      <w:r>
        <w:rPr>
          <w:rFonts w:hint="eastAsia" w:ascii="仿宋_GB2312" w:eastAsia="仿宋_GB2312"/>
          <w:sz w:val="28"/>
          <w:szCs w:val="28"/>
          <w:lang w:eastAsia="zh-CN"/>
        </w:rPr>
        <w:t>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ascii="仿宋_GB2312" w:eastAsia="仿宋_GB2312"/>
          <w:sz w:val="28"/>
          <w:szCs w:val="28"/>
        </w:rPr>
        <w:t>.</w:t>
      </w:r>
      <w:r>
        <w:rPr>
          <w:rFonts w:hint="eastAsia" w:ascii="仿宋_GB2312" w:eastAsia="仿宋_GB2312"/>
          <w:sz w:val="28"/>
          <w:szCs w:val="28"/>
          <w:lang w:eastAsia="zh-CN"/>
        </w:rPr>
        <w:t>自然资源海洋气象等支出（类）</w:t>
      </w:r>
      <w:r>
        <w:rPr>
          <w:rFonts w:hint="eastAsia" w:ascii="仿宋_GB2312" w:eastAsia="仿宋_GB2312"/>
          <w:sz w:val="28"/>
          <w:szCs w:val="28"/>
        </w:rPr>
        <w:t>自然资源事务（款）</w:t>
      </w:r>
      <w:r>
        <w:rPr>
          <w:rFonts w:hint="eastAsia" w:ascii="仿宋_GB2312" w:eastAsia="仿宋_GB2312"/>
          <w:sz w:val="28"/>
          <w:szCs w:val="28"/>
          <w:lang w:eastAsia="zh-CN"/>
        </w:rPr>
        <w:t>其他自然资源事务支出（项）</w:t>
      </w:r>
      <w:r>
        <w:rPr>
          <w:rFonts w:ascii="仿宋_GB2312" w:eastAsia="仿宋_GB2312"/>
          <w:sz w:val="28"/>
          <w:szCs w:val="28"/>
        </w:rPr>
        <w:t>：</w:t>
      </w:r>
      <w:r>
        <w:rPr>
          <w:rFonts w:hint="eastAsia" w:ascii="仿宋_GB2312" w:eastAsia="仿宋_GB2312"/>
          <w:sz w:val="28"/>
          <w:szCs w:val="28"/>
          <w:lang w:eastAsia="zh-CN"/>
        </w:rPr>
        <w:t>反映其他用于自然资源事务方面的支出。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bookmarkStart w:id="0" w:name="_GoBack"/>
      <w:bookmarkEnd w:id="0"/>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2D6F18"/>
    <w:rsid w:val="167A2FF9"/>
    <w:rsid w:val="18581C69"/>
    <w:rsid w:val="1AEC0734"/>
    <w:rsid w:val="1DEF20B0"/>
    <w:rsid w:val="214243FA"/>
    <w:rsid w:val="21AD613C"/>
    <w:rsid w:val="22467189"/>
    <w:rsid w:val="257A14F5"/>
    <w:rsid w:val="27196C26"/>
    <w:rsid w:val="297766F4"/>
    <w:rsid w:val="29EF086F"/>
    <w:rsid w:val="2EFFE297"/>
    <w:rsid w:val="301437CA"/>
    <w:rsid w:val="349D1F0A"/>
    <w:rsid w:val="34DD0473"/>
    <w:rsid w:val="38971A32"/>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F7E2BDB"/>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147</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2025-09-01T03:25:00Z</cp:lastPrinted>
  <dcterms:modified xsi:type="dcterms:W3CDTF">2025-09-02T00:57:55Z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