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hint="eastAsia" w:ascii="黑体" w:eastAsia="黑体"/>
          <w:sz w:val="52"/>
          <w:szCs w:val="52"/>
          <w:lang w:eastAsia="zh-CN"/>
        </w:rPr>
      </w:pPr>
      <w:r>
        <w:rPr>
          <w:rFonts w:hint="eastAsia" w:ascii="黑体" w:eastAsia="黑体"/>
          <w:sz w:val="52"/>
          <w:szCs w:val="52"/>
          <w:lang w:val="en-US" w:eastAsia="zh-CN"/>
        </w:rPr>
        <w:t xml:space="preserve"> </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hint="eastAsia" w:ascii="宋体" w:hAnsi="宋体" w:cs="宋体"/>
          <w:b/>
          <w:bCs/>
          <w:kern w:val="0"/>
          <w:sz w:val="44"/>
          <w:szCs w:val="36"/>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rFonts w:hint="default" w:eastAsia="仿宋_GB2312"/>
          <w:b w:val="0"/>
          <w:bCs w:val="0"/>
          <w:lang w:val="en-US" w:eastAsia="zh-CN"/>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9"/>
        <w:widowControl/>
        <w:snapToGrid w:val="0"/>
        <w:spacing w:before="0" w:beforeAutospacing="0" w:after="0" w:afterAutospacing="0" w:line="560" w:lineRule="exact"/>
        <w:ind w:right="0" w:firstLine="560" w:firstLineChars="200"/>
        <w:rPr>
          <w:rFonts w:ascii="仿宋_GB2312" w:hAnsi="仿宋_GB2312" w:eastAsia="仿宋_GB2312" w:cs="仿宋_GB2312"/>
          <w:b w:val="0"/>
          <w:kern w:val="2"/>
          <w:sz w:val="28"/>
          <w:szCs w:val="28"/>
        </w:rPr>
      </w:pPr>
      <w:r>
        <w:rPr>
          <w:rFonts w:hint="eastAsia" w:ascii="仿宋_GB2312" w:hAnsi="仿宋_GB2312" w:eastAsia="仿宋_GB2312" w:cs="仿宋_GB2312"/>
          <w:b w:val="0"/>
          <w:kern w:val="2"/>
          <w:sz w:val="28"/>
          <w:szCs w:val="28"/>
        </w:rPr>
        <w:t>根据《中共北京市委机构编制委员会办公室关于印发北京市规划和自然资源委员会区分局职能配置、内设机构和人员编制规定的通知》（京编办发〔2019〕17号），分局现设办公室、法制科（信访与信息公开科）、规划编制与城市设计科、规划实施与土地利用科、市政交通科、综合审批科（规划土地核验科）、自然资源调查监测科、自然资源保护科、自然资源所有者权益科、财务科、机关党委（党建工作科、人事科）、纪检办公室、国土空间修复科等13个内设科室。根据《中共北京市规划和自然资源委员会党组关于做好我委执法机构更名相关工作的通知》（京规自党发〔2019〕125号）， 分局所属行政执法机构</w:t>
      </w:r>
      <w:r>
        <w:rPr>
          <w:rFonts w:hint="eastAsia" w:ascii="仿宋_GB2312" w:hAnsi="仿宋_GB2312" w:eastAsia="仿宋_GB2312" w:cs="仿宋_GB2312"/>
          <w:b w:val="0"/>
          <w:kern w:val="2"/>
          <w:sz w:val="28"/>
          <w:szCs w:val="28"/>
          <w:lang w:val="en-US" w:eastAsia="zh-CN"/>
        </w:rPr>
        <w:t>1个，为</w:t>
      </w:r>
      <w:r>
        <w:rPr>
          <w:rFonts w:hint="eastAsia" w:ascii="仿宋_GB2312" w:hAnsi="仿宋_GB2312" w:eastAsia="仿宋_GB2312" w:cs="仿宋_GB2312"/>
          <w:b w:val="0"/>
          <w:kern w:val="2"/>
          <w:sz w:val="28"/>
          <w:szCs w:val="28"/>
        </w:rPr>
        <w:t>执法队。参照公务员法管理的事业单位1个，为北京市密云区不动产登记事务中心；全额拨款事业单位1个，为北京市密云区规划和自然资源综合事务中心。</w:t>
      </w:r>
    </w:p>
    <w:p>
      <w:pPr>
        <w:pStyle w:val="2"/>
        <w:snapToGrid w:val="0"/>
        <w:spacing w:beforeAutospacing="0" w:afterAutospacing="0" w:line="560" w:lineRule="exact"/>
        <w:ind w:firstLine="560" w:firstLineChars="200"/>
        <w:rPr>
          <w:rFonts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rPr>
        <w:t>分局主要职责包括：</w:t>
      </w:r>
    </w:p>
    <w:p>
      <w:pPr>
        <w:pStyle w:val="2"/>
        <w:snapToGrid w:val="0"/>
        <w:spacing w:beforeAutospacing="0" w:afterAutospacing="0" w:line="560" w:lineRule="exact"/>
        <w:ind w:firstLine="560" w:firstLineChars="200"/>
        <w:rPr>
          <w:rFonts w:ascii="仿宋_GB2312" w:hAnsi="仿宋_GB2312" w:eastAsia="仿宋_GB2312" w:cs="仿宋_GB2312"/>
          <w:b w:val="0"/>
          <w:bCs w:val="0"/>
          <w:kern w:val="2"/>
          <w:sz w:val="28"/>
          <w:szCs w:val="28"/>
        </w:rPr>
      </w:pPr>
      <w:r>
        <w:rPr>
          <w:rFonts w:hint="eastAsia" w:ascii="仿宋_GB2312" w:hAnsi="仿宋_GB2312" w:eastAsia="仿宋_GB2312" w:cs="仿宋_GB2312"/>
          <w:b w:val="0"/>
          <w:bCs w:val="0"/>
          <w:kern w:val="2"/>
          <w:sz w:val="28"/>
          <w:szCs w:val="28"/>
        </w:rPr>
        <w:t>（1）履行本区全民所有土地、矿产、森林、湿地、水等自然资源资产所有者职责和所有国土空间用途管制职责。贯彻落实国家关于自然资源和国土空间规划及测绘、勘察设计管理等方面的法律、法规、规章和政策，起草相关地方性法规、政府规章草案，制定相关管理规范和技术标准并监督检查执行情况。</w:t>
      </w:r>
    </w:p>
    <w:p>
      <w:pPr>
        <w:snapToGrid w:val="0"/>
        <w:spacing w:line="560" w:lineRule="exact"/>
        <w:ind w:firstLine="555"/>
        <w:rPr>
          <w:rFonts w:ascii="仿宋_GB2312" w:hAnsi="仿宋_GB2312" w:eastAsia="仿宋_GB2312" w:cs="仿宋_GB2312"/>
          <w:sz w:val="28"/>
          <w:szCs w:val="28"/>
        </w:rPr>
      </w:pPr>
      <w:r>
        <w:rPr>
          <w:rFonts w:hint="eastAsia" w:ascii="仿宋_GB2312" w:hAnsi="仿宋_GB2312" w:eastAsia="仿宋_GB2312" w:cs="仿宋_GB2312"/>
          <w:sz w:val="28"/>
          <w:szCs w:val="28"/>
        </w:rPr>
        <w:t>（2）负责建立本区空间规划体系。推进主体功能区战略和制度，组织编制国土空间规划和北京历史文化名城保护、公共服务、公共安全设施、城市基础设施、城市地下空间等专项规划。组织划定生态保护红线、永久基本农田、城镇开发边界等控制线，构建节约资源和保护环境的生产、生活、生态空间布局。开展国土空间开发适宜性评价，建立国土空间规划实施监测、评估和预警体系及城市体检评估机制。负责城市设计工作。负责城市雕塑和公共空间景观风貌规划管理工作。</w:t>
      </w:r>
    </w:p>
    <w:p>
      <w:pPr>
        <w:snapToGrid w:val="0"/>
        <w:spacing w:line="560" w:lineRule="exact"/>
        <w:ind w:firstLine="555"/>
        <w:rPr>
          <w:rFonts w:ascii="仿宋_GB2312" w:hAnsi="仿宋_GB2312" w:eastAsia="仿宋_GB2312" w:cs="仿宋_GB2312"/>
          <w:sz w:val="28"/>
          <w:szCs w:val="28"/>
        </w:rPr>
      </w:pPr>
      <w:r>
        <w:rPr>
          <w:rFonts w:hint="eastAsia" w:ascii="仿宋_GB2312" w:hAnsi="仿宋_GB2312" w:eastAsia="仿宋_GB2312" w:cs="仿宋_GB2312"/>
          <w:sz w:val="28"/>
          <w:szCs w:val="28"/>
        </w:rPr>
        <w:t>（3）负责本区国土空间用途管制。建立健全国土空间用途管制制度，研究拟订城乡规划政策并监督实施。组织拟订并实施土地等自然资源年度利用计划。负责工程建设项目规划和用地管理相关工作。负责国土空间用途转用工作。负责土地征收征用管理。</w:t>
      </w:r>
    </w:p>
    <w:p>
      <w:pPr>
        <w:snapToGrid w:val="0"/>
        <w:spacing w:line="560" w:lineRule="exact"/>
        <w:ind w:firstLine="555"/>
        <w:rPr>
          <w:rFonts w:ascii="仿宋_GB2312" w:hAnsi="仿宋_GB2312" w:eastAsia="仿宋_GB2312" w:cs="仿宋_GB2312"/>
          <w:sz w:val="28"/>
          <w:szCs w:val="28"/>
        </w:rPr>
      </w:pPr>
      <w:r>
        <w:rPr>
          <w:rFonts w:hint="eastAsia" w:ascii="仿宋_GB2312" w:hAnsi="仿宋_GB2312" w:eastAsia="仿宋_GB2312" w:cs="仿宋_GB2312"/>
          <w:sz w:val="28"/>
          <w:szCs w:val="28"/>
        </w:rPr>
        <w:t>（4）负责本区自然资源调查监测评价。制定自然资源调查监测评价的指标体系和统计标准，建立统一规范的自然资源调查监测评价制度。实施自然资源基础调查、专项调查和监测。负责自然资源调查监测评价成果的监督管理和信息发布。</w:t>
      </w:r>
    </w:p>
    <w:p>
      <w:pPr>
        <w:snapToGrid w:val="0"/>
        <w:spacing w:line="560" w:lineRule="exact"/>
        <w:ind w:firstLine="555"/>
        <w:rPr>
          <w:rFonts w:ascii="仿宋_GB2312" w:hAnsi="仿宋_GB2312" w:eastAsia="仿宋_GB2312" w:cs="仿宋_GB2312"/>
          <w:sz w:val="28"/>
          <w:szCs w:val="28"/>
        </w:rPr>
      </w:pPr>
      <w:r>
        <w:rPr>
          <w:rFonts w:hint="eastAsia" w:ascii="仿宋_GB2312" w:hAnsi="仿宋_GB2312" w:eastAsia="仿宋_GB2312" w:cs="仿宋_GB2312"/>
          <w:sz w:val="28"/>
          <w:szCs w:val="28"/>
        </w:rPr>
        <w:t>（5）负责本区自然资源统一确权登记工作。制定各类自然资源和不动产统一确权登记、权籍调查、不动产测绘、争议调处、成果应用的制度和规范。建立健全自然资源和不动产登记信息管理基础平台。负责自然资源和不动产登记资料收集、整理、共享、汇交管理等。依法调处相关权属纠纷。</w:t>
      </w:r>
    </w:p>
    <w:p>
      <w:pPr>
        <w:snapToGrid w:val="0"/>
        <w:spacing w:line="560" w:lineRule="exact"/>
        <w:ind w:firstLine="555"/>
        <w:rPr>
          <w:rFonts w:ascii="仿宋_GB2312" w:hAnsi="仿宋_GB2312" w:eastAsia="仿宋_GB2312" w:cs="仿宋_GB2312"/>
          <w:sz w:val="28"/>
          <w:szCs w:val="28"/>
        </w:rPr>
      </w:pPr>
      <w:r>
        <w:rPr>
          <w:rFonts w:hint="eastAsia" w:ascii="仿宋_GB2312" w:hAnsi="仿宋_GB2312" w:eastAsia="仿宋_GB2312" w:cs="仿宋_GB2312"/>
          <w:sz w:val="28"/>
          <w:szCs w:val="28"/>
        </w:rPr>
        <w:t>（6）负责本区自然资源资产有偿使用工作。建立全民所有自然资源资产统计制度，负责全民所有自然资源资产核算。编制全民所有自然资源资产负债表，拟订考核标准。制定全民所有自然资源资产划拨、出让、租赁、作价出资和土地储备政策，合理配置全民所有自然资源资产。负责自然资源资产价值评估管理，依法收缴相关资产收益。</w:t>
      </w:r>
    </w:p>
    <w:p>
      <w:pPr>
        <w:snapToGrid w:val="0"/>
        <w:spacing w:line="560" w:lineRule="exact"/>
        <w:ind w:firstLine="555"/>
        <w:rPr>
          <w:rFonts w:ascii="仿宋_GB2312" w:hAnsi="仿宋_GB2312" w:eastAsia="仿宋_GB2312" w:cs="仿宋_GB2312"/>
          <w:sz w:val="28"/>
          <w:szCs w:val="28"/>
        </w:rPr>
      </w:pPr>
      <w:r>
        <w:rPr>
          <w:rFonts w:hint="eastAsia" w:ascii="仿宋_GB2312" w:hAnsi="仿宋_GB2312" w:eastAsia="仿宋_GB2312" w:cs="仿宋_GB2312"/>
          <w:sz w:val="28"/>
          <w:szCs w:val="28"/>
        </w:rPr>
        <w:t>（7）负责本区自然资源的合理开发利用。组织拟订自然资源发展规划和战略，制定自然资源开发利用标准并组织实施，建立政府公示自然资源价格体系，组织开展自然资源分等定级价格评估，开展自然资源利用评价考核，指导节约集约利用。负责自然资源市场监管。组织研究自然资源管理涉及宏观调控、区域协调和城乡统筹的政策措施。</w:t>
      </w:r>
    </w:p>
    <w:p>
      <w:pPr>
        <w:snapToGrid w:val="0"/>
        <w:spacing w:line="560" w:lineRule="exact"/>
        <w:ind w:firstLine="555"/>
        <w:rPr>
          <w:rFonts w:ascii="仿宋_GB2312" w:hAnsi="仿宋_GB2312" w:eastAsia="仿宋_GB2312" w:cs="仿宋_GB2312"/>
          <w:sz w:val="28"/>
          <w:szCs w:val="28"/>
        </w:rPr>
      </w:pPr>
      <w:r>
        <w:rPr>
          <w:rFonts w:hint="eastAsia" w:ascii="仿宋_GB2312" w:hAnsi="仿宋_GB2312" w:eastAsia="仿宋_GB2312" w:cs="仿宋_GB2312"/>
          <w:sz w:val="28"/>
          <w:szCs w:val="28"/>
        </w:rPr>
        <w:t>（8）负责统筹本区国土空间生态修复。牵头组织编制本区国土空间生态修复规划并实施有关生态修复工程。负责国土空间综合整治、土地整理复垦、矿山地质环境恢复治理等工作。牵头建立和实施生态保护补偿制度，制定合理利用社会资金进行生态修复的政策措施，提出备选项目。</w:t>
      </w:r>
    </w:p>
    <w:p>
      <w:pPr>
        <w:snapToGrid w:val="0"/>
        <w:spacing w:line="560" w:lineRule="exact"/>
        <w:ind w:firstLine="555"/>
        <w:rPr>
          <w:rFonts w:ascii="仿宋_GB2312" w:hAnsi="仿宋_GB2312" w:eastAsia="仿宋_GB2312" w:cs="仿宋_GB2312"/>
          <w:sz w:val="28"/>
          <w:szCs w:val="28"/>
        </w:rPr>
      </w:pPr>
      <w:r>
        <w:rPr>
          <w:rFonts w:hint="eastAsia" w:ascii="仿宋_GB2312" w:hAnsi="仿宋_GB2312" w:eastAsia="仿宋_GB2312" w:cs="仿宋_GB2312"/>
          <w:sz w:val="28"/>
          <w:szCs w:val="28"/>
        </w:rPr>
        <w:t>（9）负责组织实施最严格的耕地保护制度。牵头拟订并实施本区耕地保护政策，负责耕地数量、质量、生态保护。组织实施耕地保护责任目标考核和永久基本农田特殊保护。完善耕地占补平衡制度，监督占用耕地补偿制度执行情况。</w:t>
      </w:r>
    </w:p>
    <w:p>
      <w:pPr>
        <w:snapToGrid w:val="0"/>
        <w:spacing w:line="560" w:lineRule="exact"/>
        <w:ind w:firstLine="555"/>
        <w:rPr>
          <w:rFonts w:ascii="仿宋_GB2312" w:hAnsi="仿宋_GB2312" w:eastAsia="仿宋_GB2312" w:cs="仿宋_GB2312"/>
          <w:sz w:val="28"/>
          <w:szCs w:val="28"/>
        </w:rPr>
      </w:pPr>
      <w:r>
        <w:rPr>
          <w:rFonts w:hint="eastAsia" w:ascii="仿宋_GB2312" w:hAnsi="仿宋_GB2312" w:eastAsia="仿宋_GB2312" w:cs="仿宋_GB2312"/>
          <w:sz w:val="28"/>
          <w:szCs w:val="28"/>
        </w:rPr>
        <w:t>（10）负责本区地质灾害预防和治理。落实综合防灾减灾规划相关要求，组织编制地质灾害防治规划和防护标准并指导实施。组织指导协调和监督地质灾害调查评价及隐患的普查、详查、排查。指导开展群测群防、专业监测和预报预警等工作，指导开展地质灾害工程治理工作。承担地质灾害应急救援的技术支撑工作。 </w:t>
      </w:r>
    </w:p>
    <w:p>
      <w:pPr>
        <w:snapToGrid w:val="0"/>
        <w:spacing w:line="560" w:lineRule="exact"/>
        <w:ind w:firstLine="555"/>
        <w:rPr>
          <w:rFonts w:ascii="仿宋_GB2312" w:hAnsi="仿宋_GB2312" w:eastAsia="仿宋_GB2312" w:cs="仿宋_GB2312"/>
          <w:sz w:val="28"/>
          <w:szCs w:val="28"/>
        </w:rPr>
      </w:pPr>
      <w:r>
        <w:rPr>
          <w:rFonts w:hint="eastAsia" w:ascii="仿宋_GB2312" w:hAnsi="仿宋_GB2312" w:eastAsia="仿宋_GB2312" w:cs="仿宋_GB2312"/>
          <w:sz w:val="28"/>
          <w:szCs w:val="28"/>
        </w:rPr>
        <w:t>（11）负责本区地质勘查和矿产资源管理工作。编制地质勘查规划并监督检查执行情况。管理地质勘查项目。监督管理地下水过量开采及引发的地面沉降等地质问题。负责古生物化石的监督管理。负责矿产资源储量管理。负责矿业权管理。监督矿产资源合理利用和保护。</w:t>
      </w:r>
    </w:p>
    <w:p>
      <w:pPr>
        <w:snapToGrid w:val="0"/>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12）负责本区勘察设计和测绘地理信息管理工作。负责勘察设计和基础测绘、测绘行业管理。负责勘察设计和测绘资质资格与信用管理，监督管理勘察设计科技促进、质量安全和市场秩序。监督管理测绘地理信息安全和和市场秩序。负责地理信息公共服务管理。负责测量标志保护。负责地名管理。</w:t>
      </w:r>
    </w:p>
    <w:p>
      <w:pPr>
        <w:snapToGrid w:val="0"/>
        <w:spacing w:line="560" w:lineRule="exact"/>
        <w:ind w:firstLine="555"/>
        <w:rPr>
          <w:rFonts w:ascii="仿宋_GB2312" w:hAnsi="仿宋_GB2312" w:eastAsia="仿宋_GB2312" w:cs="仿宋_GB2312"/>
          <w:sz w:val="28"/>
          <w:szCs w:val="28"/>
        </w:rPr>
      </w:pPr>
      <w:r>
        <w:rPr>
          <w:rFonts w:hint="eastAsia" w:ascii="仿宋_GB2312" w:hAnsi="仿宋_GB2312" w:eastAsia="仿宋_GB2312" w:cs="仿宋_GB2312"/>
          <w:sz w:val="28"/>
          <w:szCs w:val="28"/>
        </w:rPr>
        <w:t>（13）推动本区自然资源领域科技发展。制定并实施自然资源领域科技创新发展规划和计划。推进自然资源信息化和信息资料的公共服务，统筹管理自然资源和国土空间规划相关数据。负责自然资源和国土空间规划相关档案的监督和管理工作。</w:t>
      </w:r>
    </w:p>
    <w:p>
      <w:pPr>
        <w:snapToGrid w:val="0"/>
        <w:spacing w:line="560" w:lineRule="exact"/>
        <w:ind w:firstLine="555"/>
        <w:rPr>
          <w:rFonts w:ascii="仿宋_GB2312" w:hAnsi="仿宋_GB2312" w:eastAsia="仿宋_GB2312" w:cs="仿宋_GB2312"/>
          <w:sz w:val="28"/>
          <w:szCs w:val="28"/>
        </w:rPr>
      </w:pPr>
      <w:r>
        <w:rPr>
          <w:rFonts w:hint="eastAsia" w:ascii="仿宋_GB2312" w:hAnsi="仿宋_GB2312" w:eastAsia="仿宋_GB2312" w:cs="仿宋_GB2312"/>
          <w:sz w:val="28"/>
          <w:szCs w:val="28"/>
        </w:rPr>
        <w:t>（14）承担首都规划建设委员会和北京历史文化名城保护委员会的具体工作。承担研究、论证本区城乡规划建设发展重大问题的基础工作。承担向党中央、国务院请示报告首都规划建设重大事项相关工作。</w:t>
      </w:r>
    </w:p>
    <w:p>
      <w:pPr>
        <w:snapToGrid w:val="0"/>
        <w:spacing w:line="560" w:lineRule="exact"/>
        <w:ind w:firstLine="560" w:firstLineChars="200"/>
      </w:pPr>
      <w:r>
        <w:rPr>
          <w:rFonts w:hint="eastAsia" w:ascii="仿宋_GB2312" w:hAnsi="仿宋_GB2312" w:eastAsia="仿宋_GB2312" w:cs="仿宋_GB2312"/>
          <w:sz w:val="28"/>
          <w:szCs w:val="28"/>
        </w:rPr>
        <w:t>（15）负责本区自然资源和国土空间规划管理的督察工作。依法承担工程建设项目的规划核验。查处自然资源开发利用和国土空间规划及勘察设计、测绘违法案件。</w:t>
      </w:r>
    </w:p>
    <w:p>
      <w:pPr>
        <w:tabs>
          <w:tab w:val="center" w:pos="6979"/>
        </w:tabs>
        <w:spacing w:line="580" w:lineRule="exact"/>
        <w:rPr>
          <w:rFonts w:hint="eastAsia" w:ascii="黑体" w:eastAsia="黑体"/>
          <w:b/>
          <w:sz w:val="28"/>
          <w:szCs w:val="28"/>
          <w:lang w:val="en-US" w:eastAsia="zh-CN"/>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13440.02</w:t>
      </w:r>
      <w:r>
        <w:rPr>
          <w:rFonts w:hint="eastAsia" w:ascii="仿宋_GB2312" w:eastAsia="仿宋_GB2312"/>
          <w:sz w:val="28"/>
          <w:szCs w:val="28"/>
        </w:rPr>
        <w:t>万元，</w:t>
      </w:r>
      <w:r>
        <w:rPr>
          <w:rFonts w:hint="eastAsia" w:ascii="仿宋_GB2312" w:eastAsia="仿宋_GB2312"/>
          <w:sz w:val="28"/>
          <w:szCs w:val="28"/>
          <w:lang w:eastAsia="zh-CN"/>
        </w:rPr>
        <w:t>完成年初预算的85.55%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11033.92</w:t>
      </w:r>
      <w:r>
        <w:rPr>
          <w:rFonts w:hint="eastAsia" w:ascii="仿宋_GB2312" w:eastAsia="仿宋_GB2312"/>
          <w:sz w:val="28"/>
          <w:szCs w:val="28"/>
        </w:rPr>
        <w:t>万元，</w:t>
      </w:r>
      <w:r>
        <w:rPr>
          <w:rFonts w:hint="eastAsia" w:ascii="仿宋_GB2312" w:eastAsia="仿宋_GB2312"/>
          <w:sz w:val="28"/>
          <w:szCs w:val="28"/>
          <w:lang w:eastAsia="zh-CN"/>
        </w:rPr>
        <w:t>完成年初预算的71.21%。</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10272.15</w:t>
      </w:r>
      <w:r>
        <w:rPr>
          <w:rFonts w:hint="eastAsia" w:ascii="仿宋_GB2312" w:eastAsia="仿宋_GB2312"/>
          <w:sz w:val="28"/>
          <w:szCs w:val="28"/>
        </w:rPr>
        <w:t>万元，占收入合计的</w:t>
      </w:r>
      <w:r>
        <w:rPr>
          <w:rFonts w:hint="eastAsia" w:ascii="仿宋_GB2312" w:eastAsia="仿宋_GB2312"/>
          <w:sz w:val="28"/>
          <w:szCs w:val="28"/>
          <w:lang w:eastAsia="zh-CN"/>
        </w:rPr>
        <w:t>93.1%。</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10021.86</w:t>
      </w:r>
      <w:r>
        <w:rPr>
          <w:rFonts w:hint="eastAsia" w:ascii="仿宋_GB2312" w:eastAsia="仿宋_GB2312"/>
          <w:sz w:val="28"/>
          <w:szCs w:val="28"/>
        </w:rPr>
        <w:t>万元，占收入合计的</w:t>
      </w:r>
      <w:r>
        <w:rPr>
          <w:rFonts w:hint="eastAsia" w:ascii="仿宋_GB2312" w:eastAsia="仿宋_GB2312"/>
          <w:sz w:val="28"/>
          <w:szCs w:val="28"/>
          <w:lang w:eastAsia="zh-CN"/>
        </w:rPr>
        <w:t>90.83</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250.28</w:t>
      </w:r>
      <w:r>
        <w:rPr>
          <w:rFonts w:hint="eastAsia" w:ascii="仿宋_GB2312" w:eastAsia="仿宋_GB2312"/>
          <w:sz w:val="28"/>
          <w:szCs w:val="28"/>
        </w:rPr>
        <w:t>万元，占收入合计的</w:t>
      </w:r>
      <w:r>
        <w:rPr>
          <w:rFonts w:hint="eastAsia" w:ascii="仿宋_GB2312" w:eastAsia="仿宋_GB2312"/>
          <w:sz w:val="28"/>
          <w:szCs w:val="28"/>
          <w:lang w:eastAsia="zh-CN"/>
        </w:rPr>
        <w:t>2.27</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761.78</w:t>
      </w:r>
      <w:r>
        <w:rPr>
          <w:rFonts w:hint="eastAsia" w:ascii="仿宋_GB2312" w:eastAsia="仿宋_GB2312"/>
          <w:sz w:val="28"/>
          <w:szCs w:val="28"/>
        </w:rPr>
        <w:t>万元，占收入合计的</w:t>
      </w:r>
      <w:r>
        <w:rPr>
          <w:rFonts w:hint="eastAsia" w:ascii="仿宋_GB2312" w:eastAsia="仿宋_GB2312"/>
          <w:sz w:val="28"/>
          <w:szCs w:val="28"/>
          <w:lang w:eastAsia="zh-CN"/>
        </w:rPr>
        <w:t>6.9</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114300" distR="114300">
            <wp:extent cx="4572000" cy="2743200"/>
            <wp:effectExtent l="4445" t="4445" r="13335" b="9525"/>
            <wp:docPr id="1"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11991.77</w:t>
      </w:r>
      <w:r>
        <w:rPr>
          <w:rFonts w:hint="eastAsia" w:ascii="仿宋_GB2312" w:eastAsia="仿宋_GB2312"/>
          <w:sz w:val="28"/>
          <w:szCs w:val="28"/>
        </w:rPr>
        <w:t>万元，</w:t>
      </w:r>
      <w:r>
        <w:rPr>
          <w:rFonts w:hint="eastAsia" w:ascii="仿宋_GB2312" w:eastAsia="仿宋_GB2312"/>
          <w:sz w:val="28"/>
          <w:szCs w:val="28"/>
          <w:lang w:eastAsia="zh-CN"/>
        </w:rPr>
        <w:t>完成年初预算的76.33%</w:t>
      </w:r>
      <w:r>
        <w:rPr>
          <w:rFonts w:hint="eastAsia" w:ascii="仿宋_GB2312" w:eastAsia="仿宋_GB2312"/>
          <w:sz w:val="28"/>
          <w:szCs w:val="28"/>
        </w:rPr>
        <w:t>，其中：基本支出</w:t>
      </w:r>
      <w:r>
        <w:rPr>
          <w:rFonts w:ascii="仿宋_GB2312" w:eastAsia="仿宋_GB2312"/>
          <w:sz w:val="28"/>
          <w:szCs w:val="28"/>
        </w:rPr>
        <w:t>6198.91</w:t>
      </w:r>
      <w:r>
        <w:rPr>
          <w:rFonts w:hint="eastAsia" w:ascii="仿宋_GB2312" w:eastAsia="仿宋_GB2312"/>
          <w:sz w:val="28"/>
          <w:szCs w:val="28"/>
        </w:rPr>
        <w:t>万元，占支出合计的</w:t>
      </w:r>
      <w:r>
        <w:rPr>
          <w:rFonts w:hint="eastAsia" w:ascii="仿宋_GB2312" w:eastAsia="仿宋_GB2312"/>
          <w:sz w:val="28"/>
          <w:szCs w:val="28"/>
          <w:lang w:eastAsia="zh-CN"/>
        </w:rPr>
        <w:t>51.69</w:t>
      </w:r>
      <w:r>
        <w:rPr>
          <w:rFonts w:hint="eastAsia" w:ascii="仿宋_GB2312" w:eastAsia="仿宋_GB2312"/>
          <w:sz w:val="28"/>
          <w:szCs w:val="28"/>
        </w:rPr>
        <w:t>%；项目支出</w:t>
      </w:r>
      <w:r>
        <w:rPr>
          <w:rFonts w:ascii="仿宋_GB2312" w:eastAsia="仿宋_GB2312"/>
          <w:sz w:val="28"/>
          <w:szCs w:val="28"/>
        </w:rPr>
        <w:t>5792.86</w:t>
      </w:r>
      <w:r>
        <w:rPr>
          <w:rFonts w:hint="eastAsia" w:ascii="仿宋_GB2312" w:eastAsia="仿宋_GB2312"/>
          <w:sz w:val="28"/>
          <w:szCs w:val="28"/>
        </w:rPr>
        <w:t>万元，占支出合计的</w:t>
      </w:r>
      <w:r>
        <w:rPr>
          <w:rFonts w:hint="eastAsia" w:ascii="仿宋_GB2312" w:eastAsia="仿宋_GB2312"/>
          <w:sz w:val="28"/>
          <w:szCs w:val="28"/>
          <w:lang w:eastAsia="zh-CN"/>
        </w:rPr>
        <w:t>48.31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3335" b="952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10419.64</w:t>
      </w:r>
      <w:r>
        <w:rPr>
          <w:rFonts w:hint="eastAsia" w:ascii="仿宋_GB2312" w:eastAsia="仿宋_GB2312"/>
          <w:sz w:val="28"/>
          <w:szCs w:val="28"/>
        </w:rPr>
        <w:t>万元，</w:t>
      </w:r>
      <w:r>
        <w:rPr>
          <w:rFonts w:hint="eastAsia" w:ascii="仿宋_GB2312" w:eastAsia="仿宋_GB2312"/>
          <w:sz w:val="28"/>
          <w:szCs w:val="28"/>
          <w:lang w:eastAsia="zh-CN"/>
        </w:rPr>
        <w:t>完成年初预算的136.25%</w:t>
      </w:r>
      <w:r>
        <w:rPr>
          <w:rFonts w:hint="eastAsia" w:ascii="仿宋_GB2312" w:eastAsia="仿宋_GB2312"/>
          <w:sz w:val="28"/>
          <w:szCs w:val="28"/>
        </w:rPr>
        <w:t>。主要原因：</w:t>
      </w:r>
      <w:r>
        <w:rPr>
          <w:rFonts w:hint="eastAsia" w:ascii="仿宋_GB2312" w:eastAsia="仿宋_GB2312"/>
          <w:color w:val="auto"/>
          <w:sz w:val="28"/>
          <w:szCs w:val="28"/>
          <w:highlight w:val="none"/>
        </w:rPr>
        <w:t>北京市房地一体的宅基地、集体建设用地地籍调查和确权登记工作</w:t>
      </w:r>
      <w:r>
        <w:rPr>
          <w:rFonts w:hint="eastAsia" w:ascii="仿宋_GB2312" w:eastAsia="仿宋_GB2312"/>
          <w:color w:val="auto"/>
          <w:sz w:val="28"/>
          <w:szCs w:val="28"/>
          <w:highlight w:val="none"/>
          <w:lang w:eastAsia="zh-CN"/>
        </w:rPr>
        <w:t>、北京市自然资源统一确权登记、矿山生态修复治理项目绿化设计等</w:t>
      </w:r>
      <w:r>
        <w:rPr>
          <w:rFonts w:hint="eastAsia" w:ascii="仿宋_GB2312" w:eastAsia="仿宋_GB2312"/>
          <w:color w:val="auto"/>
          <w:sz w:val="28"/>
          <w:szCs w:val="28"/>
          <w:highlight w:val="none"/>
        </w:rPr>
        <w:t>财政项目支出增加。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9963.03</w:t>
      </w:r>
      <w:r>
        <w:rPr>
          <w:rFonts w:hint="eastAsia" w:ascii="仿宋_GB2312" w:eastAsia="仿宋_GB2312"/>
          <w:sz w:val="28"/>
          <w:szCs w:val="28"/>
        </w:rPr>
        <w:t>万元，主要用于以下方面（按大类）：社会保障和就业支出712.33万元，占本年财政拨款支出7.15%； 卫生健康支出480.97万元，占本年财政拨款支出4.83%；自然资源海洋气象等支出7932.92万元，占本年财政拨款支出79.62%，灾害防治及应急管理支出836.8万元，占本年财政拨款支出8.40%。</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1、“社会保障和就业支出”（类）2024年度决算712.33万元，</w:t>
      </w:r>
      <w:r>
        <w:rPr>
          <w:rFonts w:hint="eastAsia" w:ascii="仿宋_GB2312" w:eastAsia="仿宋_GB2312"/>
          <w:sz w:val="28"/>
          <w:szCs w:val="28"/>
          <w:lang w:eastAsia="zh-CN"/>
        </w:rPr>
        <w:t>完成年初预算的98.46%</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“行政事业单位养老支出”（款）2024年度决算712.33万元，</w:t>
      </w:r>
      <w:r>
        <w:rPr>
          <w:rFonts w:hint="eastAsia" w:ascii="仿宋_GB2312" w:eastAsia="仿宋_GB2312"/>
          <w:sz w:val="28"/>
          <w:szCs w:val="28"/>
          <w:lang w:eastAsia="zh-CN"/>
        </w:rPr>
        <w:t>完成年初预算的98.46%</w:t>
      </w:r>
      <w:r>
        <w:rPr>
          <w:rFonts w:hint="eastAsia" w:ascii="仿宋_GB2312" w:eastAsia="仿宋_GB2312"/>
          <w:sz w:val="28"/>
          <w:szCs w:val="28"/>
        </w:rPr>
        <w:t>。主要原因：人员退休、调出导致行政事业单位养老支出减少</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 卫生健康支出”(类)2024年度决算480.97万元，</w:t>
      </w:r>
      <w:r>
        <w:rPr>
          <w:rFonts w:hint="eastAsia" w:ascii="仿宋_GB2312" w:eastAsia="仿宋_GB2312"/>
          <w:sz w:val="28"/>
          <w:szCs w:val="28"/>
          <w:lang w:eastAsia="zh-CN"/>
        </w:rPr>
        <w:t>完成年初预算的96.80%</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“行政事业单位医疗”（款）2024年度决算480.97万元，</w:t>
      </w:r>
      <w:r>
        <w:rPr>
          <w:rFonts w:hint="eastAsia" w:ascii="仿宋_GB2312" w:eastAsia="仿宋_GB2312"/>
          <w:sz w:val="28"/>
          <w:szCs w:val="28"/>
          <w:lang w:eastAsia="zh-CN"/>
        </w:rPr>
        <w:t>完成年初预算的96.80%</w:t>
      </w:r>
      <w:r>
        <w:rPr>
          <w:rFonts w:hint="eastAsia" w:ascii="仿宋_GB2312" w:eastAsia="仿宋_GB2312"/>
          <w:sz w:val="28"/>
          <w:szCs w:val="28"/>
        </w:rPr>
        <w:t>。主要原因：人员退休、调出导致行政事业单位医疗支出减少。</w:t>
      </w:r>
    </w:p>
    <w:p>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、“自然资源海洋气象等支出”(类)2024年度决算7932.92万元，</w:t>
      </w:r>
      <w:r>
        <w:rPr>
          <w:rFonts w:hint="eastAsia" w:ascii="仿宋_GB2312" w:eastAsia="仿宋_GB2312"/>
          <w:sz w:val="28"/>
          <w:szCs w:val="28"/>
          <w:lang w:eastAsia="zh-CN"/>
        </w:rPr>
        <w:t>完成年初预算的129.82%</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“自然资源事务”（款）2024年度决算7932.92万元，</w:t>
      </w:r>
      <w:r>
        <w:rPr>
          <w:rFonts w:hint="eastAsia" w:ascii="仿宋_GB2312" w:eastAsia="仿宋_GB2312"/>
          <w:sz w:val="28"/>
          <w:szCs w:val="28"/>
          <w:lang w:eastAsia="zh-CN"/>
        </w:rPr>
        <w:t>完成年初预算的129.82%</w:t>
      </w:r>
      <w:r>
        <w:rPr>
          <w:rFonts w:hint="eastAsia" w:ascii="仿宋_GB2312" w:eastAsia="仿宋_GB2312"/>
          <w:sz w:val="28"/>
          <w:szCs w:val="28"/>
        </w:rPr>
        <w:t>。主要原因：项目北京市房地一体的宅基地、集体建设用地地籍调查和确权登记工作等支出追加预算。</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“灾害防治及应急管理支出”(类)2024年度决算836.80万元，</w:t>
      </w:r>
      <w:r>
        <w:rPr>
          <w:rFonts w:hint="eastAsia" w:ascii="仿宋_GB2312" w:eastAsia="仿宋_GB2312"/>
          <w:sz w:val="28"/>
          <w:szCs w:val="28"/>
          <w:lang w:eastAsia="zh-CN"/>
        </w:rPr>
        <w:t>完成年初预算的3638.28%</w:t>
      </w:r>
      <w:r>
        <w:rPr>
          <w:rFonts w:hint="eastAsia" w:ascii="仿宋_GB2312" w:eastAsia="仿宋_GB2312"/>
          <w:sz w:val="28"/>
          <w:szCs w:val="28"/>
        </w:rPr>
        <w:t>。其中：</w:t>
      </w:r>
    </w:p>
    <w:p>
      <w:pPr>
        <w:numPr>
          <w:ilvl w:val="0"/>
          <w:numId w:val="0"/>
        </w:numPr>
        <w:spacing w:line="580" w:lineRule="exact"/>
        <w:ind w:firstLine="840" w:firstLineChars="300"/>
        <w:rPr>
          <w:rFonts w:ascii="仿宋_GB2312" w:eastAsia="仿宋_GB2312"/>
          <w:sz w:val="28"/>
          <w:szCs w:val="28"/>
        </w:rPr>
      </w:pPr>
      <w:r>
        <w:rPr>
          <w:rFonts w:hint="eastAsia" w:ascii="仿宋_GB2312" w:eastAsia="仿宋_GB2312"/>
          <w:sz w:val="28"/>
          <w:szCs w:val="28"/>
        </w:rPr>
        <w:t>“自然灾害防治”（款）2024年度决算836.80万元，</w:t>
      </w:r>
      <w:r>
        <w:rPr>
          <w:rFonts w:hint="eastAsia" w:ascii="仿宋_GB2312" w:eastAsia="仿宋_GB2312"/>
          <w:sz w:val="28"/>
          <w:szCs w:val="28"/>
          <w:lang w:eastAsia="zh-CN"/>
        </w:rPr>
        <w:t>完成年初预算的3638.28%</w:t>
      </w:r>
      <w:r>
        <w:rPr>
          <w:rFonts w:hint="eastAsia" w:ascii="仿宋_GB2312" w:eastAsia="仿宋_GB2312"/>
          <w:sz w:val="28"/>
          <w:szCs w:val="28"/>
        </w:rPr>
        <w:t>。主要原因：追加密云区大城子镇河下村地灾治理地质勘查费、密云区大城子镇河下村地灾治理工程设计费、密云区大城子镇梯子峪村等地灾治理地质勘查费、密云区大城子镇梯子峪村等地灾治理工程设计费、密云区大城子镇张泉村地灾治理地质勘查费、密云区大城子镇张泉村地灾治理工程设计费、密云区太师屯镇等地灾治理地质勘查费、密云区太师屯镇等地灾治理工程设计费、密云区巨各庄镇等地灾治理勘查设计费、密云区高岭镇地灾治理地质勘查费、密云区冯家峪镇等地灾治理地质勘查费、密云区冯家峪镇等地灾治理工程设计费等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367.8</w:t>
      </w:r>
      <w:r>
        <w:rPr>
          <w:rFonts w:hint="eastAsia" w:ascii="仿宋_GB2312" w:eastAsia="仿宋_GB2312"/>
          <w:sz w:val="28"/>
          <w:szCs w:val="28"/>
        </w:rPr>
        <w:t>万元，主要用于以下方面（按大类）：城乡社区支出367.80万元，占本年财政拨款支出100%。</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1、“城乡社区支出”（类）2024年度决算</w:t>
      </w:r>
      <w:r>
        <w:rPr>
          <w:rFonts w:ascii="仿宋_GB2312" w:eastAsia="仿宋_GB2312"/>
          <w:sz w:val="28"/>
          <w:szCs w:val="28"/>
        </w:rPr>
        <w:t>367.8</w:t>
      </w:r>
      <w:r>
        <w:rPr>
          <w:rFonts w:hint="eastAsia" w:ascii="仿宋_GB2312" w:eastAsia="仿宋_GB2312"/>
          <w:sz w:val="28"/>
          <w:szCs w:val="28"/>
        </w:rPr>
        <w:t>万元，</w:t>
      </w:r>
      <w:r>
        <w:rPr>
          <w:rFonts w:hint="eastAsia" w:ascii="仿宋_GB2312" w:eastAsia="仿宋_GB2312"/>
          <w:sz w:val="28"/>
          <w:szCs w:val="28"/>
          <w:lang w:eastAsia="zh-CN"/>
        </w:rPr>
        <w:t>完成年初预算的132.81%</w:t>
      </w:r>
      <w:r>
        <w:rPr>
          <w:rFonts w:hint="eastAsia" w:ascii="仿宋_GB2312" w:eastAsia="仿宋_GB2312"/>
          <w:sz w:val="28"/>
          <w:szCs w:val="28"/>
        </w:rPr>
        <w:t>。其中：</w:t>
      </w:r>
    </w:p>
    <w:p>
      <w:pPr>
        <w:autoSpaceDE w:val="0"/>
        <w:autoSpaceDN w:val="0"/>
        <w:adjustRightInd w:val="0"/>
        <w:spacing w:line="580" w:lineRule="exact"/>
        <w:ind w:firstLine="700" w:firstLineChars="250"/>
        <w:jc w:val="left"/>
        <w:rPr>
          <w:rFonts w:ascii="仿宋_GB2312" w:eastAsia="仿宋_GB2312"/>
          <w:sz w:val="28"/>
          <w:szCs w:val="28"/>
        </w:rPr>
      </w:pPr>
      <w:r>
        <w:rPr>
          <w:rFonts w:hint="eastAsia" w:ascii="仿宋_GB2312" w:eastAsia="仿宋_GB2312"/>
          <w:sz w:val="28"/>
          <w:szCs w:val="28"/>
        </w:rPr>
        <w:t>“国有土地使用权出让收入安排的支出”（款）</w:t>
      </w:r>
      <w:bookmarkStart w:id="0" w:name="_GoBack"/>
      <w:bookmarkEnd w:id="0"/>
      <w:r>
        <w:rPr>
          <w:rFonts w:hint="eastAsia" w:ascii="仿宋_GB2312" w:eastAsia="仿宋_GB2312"/>
          <w:sz w:val="28"/>
          <w:szCs w:val="28"/>
        </w:rPr>
        <w:t>2024年度决算367.80万元，</w:t>
      </w:r>
      <w:r>
        <w:rPr>
          <w:rFonts w:hint="eastAsia" w:ascii="仿宋_GB2312" w:eastAsia="仿宋_GB2312"/>
          <w:sz w:val="28"/>
          <w:szCs w:val="28"/>
          <w:lang w:eastAsia="zh-CN"/>
        </w:rPr>
        <w:t>完成年初预算的132.81%</w:t>
      </w:r>
      <w:r>
        <w:rPr>
          <w:rFonts w:hint="eastAsia" w:ascii="仿宋_GB2312" w:eastAsia="仿宋_GB2312"/>
          <w:sz w:val="28"/>
          <w:szCs w:val="28"/>
        </w:rPr>
        <w:t>。主要原因：项目矿山生态修复治理项目绿化设计费等支出增加。</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年度国有资本经营预算财政拨款收入总计0万元，国有资本经营预算财政拨款支出总计0万元。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6198.82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83.6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rPr>
        <w:t>99.49%。其中：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1.因公出国（境）费用。本年度无此项</w:t>
      </w:r>
      <w:r>
        <w:rPr>
          <w:rFonts w:ascii="仿宋_GB2312" w:eastAsia="仿宋_GB2312"/>
          <w:sz w:val="28"/>
          <w:szCs w:val="28"/>
        </w:rPr>
        <w:t>经费</w:t>
      </w:r>
      <w:r>
        <w:rPr>
          <w:rFonts w:hint="eastAsia" w:ascii="仿宋_GB2312" w:eastAsia="仿宋_GB2312"/>
          <w:sz w:val="28"/>
          <w:szCs w:val="28"/>
        </w:rPr>
        <w:t>。</w:t>
      </w:r>
    </w:p>
    <w:p>
      <w:pPr>
        <w:spacing w:line="560" w:lineRule="exact"/>
        <w:ind w:firstLine="600"/>
        <w:rPr>
          <w:rFonts w:ascii="仿宋_GB2312" w:eastAsia="仿宋_GB2312"/>
          <w:sz w:val="28"/>
          <w:szCs w:val="28"/>
        </w:rPr>
      </w:pPr>
      <w:r>
        <w:rPr>
          <w:rFonts w:hint="eastAsia" w:ascii="仿宋_GB2312" w:eastAsia="仿宋_GB2312"/>
          <w:sz w:val="28"/>
          <w:szCs w:val="28"/>
        </w:rPr>
        <w:t>2.公务接待费。本年度无此项</w:t>
      </w:r>
      <w:r>
        <w:rPr>
          <w:rFonts w:ascii="仿宋_GB2312" w:eastAsia="仿宋_GB2312"/>
          <w:sz w:val="28"/>
          <w:szCs w:val="28"/>
        </w:rPr>
        <w:t>经费</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83.6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rPr>
        <w:t>99.49%。其中</w:t>
      </w:r>
      <w:r>
        <w:rPr>
          <w:rFonts w:hint="eastAsia" w:ascii="仿宋_GB2312" w:eastAsia="仿宋_GB2312"/>
          <w:sz w:val="28"/>
          <w:szCs w:val="28"/>
          <w:lang w:eastAsia="zh-CN"/>
        </w:rPr>
        <w:t>：</w:t>
      </w:r>
      <w:r>
        <w:rPr>
          <w:rFonts w:hint="eastAsia" w:ascii="仿宋_GB2312" w:eastAsia="仿宋_GB2312"/>
          <w:sz w:val="28"/>
          <w:szCs w:val="28"/>
        </w:rPr>
        <w:t>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年度更新</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65.62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rPr>
        <w:t>99.35%，主要原因：近年公务用车更新后公务用车维修费较有所减少。202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576.16</w:t>
      </w:r>
      <w:r>
        <w:rPr>
          <w:rFonts w:hint="eastAsia" w:ascii="仿宋_GB2312" w:eastAsia="仿宋_GB2312"/>
          <w:sz w:val="28"/>
          <w:szCs w:val="28"/>
        </w:rPr>
        <w:t>万元，合计654.45万元，比上年增加50.91万元，增加：福利费、工会会费支出增加。</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hint="eastAsia" w:ascii="仿宋_GB2312" w:eastAsia="仿宋_GB2312"/>
          <w:sz w:val="32"/>
          <w:szCs w:val="32"/>
          <w:lang w:eastAsia="zh-CN"/>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12月31日，北京市规划和自然资源委员会密云分局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30</w:t>
      </w:r>
      <w:r>
        <w:rPr>
          <w:rFonts w:hint="eastAsia" w:ascii="仿宋_GB2312" w:eastAsia="仿宋_GB2312"/>
          <w:sz w:val="28"/>
          <w:szCs w:val="28"/>
        </w:rPr>
        <w:t>台；单位价值100万元（含）以上的设备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政府购买服务决算2420.45</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jc w:val="left"/>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jc w:val="left"/>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jc w:val="left"/>
        <w:rPr>
          <w:rFonts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7.教育支出（类）进修及培训（款）培训支出（项）：反映各部门安排的用于培训的支出。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11.社会保障和就业支出（类）行政事业单位养老支出（款）机关事业单位职业年金缴费支出（项）：反映机关事业单位实施养老保险制度由单位实际缴纳的职业年金支出（含职业年金补记支出）。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12.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13.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14.自然资源海洋气象等支出（类）自然资源事务（款）行政运行（项）：反映行政单位（包括实行公务员管理的事业单位）的基本支出。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15.自然资源海洋气象等支出（类）自然资源事务（款）一般行政管理事务（项）：反映行政单位（包括实行公务员管理的事业单位）未单独设置项级科目的其他项目支出。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16.自然资源海洋气象等支出（类）自然资源事务（款）自然资源规划及管理（项）：反映用于国土空间规划、国土空间开发适宜性评价等方面的支出。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17.自然资源海洋气象等支出（类）自然资源事务（款）事业运行（项）：反映事业单位的基本支出，不包括行政单位（包括实行公务员管理的事业单位）后勤服务中心、医务室等附属事业单位。</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仿宋_GB2312" w:eastAsia="仿宋_GB2312"/>
          <w:sz w:val="28"/>
          <w:szCs w:val="28"/>
        </w:rPr>
      </w:pPr>
      <w:r>
        <w:rPr>
          <w:rFonts w:hint="eastAsia" w:ascii="仿宋_GB2312" w:eastAsia="仿宋_GB2312"/>
          <w:sz w:val="28"/>
          <w:szCs w:val="28"/>
        </w:rPr>
        <w:t>18.自然资源海洋气象等支出（类）自然资源事务（款）其他自然资源事务支出（项）：反映上述项目以外其他用于自然资源事务方面的支出。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19.灾害防治及应急管理支出（类）自然灾害防治（款）地质灾害防治（项）：反映防治地质灾害方面的支出。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_GB2312" w:eastAsia="仿宋_GB2312"/>
          <w:sz w:val="28"/>
          <w:szCs w:val="28"/>
        </w:rPr>
      </w:pPr>
      <w:r>
        <w:rPr>
          <w:rFonts w:hint="eastAsia" w:ascii="仿宋_GB2312" w:eastAsia="仿宋_GB2312"/>
          <w:sz w:val="28"/>
          <w:szCs w:val="28"/>
        </w:rPr>
        <w:t>20．灾害防治及应急管理支出（类）自然灾害救灾及恢复重建支出（款）自然灾害灾后重建补助（项）：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黑体" w:eastAsia="黑体"/>
          <w:sz w:val="32"/>
          <w:szCs w:val="32"/>
        </w:rPr>
      </w:pPr>
      <w:r>
        <w:rPr>
          <w:rFonts w:hint="eastAsia" w:ascii="仿宋_GB2312" w:eastAsia="仿宋_GB2312"/>
          <w:sz w:val="28"/>
          <w:szCs w:val="28"/>
        </w:rPr>
        <w:t>20.城乡社区支出（类）国有土地使用权出让收入安排的支出（款）土地出让业务支出（项）：反映土地出让收入用于土地出让业务费用的开支。</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21.城乡社区支出（类）城乡社区管理事务（款）2120199其他城乡社区管理事务支出（项）：反映除上述项目以外其他用于城乡社区管理事务方面的支出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22.城乡社区支出（类）城乡社区规划与管理（款）城乡社区规划与管理（项）：反映城乡社区、防灾减灾、历史名城规划制定与管理等方面的支出。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23.城乡社区支出（类）国有土地使用权出让收入安排的支出（款）农村基础设施建设支出（项）：反映用于农村欠发达地区乡村道路、住房、基本农田、水利设施、人畜饮水、生态环境保护等生产生活条件改善方面的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24.城乡社区支出（类）国有土地使用权出让收入安排的支出（款）农业生产发展支出（项）：反映用于粮油生拆保障、适度规模经营、农机购置与应用补贴、优势特色主导产业发展、畜牧水产发展、农村一二三产业融合等方面的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25.城乡社区支出（类）国有土地使用权出让收入安排的支出（款）农业农村生态环境支出（项）：反映用于农业农村环境保护方面的支出。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26.农林水支出（类）其他农林水支出（款）其他农林水支出（项）：反映除化解债务支出以外其他用于农林水方面的支出</w:t>
      </w:r>
    </w:p>
    <w:p>
      <w:pPr>
        <w:jc w:val="both"/>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numPr>
          <w:ilvl w:val="0"/>
          <w:numId w:val="0"/>
        </w:numPr>
        <w:ind w:firstLine="560" w:firstLineChars="200"/>
        <w:rPr>
          <w:rFonts w:hint="eastAsia" w:ascii="黑体" w:eastAsia="黑体"/>
          <w:sz w:val="28"/>
          <w:szCs w:val="28"/>
        </w:rPr>
      </w:pPr>
    </w:p>
    <w:p>
      <w:pPr>
        <w:numPr>
          <w:numId w:val="0"/>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p>
    <w:p>
      <w:pPr>
        <w:pStyle w:val="2"/>
        <w:ind w:firstLine="560" w:firstLineChars="20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highlight w:val="none"/>
          <w:lang w:eastAsia="zh-CN"/>
        </w:rPr>
        <w:t>自评表详见附件</w:t>
      </w:r>
      <w:r>
        <w:rPr>
          <w:rFonts w:hint="eastAsia" w:ascii="仿宋_GB2312" w:hAnsi="仿宋_GB2312" w:eastAsia="仿宋_GB2312" w:cs="仿宋_GB2312"/>
          <w:b w:val="0"/>
          <w:bCs w:val="0"/>
          <w:sz w:val="28"/>
          <w:szCs w:val="28"/>
          <w:highlight w:val="none"/>
          <w:lang w:val="en-US" w:eastAsia="zh-CN"/>
        </w:rPr>
        <w:t>2。</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34F03F"/>
    <w:multiLevelType w:val="singleLevel"/>
    <w:tmpl w:val="4D34F03F"/>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E20EED"/>
    <w:rsid w:val="02F120AB"/>
    <w:rsid w:val="032B5196"/>
    <w:rsid w:val="037819A2"/>
    <w:rsid w:val="03A44B9B"/>
    <w:rsid w:val="04C3537C"/>
    <w:rsid w:val="06D24EDA"/>
    <w:rsid w:val="079004AC"/>
    <w:rsid w:val="0BA148CA"/>
    <w:rsid w:val="0C1165C4"/>
    <w:rsid w:val="0D6D544B"/>
    <w:rsid w:val="0D9922AE"/>
    <w:rsid w:val="0DD136FE"/>
    <w:rsid w:val="0F8E2C57"/>
    <w:rsid w:val="1059665E"/>
    <w:rsid w:val="10AC13BA"/>
    <w:rsid w:val="10B22D91"/>
    <w:rsid w:val="11625E51"/>
    <w:rsid w:val="145A6C1B"/>
    <w:rsid w:val="14B73493"/>
    <w:rsid w:val="167A2FF9"/>
    <w:rsid w:val="18581C69"/>
    <w:rsid w:val="1AEC0734"/>
    <w:rsid w:val="1C980DA4"/>
    <w:rsid w:val="1D617518"/>
    <w:rsid w:val="1DEF20B0"/>
    <w:rsid w:val="208555B2"/>
    <w:rsid w:val="20FA79D4"/>
    <w:rsid w:val="21162A89"/>
    <w:rsid w:val="214243FA"/>
    <w:rsid w:val="21985ACF"/>
    <w:rsid w:val="21AD613C"/>
    <w:rsid w:val="22467189"/>
    <w:rsid w:val="257A14F5"/>
    <w:rsid w:val="27196C26"/>
    <w:rsid w:val="2860610E"/>
    <w:rsid w:val="29EF086F"/>
    <w:rsid w:val="2D287D8F"/>
    <w:rsid w:val="2E23370B"/>
    <w:rsid w:val="2E864D7F"/>
    <w:rsid w:val="2EB273F9"/>
    <w:rsid w:val="2EFFE297"/>
    <w:rsid w:val="301437CA"/>
    <w:rsid w:val="30436035"/>
    <w:rsid w:val="342029FD"/>
    <w:rsid w:val="349D1F0A"/>
    <w:rsid w:val="34DD0473"/>
    <w:rsid w:val="35F63B89"/>
    <w:rsid w:val="368A33B3"/>
    <w:rsid w:val="36E94485"/>
    <w:rsid w:val="392178F1"/>
    <w:rsid w:val="3C684897"/>
    <w:rsid w:val="3DFB3E0E"/>
    <w:rsid w:val="433E495C"/>
    <w:rsid w:val="433F6E37"/>
    <w:rsid w:val="45D41EFD"/>
    <w:rsid w:val="489F2FD7"/>
    <w:rsid w:val="4AC27CB3"/>
    <w:rsid w:val="4BF72BEF"/>
    <w:rsid w:val="4FA90297"/>
    <w:rsid w:val="4FC41A43"/>
    <w:rsid w:val="503E5AA3"/>
    <w:rsid w:val="51DB3C59"/>
    <w:rsid w:val="52337165"/>
    <w:rsid w:val="529E5C0B"/>
    <w:rsid w:val="550C0952"/>
    <w:rsid w:val="55762E42"/>
    <w:rsid w:val="570D6EB1"/>
    <w:rsid w:val="57A7B272"/>
    <w:rsid w:val="58470068"/>
    <w:rsid w:val="58747CAC"/>
    <w:rsid w:val="5A1720F9"/>
    <w:rsid w:val="5B9C37C2"/>
    <w:rsid w:val="5BA7C654"/>
    <w:rsid w:val="5C272BD0"/>
    <w:rsid w:val="5C3912AA"/>
    <w:rsid w:val="5CA41489"/>
    <w:rsid w:val="60A54109"/>
    <w:rsid w:val="61D01CDF"/>
    <w:rsid w:val="64826FA5"/>
    <w:rsid w:val="64BB3A49"/>
    <w:rsid w:val="64C0607C"/>
    <w:rsid w:val="64E01ED8"/>
    <w:rsid w:val="65637E80"/>
    <w:rsid w:val="65756C86"/>
    <w:rsid w:val="674D385B"/>
    <w:rsid w:val="676E1D9F"/>
    <w:rsid w:val="676F09E1"/>
    <w:rsid w:val="6D804A59"/>
    <w:rsid w:val="6F6C4966"/>
    <w:rsid w:val="71793A80"/>
    <w:rsid w:val="7357290B"/>
    <w:rsid w:val="79337645"/>
    <w:rsid w:val="798524E4"/>
    <w:rsid w:val="7A7F1C49"/>
    <w:rsid w:val="7A950D98"/>
    <w:rsid w:val="7B5B7AE6"/>
    <w:rsid w:val="7B7B6628"/>
    <w:rsid w:val="7BA7071E"/>
    <w:rsid w:val="7BDF6DA8"/>
    <w:rsid w:val="7C7EDC1A"/>
    <w:rsid w:val="7CCED98D"/>
    <w:rsid w:val="7D08410F"/>
    <w:rsid w:val="7DB96DED"/>
    <w:rsid w:val="7DD3AD81"/>
    <w:rsid w:val="7E480873"/>
    <w:rsid w:val="7EE65B5E"/>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[工作簿1]Sheet1!$F$7</c:f>
              <c:strCache>
                <c:ptCount val="1"/>
                <c:pt idx="0">
                  <c:v>11033.92</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175660703634481"/>
                  <c:y val="-0.039805847616995"/>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altLang="en-US"/>
                      <a:t>财政拨款收入</a:t>
                    </a:r>
                    <a:r>
                      <a:rPr lang="en-US" altLang="zh-CN"/>
                      <a:t>93.1%</a:t>
                    </a:r>
                    <a:endParaRPr lang="en-US" altLang="zh-CN"/>
                  </a:p>
                </c:rich>
              </c:tx>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132658373704747"/>
                  <c:y val="0.00143828123705637"/>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altLang="en-US"/>
                      <a:t>其他收入</a:t>
                    </a:r>
                    <a:r>
                      <a:rPr lang="en-US" altLang="zh-CN"/>
                      <a:t>6.9%</a:t>
                    </a:r>
                    <a:endParaRPr lang="en-US" altLang="zh-CN"/>
                  </a:p>
                </c:rich>
              </c:tx>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[工作簿1]Sheet1!$E$8:$E$9</c:f>
              <c:strCache>
                <c:ptCount val="2"/>
                <c:pt idx="0">
                  <c:v>财政拨款收入</c:v>
                </c:pt>
                <c:pt idx="1">
                  <c:v>其他收入</c:v>
                </c:pt>
              </c:strCache>
            </c:strRef>
          </c:cat>
          <c:val>
            <c:numRef>
              <c:f>[工作簿1]Sheet1!$F$8:$F$9</c:f>
              <c:numCache>
                <c:formatCode>General</c:formatCode>
                <c:ptCount val="2"/>
                <c:pt idx="0">
                  <c:v>10272.15</c:v>
                </c:pt>
                <c:pt idx="1">
                  <c:v>761.78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[工作簿1]Sheet2!$G$10</c:f>
              <c:strCache>
                <c:ptCount val="1"/>
                <c:pt idx="0">
                  <c:v>11991.77</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0509443924298526"/>
                  <c:y val="0.0341120578718288"/>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基本支出51.69%</a:t>
                    </a:r>
                  </a:p>
                </c:rich>
              </c:tx>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763751872981243"/>
                  <c:y val="-0.0372735353241231"/>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项目支出48.31%</a:t>
                    </a:r>
                  </a:p>
                </c:rich>
              </c:tx>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[工作簿1]Sheet2!$F$11:$F$12</c:f>
              <c:strCache>
                <c:ptCount val="2"/>
                <c:pt idx="0">
                  <c:v>基本支出</c:v>
                </c:pt>
                <c:pt idx="1">
                  <c:v>项目支出</c:v>
                </c:pt>
              </c:strCache>
            </c:strRef>
          </c:cat>
          <c:val>
            <c:numRef>
              <c:f>[工作簿1]Sheet2!$G$11:$G$12</c:f>
              <c:numCache>
                <c:formatCode>General</c:formatCode>
                <c:ptCount val="2"/>
                <c:pt idx="0">
                  <c:v>6198.91</c:v>
                </c:pt>
                <c:pt idx="1">
                  <c:v>5792.86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0</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郭光华</cp:lastModifiedBy>
  <cp:lastPrinted>2025-09-03T02:33:00Z</cp:lastPrinted>
  <dcterms:modified xsi:type="dcterms:W3CDTF">2025-09-05T09:11:52Z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