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（一）机构设置</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sz w:val="28"/>
          <w:szCs w:val="28"/>
        </w:rPr>
      </w:pPr>
      <w:r>
        <w:rPr>
          <w:rFonts w:hint="eastAsia" w:ascii="仿宋_GB2312" w:eastAsia="仿宋_GB2312"/>
          <w:color w:val="auto"/>
          <w:sz w:val="28"/>
          <w:szCs w:val="28"/>
          <w:u w:val="none"/>
          <w:lang w:val="en-US" w:eastAsia="zh-CN"/>
        </w:rPr>
        <w:t>根据中共北京市委机构编制委员会办公室印发的《关于北京市规划和自然资源委员会区分局职能配置、内设机构和人员编制规定的通知》（京编办发〔2019〕17号）、《关于整合设立各区规划和国土资源行政执法机构的通知》（京编办函〔2017〕23号）、中共北京市委机构编制委员会印发的《市规划自然资源系统所属事业单位改革有关事项的批复》（京编委〔2021〕123号），分局机关设立14个行政职能科室，分别为办公室、法制科、规划编制与城市设计科、市政交通科、规划实施科、综合审批科、规划土地核验科、自然资源调查监测科、自然资源所有者权益科、自然资源保护科、国土空间生态修复科、财务科、机关党委、纪检办公室。行政执法机构1个：北京市顺义区规划和自然资源执法队；</w:t>
      </w:r>
      <w:r>
        <w:rPr>
          <w:rFonts w:hint="eastAsia" w:ascii="仿宋_GB2312" w:eastAsia="仿宋_GB2312"/>
          <w:color w:val="auto"/>
          <w:sz w:val="28"/>
          <w:szCs w:val="28"/>
          <w:u w:val="none"/>
          <w:lang w:eastAsia="zh-CN"/>
        </w:rPr>
        <w:t>下属事业单位</w:t>
      </w:r>
      <w:r>
        <w:rPr>
          <w:rFonts w:hint="eastAsia" w:ascii="仿宋_GB2312" w:eastAsia="仿宋_GB2312"/>
          <w:color w:val="auto"/>
          <w:sz w:val="28"/>
          <w:szCs w:val="28"/>
          <w:u w:val="none"/>
          <w:lang w:val="en-US" w:eastAsia="zh-CN"/>
        </w:rPr>
        <w:t>2个，分别为北京市顺义区不动产登记中心和北京市顺义区规划和自然资源综合事务中心</w:t>
      </w:r>
      <w:r>
        <w:rPr>
          <w:rFonts w:hint="eastAsia" w:ascii="仿宋_GB2312" w:eastAsia="仿宋_GB2312"/>
          <w:color w:val="auto"/>
          <w:sz w:val="28"/>
          <w:szCs w:val="28"/>
          <w:u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（二）机构职责</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eastAsia="zh-CN"/>
        </w:rPr>
        <w:t>北京市规划和自然资源委员会顺义分局为行政单位，实行市、区双重管理体制，既作为市规划自然资源委的派出机构，同时也是区政府工作部门。贯彻落实党中央关于规划和自然资源工作的方针政策、决策部署和市委、区委有关工作要求，在履行职责过程中坚持和加强党对规划和自然资源工作的集中统一领导。主要职责如下：</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1.</w:t>
      </w:r>
      <w:r>
        <w:rPr>
          <w:rFonts w:hint="eastAsia" w:ascii="仿宋_GB2312" w:eastAsia="仿宋_GB2312"/>
          <w:color w:val="auto"/>
          <w:sz w:val="28"/>
          <w:szCs w:val="28"/>
          <w:u w:val="none"/>
          <w:lang w:eastAsia="zh-CN"/>
        </w:rPr>
        <w:t>履行本区全民所有土地、矿产、森林、湿地、水等自然资源资产所有者职责和所有国土空间用途管制职责，宣传、贯彻、实施国家关于自然资源和国土空间规划以及测绘、勘察设计管理等方面的法律、法规、规章、政策和标准。</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2.</w:t>
      </w:r>
      <w:r>
        <w:rPr>
          <w:rFonts w:hint="eastAsia" w:ascii="仿宋_GB2312" w:eastAsia="仿宋_GB2312"/>
          <w:color w:val="auto"/>
          <w:sz w:val="28"/>
          <w:szCs w:val="28"/>
          <w:u w:val="none"/>
          <w:lang w:eastAsia="zh-CN"/>
        </w:rPr>
        <w:t>贯彻落实北京市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3.</w:t>
      </w:r>
      <w:r>
        <w:rPr>
          <w:rFonts w:hint="eastAsia" w:ascii="仿宋_GB2312" w:eastAsia="仿宋_GB2312"/>
          <w:color w:val="auto"/>
          <w:sz w:val="28"/>
          <w:szCs w:val="28"/>
          <w:u w:val="none"/>
          <w:lang w:eastAsia="zh-CN"/>
        </w:rPr>
        <w:t>负责本区国土空间用途管制工作。负责自然资源和国土空间规划的实施管理。组织拟订并实施土地等自然资源年度利用计划。负责工程建设项目规划和用地管理相关工作。</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4.</w:t>
      </w:r>
      <w:r>
        <w:rPr>
          <w:rFonts w:hint="eastAsia" w:ascii="仿宋_GB2312" w:eastAsia="仿宋_GB2312"/>
          <w:color w:val="auto"/>
          <w:sz w:val="28"/>
          <w:szCs w:val="28"/>
          <w:u w:val="none"/>
          <w:lang w:eastAsia="zh-CN"/>
        </w:rPr>
        <w:t>负责本区自然资源调查监测评价工作。组织自然资源基础调查、专项调查和监测。负责自然资源和不动产统一确权登记工作。依法调处相关权属纠纷。</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5.</w:t>
      </w:r>
      <w:r>
        <w:rPr>
          <w:rFonts w:hint="eastAsia" w:ascii="仿宋_GB2312" w:eastAsia="仿宋_GB2312"/>
          <w:color w:val="auto"/>
          <w:sz w:val="28"/>
          <w:szCs w:val="28"/>
          <w:u w:val="none"/>
          <w:lang w:eastAsia="zh-CN"/>
        </w:rPr>
        <w:t>负责本区自然资源资产有偿使用工作。负责全民所有自然资源资产核算，编制全民所有自然资源负债表。负责自然资源资产价值评估管理，依法收缴相关资产收益。负责自然资源资产的合理开发利用。组织开展自然资源分等定级价格评估，开展自然资源利用评价考核，指导节约集约利用。负责自然资源市场监管。</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6.</w:t>
      </w:r>
      <w:r>
        <w:rPr>
          <w:rFonts w:hint="eastAsia" w:ascii="仿宋_GB2312" w:eastAsia="仿宋_GB2312"/>
          <w:color w:val="auto"/>
          <w:sz w:val="28"/>
          <w:szCs w:val="28"/>
          <w:u w:val="none"/>
          <w:lang w:eastAsia="zh-CN"/>
        </w:rPr>
        <w:t>负责本区耕地保护、基本农田保护管理，负责国土空间用途转用工作。负责土地征收征用管理。负责耕地占补平衡管理。组织实施土地整理复垦。</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7.</w:t>
      </w:r>
      <w:r>
        <w:rPr>
          <w:rFonts w:hint="eastAsia" w:ascii="仿宋_GB2312" w:eastAsia="仿宋_GB2312"/>
          <w:color w:val="auto"/>
          <w:sz w:val="28"/>
          <w:szCs w:val="28"/>
          <w:u w:val="none"/>
          <w:lang w:eastAsia="zh-CN"/>
        </w:rPr>
        <w:t>负责统筹本区国土空间生态修复。牵头组织编制国土空间生态修复规划并实施有关生态修复工程。负责国土空间综合整治、矿山地质环境修复治理等工作。负责地质灾害预防和治理，承担地质灾害应急救援的技术支撑工作。负责矿产资源合理利用和管护的监督管理。</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8.</w:t>
      </w:r>
      <w:r>
        <w:rPr>
          <w:rFonts w:hint="eastAsia" w:ascii="仿宋_GB2312" w:eastAsia="仿宋_GB2312"/>
          <w:color w:val="auto"/>
          <w:sz w:val="28"/>
          <w:szCs w:val="28"/>
          <w:u w:val="none"/>
          <w:lang w:eastAsia="zh-CN"/>
        </w:rPr>
        <w:t>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9.</w:t>
      </w:r>
      <w:r>
        <w:rPr>
          <w:rFonts w:hint="eastAsia" w:ascii="仿宋_GB2312" w:eastAsia="仿宋_GB2312"/>
          <w:color w:val="auto"/>
          <w:sz w:val="28"/>
          <w:szCs w:val="28"/>
          <w:u w:val="none"/>
          <w:lang w:eastAsia="zh-CN"/>
        </w:rPr>
        <w:t>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auto"/>
          <w:sz w:val="28"/>
          <w:szCs w:val="28"/>
          <w:u w:val="none"/>
          <w:lang w:eastAsia="zh-CN"/>
        </w:rPr>
      </w:pPr>
      <w:r>
        <w:rPr>
          <w:rFonts w:hint="eastAsia" w:ascii="仿宋_GB2312" w:eastAsia="仿宋_GB2312"/>
          <w:color w:val="auto"/>
          <w:sz w:val="28"/>
          <w:szCs w:val="28"/>
          <w:u w:val="none"/>
          <w:lang w:val="en-US" w:eastAsia="zh-CN"/>
        </w:rPr>
        <w:t>10.</w:t>
      </w:r>
      <w:r>
        <w:rPr>
          <w:rFonts w:hint="eastAsia" w:ascii="仿宋_GB2312" w:eastAsia="仿宋_GB2312"/>
          <w:color w:val="auto"/>
          <w:sz w:val="28"/>
          <w:szCs w:val="28"/>
          <w:u w:val="none"/>
          <w:lang w:eastAsia="zh-CN"/>
        </w:rPr>
        <w:t>完成市规划自然资源委和区委、区政府交办的其他任务。</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sz w:val="28"/>
          <w:szCs w:val="28"/>
        </w:rPr>
      </w:pPr>
      <w:r>
        <w:rPr>
          <w:rFonts w:hint="eastAsia" w:ascii="仿宋_GB2312" w:eastAsia="仿宋_GB2312"/>
          <w:color w:val="auto"/>
          <w:sz w:val="28"/>
          <w:szCs w:val="28"/>
          <w:u w:val="none"/>
          <w:lang w:val="en-US" w:eastAsia="zh-CN"/>
        </w:rPr>
        <w:t>11.</w:t>
      </w:r>
      <w:r>
        <w:rPr>
          <w:rFonts w:hint="eastAsia" w:ascii="仿宋_GB2312" w:eastAsia="仿宋_GB2312"/>
          <w:color w:val="auto"/>
          <w:sz w:val="28"/>
          <w:szCs w:val="28"/>
          <w:u w:val="none"/>
          <w:lang w:eastAsia="zh-CN"/>
        </w:rPr>
        <w:t>职能转变。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textAlignment w:val="auto"/>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14850.36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2776.48</w:t>
      </w:r>
      <w:r>
        <w:rPr>
          <w:rFonts w:hint="eastAsia" w:ascii="仿宋_GB2312" w:eastAsia="仿宋_GB2312"/>
          <w:sz w:val="28"/>
          <w:szCs w:val="28"/>
        </w:rPr>
        <w:t>万元，增长</w:t>
      </w:r>
      <w:r>
        <w:rPr>
          <w:rFonts w:hint="eastAsia" w:ascii="仿宋_GB2312" w:eastAsia="仿宋_GB2312"/>
          <w:sz w:val="28"/>
          <w:szCs w:val="28"/>
          <w:lang w:val="en-US" w:eastAsia="zh-CN"/>
        </w:rPr>
        <w:t>23.00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14258.14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2575.37</w:t>
      </w:r>
      <w:r>
        <w:rPr>
          <w:rFonts w:hint="eastAsia" w:ascii="仿宋_GB2312" w:eastAsia="仿宋_GB2312"/>
          <w:sz w:val="28"/>
          <w:szCs w:val="28"/>
        </w:rPr>
        <w:t>万元，增长</w:t>
      </w:r>
      <w:r>
        <w:rPr>
          <w:rFonts w:hint="eastAsia" w:ascii="仿宋_GB2312" w:eastAsia="仿宋_GB2312"/>
          <w:sz w:val="28"/>
          <w:szCs w:val="28"/>
          <w:lang w:val="en-US" w:eastAsia="zh-CN"/>
        </w:rPr>
        <w:t>22.04</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11936.17</w:t>
      </w:r>
      <w:r>
        <w:rPr>
          <w:rFonts w:hint="eastAsia" w:ascii="仿宋_GB2312" w:eastAsia="仿宋_GB2312"/>
          <w:sz w:val="28"/>
          <w:szCs w:val="28"/>
        </w:rPr>
        <w:t>万元，占收入合计的</w:t>
      </w:r>
      <w:r>
        <w:rPr>
          <w:rFonts w:hint="eastAsia" w:ascii="仿宋_GB2312" w:eastAsia="仿宋_GB2312"/>
          <w:sz w:val="28"/>
          <w:szCs w:val="28"/>
          <w:lang w:eastAsia="zh-CN"/>
        </w:rPr>
        <w:t>83.71%。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10265.82</w:t>
      </w:r>
      <w:r>
        <w:rPr>
          <w:rFonts w:hint="eastAsia" w:ascii="仿宋_GB2312" w:eastAsia="仿宋_GB2312"/>
          <w:sz w:val="28"/>
          <w:szCs w:val="28"/>
        </w:rPr>
        <w:t>万元，占收入合计的</w:t>
      </w:r>
      <w:r>
        <w:rPr>
          <w:rFonts w:hint="eastAsia" w:ascii="仿宋_GB2312" w:eastAsia="仿宋_GB2312"/>
          <w:sz w:val="28"/>
          <w:szCs w:val="28"/>
          <w:lang w:eastAsia="zh-CN"/>
        </w:rPr>
        <w:t>72</w:t>
      </w:r>
      <w:r>
        <w:rPr>
          <w:rFonts w:hint="eastAsia" w:ascii="仿宋_GB2312" w:eastAsia="仿宋_GB2312"/>
          <w:sz w:val="28"/>
          <w:szCs w:val="28"/>
          <w:lang w:val="en-US" w:eastAsia="zh-CN"/>
        </w:rPr>
        <w:t>.00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1670.35</w:t>
      </w:r>
      <w:r>
        <w:rPr>
          <w:rFonts w:hint="eastAsia" w:ascii="仿宋_GB2312" w:eastAsia="仿宋_GB2312"/>
          <w:sz w:val="28"/>
          <w:szCs w:val="28"/>
        </w:rPr>
        <w:t>万元，占收入合计的</w:t>
      </w:r>
      <w:r>
        <w:rPr>
          <w:rFonts w:hint="eastAsia" w:ascii="仿宋_GB2312" w:eastAsia="仿宋_GB2312"/>
          <w:sz w:val="28"/>
          <w:szCs w:val="28"/>
          <w:lang w:eastAsia="zh-CN"/>
        </w:rPr>
        <w:t>11.7</w:t>
      </w: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2321.97</w:t>
      </w:r>
      <w:r>
        <w:rPr>
          <w:rFonts w:hint="eastAsia" w:ascii="仿宋_GB2312" w:eastAsia="仿宋_GB2312"/>
          <w:sz w:val="28"/>
          <w:szCs w:val="28"/>
        </w:rPr>
        <w:t>万元，占收入合计的</w:t>
      </w:r>
      <w:r>
        <w:rPr>
          <w:rFonts w:hint="eastAsia" w:ascii="仿宋_GB2312" w:eastAsia="仿宋_GB2312"/>
          <w:sz w:val="28"/>
          <w:szCs w:val="28"/>
          <w:lang w:eastAsia="zh-CN"/>
        </w:rPr>
        <w:t>16.29</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14326.77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2670.70</w:t>
      </w:r>
      <w:r>
        <w:rPr>
          <w:rFonts w:hint="eastAsia" w:ascii="仿宋_GB2312" w:eastAsia="仿宋_GB2312"/>
          <w:sz w:val="28"/>
          <w:szCs w:val="28"/>
        </w:rPr>
        <w:t>万元，增长</w:t>
      </w:r>
      <w:r>
        <w:rPr>
          <w:rFonts w:hint="eastAsia" w:ascii="仿宋_GB2312" w:eastAsia="仿宋_GB2312"/>
          <w:sz w:val="28"/>
          <w:szCs w:val="28"/>
          <w:lang w:val="en-US" w:eastAsia="zh-CN"/>
        </w:rPr>
        <w:t>22.91</w:t>
      </w:r>
      <w:r>
        <w:rPr>
          <w:rFonts w:hint="eastAsia" w:ascii="仿宋_GB2312" w:eastAsia="仿宋_GB2312"/>
          <w:sz w:val="28"/>
          <w:szCs w:val="28"/>
        </w:rPr>
        <w:t>%，其中：基本支出</w:t>
      </w:r>
      <w:r>
        <w:rPr>
          <w:rFonts w:ascii="仿宋_GB2312" w:eastAsia="仿宋_GB2312"/>
          <w:sz w:val="28"/>
          <w:szCs w:val="28"/>
        </w:rPr>
        <w:t>7991.91</w:t>
      </w:r>
      <w:r>
        <w:rPr>
          <w:rFonts w:hint="eastAsia" w:ascii="仿宋_GB2312" w:eastAsia="仿宋_GB2312"/>
          <w:sz w:val="28"/>
          <w:szCs w:val="28"/>
        </w:rPr>
        <w:t>万元，占支出合计的</w:t>
      </w:r>
      <w:r>
        <w:rPr>
          <w:rFonts w:hint="eastAsia" w:ascii="仿宋_GB2312" w:eastAsia="仿宋_GB2312"/>
          <w:sz w:val="28"/>
          <w:szCs w:val="28"/>
          <w:lang w:eastAsia="zh-CN"/>
        </w:rPr>
        <w:t>55.78</w:t>
      </w:r>
      <w:r>
        <w:rPr>
          <w:rFonts w:hint="eastAsia" w:ascii="仿宋_GB2312" w:eastAsia="仿宋_GB2312"/>
          <w:sz w:val="28"/>
          <w:szCs w:val="28"/>
        </w:rPr>
        <w:t>%；项目支出</w:t>
      </w:r>
      <w:r>
        <w:rPr>
          <w:rFonts w:ascii="仿宋_GB2312" w:eastAsia="仿宋_GB2312"/>
          <w:sz w:val="28"/>
          <w:szCs w:val="28"/>
        </w:rPr>
        <w:t>6334.86</w:t>
      </w:r>
      <w:r>
        <w:rPr>
          <w:rFonts w:hint="eastAsia" w:ascii="仿宋_GB2312" w:eastAsia="仿宋_GB2312"/>
          <w:sz w:val="28"/>
          <w:szCs w:val="28"/>
        </w:rPr>
        <w:t>万元，占支出合计的</w:t>
      </w:r>
      <w:r>
        <w:rPr>
          <w:rFonts w:hint="eastAsia" w:ascii="仿宋_GB2312" w:eastAsia="仿宋_GB2312"/>
          <w:sz w:val="28"/>
          <w:szCs w:val="28"/>
          <w:lang w:eastAsia="zh-CN"/>
        </w:rPr>
        <w:t>44.22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11938.28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2648.87</w:t>
      </w:r>
      <w:r>
        <w:rPr>
          <w:rFonts w:hint="eastAsia" w:ascii="仿宋_GB2312" w:eastAsia="仿宋_GB2312"/>
          <w:sz w:val="28"/>
          <w:szCs w:val="28"/>
        </w:rPr>
        <w:t>万元，增长</w:t>
      </w:r>
      <w:r>
        <w:rPr>
          <w:rFonts w:hint="eastAsia" w:ascii="仿宋_GB2312" w:eastAsia="仿宋_GB2312"/>
          <w:sz w:val="28"/>
          <w:szCs w:val="28"/>
          <w:lang w:val="en-US" w:eastAsia="zh-CN"/>
        </w:rPr>
        <w:t>28.51</w:t>
      </w:r>
      <w:r>
        <w:rPr>
          <w:rFonts w:hint="eastAsia" w:ascii="仿宋_GB2312" w:eastAsia="仿宋_GB2312"/>
          <w:sz w:val="28"/>
          <w:szCs w:val="28"/>
        </w:rPr>
        <w:t>%。主要原因：</w:t>
      </w:r>
      <w:r>
        <w:rPr>
          <w:rFonts w:hint="eastAsia" w:ascii="仿宋_GB2312" w:eastAsia="仿宋_GB2312"/>
          <w:sz w:val="28"/>
          <w:szCs w:val="28"/>
          <w:lang w:val="en-US" w:eastAsia="zh-CN"/>
        </w:rPr>
        <w:t>人员经费合理增长，</w:t>
      </w:r>
      <w:r>
        <w:rPr>
          <w:rFonts w:hint="eastAsia" w:ascii="仿宋_GB2312" w:hAnsi="Times New Roman" w:eastAsia="仿宋_GB2312" w:cs="Times New Roman"/>
          <w:sz w:val="28"/>
          <w:szCs w:val="28"/>
          <w:lang w:val="en-US" w:eastAsia="zh-CN"/>
        </w:rPr>
        <w:t>新增</w:t>
      </w:r>
      <w:r>
        <w:rPr>
          <w:rFonts w:hint="eastAsia" w:ascii="仿宋_GB2312" w:hAnsi="Times New Roman" w:eastAsia="仿宋_GB2312" w:cs="Times New Roman"/>
          <w:sz w:val="28"/>
          <w:szCs w:val="28"/>
        </w:rPr>
        <w:t>北京市房地一体的宅基地、集体建设用地地籍调查和确权登记工作</w:t>
      </w:r>
      <w:r>
        <w:rPr>
          <w:rFonts w:hint="eastAsia" w:ascii="仿宋_GB2312" w:hAnsi="Times New Roman" w:eastAsia="仿宋_GB2312" w:cs="Times New Roman"/>
          <w:sz w:val="28"/>
          <w:szCs w:val="28"/>
          <w:lang w:eastAsia="zh-CN"/>
        </w:rPr>
        <w:t>、北京市自然资源统一确权登记、普通项目全过程服务监督</w:t>
      </w:r>
      <w:r>
        <w:rPr>
          <w:rFonts w:hint="eastAsia" w:ascii="仿宋_GB2312" w:hAnsi="Times New Roman" w:eastAsia="仿宋_GB2312" w:cs="Times New Roman"/>
          <w:sz w:val="28"/>
          <w:szCs w:val="28"/>
          <w:lang w:val="en-US" w:eastAsia="zh-CN"/>
        </w:rPr>
        <w:t>等项目支出</w:t>
      </w:r>
      <w:r>
        <w:rPr>
          <w:rFonts w:hint="eastAsia" w:ascii="仿宋_GB2312" w:hAnsi="Times New Roman" w:eastAsia="仿宋_GB2312" w:cs="Times New Roman"/>
          <w:sz w:val="28"/>
          <w:szCs w:val="28"/>
        </w:rPr>
        <w:t>。</w:t>
      </w:r>
    </w:p>
    <w:p>
      <w:pPr>
        <w:keepNext w:val="0"/>
        <w:keepLines w:val="0"/>
        <w:pageBreakBefore w:val="0"/>
        <w:widowControl w:val="0"/>
        <w:tabs>
          <w:tab w:val="center" w:pos="6979"/>
        </w:tabs>
        <w:kinsoku/>
        <w:wordWrap/>
        <w:overflowPunct/>
        <w:topLinePunct w:val="0"/>
        <w:bidi w:val="0"/>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10173.96</w:t>
      </w:r>
      <w:r>
        <w:rPr>
          <w:rFonts w:hint="eastAsia" w:ascii="仿宋_GB2312" w:eastAsia="仿宋_GB2312"/>
          <w:sz w:val="28"/>
          <w:szCs w:val="28"/>
        </w:rPr>
        <w:t>万元，主要用于以下方面（按大类）：</w:t>
      </w:r>
      <w:r>
        <w:rPr>
          <w:rFonts w:hint="eastAsia" w:ascii="仿宋_GB2312" w:eastAsia="仿宋_GB2312"/>
          <w:color w:val="auto"/>
          <w:sz w:val="28"/>
          <w:szCs w:val="28"/>
          <w:lang w:eastAsia="zh-CN"/>
        </w:rPr>
        <w:t>教育支出</w:t>
      </w:r>
      <w:r>
        <w:rPr>
          <w:rFonts w:hint="eastAsia" w:ascii="仿宋_GB2312" w:eastAsia="仿宋_GB2312"/>
          <w:color w:val="auto"/>
          <w:sz w:val="28"/>
          <w:szCs w:val="28"/>
          <w:lang w:val="en-US" w:eastAsia="zh-CN"/>
        </w:rPr>
        <w:t>2.97万元，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0.03</w:t>
      </w:r>
      <w:r>
        <w:rPr>
          <w:rFonts w:hint="eastAsia" w:ascii="仿宋_GB2312" w:eastAsia="仿宋_GB2312"/>
          <w:color w:val="auto"/>
          <w:sz w:val="28"/>
          <w:szCs w:val="28"/>
        </w:rPr>
        <w:t>%</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lang w:val="en-US" w:eastAsia="zh-CN"/>
        </w:rPr>
        <w:t>827.11万元，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8.13</w:t>
      </w:r>
      <w:r>
        <w:rPr>
          <w:rFonts w:hint="eastAsia" w:ascii="仿宋_GB2312" w:eastAsia="仿宋_GB2312"/>
          <w:color w:val="auto"/>
          <w:sz w:val="28"/>
          <w:szCs w:val="28"/>
        </w:rPr>
        <w:t>%；</w:t>
      </w:r>
      <w:r>
        <w:rPr>
          <w:rFonts w:hint="eastAsia" w:ascii="仿宋_GB2312" w:eastAsia="仿宋_GB2312"/>
          <w:color w:val="auto"/>
          <w:sz w:val="28"/>
          <w:szCs w:val="28"/>
          <w:lang w:eastAsia="zh-CN"/>
        </w:rPr>
        <w:t>卫生健康支出</w:t>
      </w:r>
      <w:r>
        <w:rPr>
          <w:rFonts w:hint="eastAsia" w:ascii="仿宋_GB2312" w:eastAsia="仿宋_GB2312"/>
          <w:color w:val="auto"/>
          <w:sz w:val="28"/>
          <w:szCs w:val="28"/>
          <w:lang w:val="en-US" w:eastAsia="zh-CN"/>
        </w:rPr>
        <w:t>583.70万元，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5.74</w:t>
      </w:r>
      <w:r>
        <w:rPr>
          <w:rFonts w:hint="eastAsia" w:ascii="仿宋_GB2312" w:eastAsia="仿宋_GB2312"/>
          <w:color w:val="auto"/>
          <w:sz w:val="28"/>
          <w:szCs w:val="28"/>
        </w:rPr>
        <w:t>%</w:t>
      </w:r>
      <w:r>
        <w:rPr>
          <w:rFonts w:hint="eastAsia" w:ascii="仿宋_GB2312" w:eastAsia="仿宋_GB2312"/>
          <w:color w:val="auto"/>
          <w:sz w:val="28"/>
          <w:szCs w:val="28"/>
          <w:lang w:eastAsia="zh-CN"/>
        </w:rPr>
        <w:t>；自然资源海洋气象等支出</w:t>
      </w:r>
      <w:r>
        <w:rPr>
          <w:rFonts w:hint="eastAsia" w:ascii="仿宋_GB2312" w:eastAsia="仿宋_GB2312"/>
          <w:color w:val="auto"/>
          <w:sz w:val="28"/>
          <w:szCs w:val="28"/>
          <w:lang w:val="en-US" w:eastAsia="zh-CN"/>
        </w:rPr>
        <w:t>8760.18万元，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86.10</w:t>
      </w:r>
      <w:r>
        <w:rPr>
          <w:rFonts w:hint="eastAsia" w:ascii="仿宋_GB2312" w:eastAsia="仿宋_GB2312"/>
          <w:color w:val="auto"/>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59.40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仿宋_GB2312" w:eastAsia="仿宋_GB2312"/>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color w:val="auto"/>
          <w:sz w:val="28"/>
          <w:szCs w:val="28"/>
          <w:lang w:eastAsia="zh-CN"/>
        </w:rPr>
        <w:t>“进修及培训”</w:t>
      </w:r>
      <w:r>
        <w:rPr>
          <w:rFonts w:hint="eastAsia" w:ascii="仿宋_GB2312" w:eastAsia="仿宋_GB2312"/>
          <w:color w:val="auto"/>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59.40</w:t>
      </w:r>
      <w:r>
        <w:rPr>
          <w:rFonts w:hint="eastAsia" w:ascii="仿宋_GB2312" w:eastAsia="仿宋_GB2312"/>
          <w:sz w:val="28"/>
          <w:szCs w:val="28"/>
        </w:rPr>
        <w:t>%。主要原因：</w:t>
      </w:r>
      <w:r>
        <w:rPr>
          <w:rFonts w:hint="eastAsia" w:ascii="仿宋_GB2312" w:eastAsia="仿宋_GB2312"/>
          <w:color w:val="auto"/>
          <w:sz w:val="28"/>
          <w:szCs w:val="28"/>
          <w:lang w:eastAsia="zh-CN"/>
        </w:rPr>
        <w:t>落实厉行勤俭节约要求，严格控制教育培训标准，培训费支出减少。</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auto"/>
          <w:sz w:val="28"/>
          <w:szCs w:val="28"/>
        </w:rPr>
        <w:t>“</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805.76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827.11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102.65</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805.76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827.11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102.65</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人员经费合理增加以及新增新入职人员</w:t>
      </w:r>
      <w:r>
        <w:rPr>
          <w:rFonts w:hint="eastAsia" w:ascii="仿宋_GB2312" w:eastAsia="仿宋_GB2312"/>
          <w:color w:val="auto"/>
          <w:sz w:val="28"/>
          <w:szCs w:val="28"/>
          <w:highlight w:val="none"/>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color w:val="auto"/>
          <w:sz w:val="28"/>
          <w:szCs w:val="28"/>
          <w:highlight w:val="none"/>
          <w:lang w:val="en-US" w:eastAsia="zh-CN"/>
        </w:rPr>
        <w:t>3、“卫生健康支出”(类)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579.89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583.70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100.66</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color w:val="auto"/>
          <w:kern w:val="2"/>
          <w:sz w:val="28"/>
          <w:szCs w:val="28"/>
          <w:highlight w:val="none"/>
          <w:lang w:val="en-US" w:eastAsia="zh-CN" w:bidi="ar-SA"/>
        </w:rPr>
        <w:t>“行政事业单位医疗”</w:t>
      </w:r>
      <w:r>
        <w:rPr>
          <w:rFonts w:hint="eastAsia" w:ascii="仿宋_GB2312" w:eastAsia="仿宋_GB2312"/>
          <w:color w:val="auto"/>
          <w:sz w:val="28"/>
          <w:szCs w:val="28"/>
          <w:highlight w:val="none"/>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579.89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583.70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100.66</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人员经费合理增加以及新增新入职人员</w:t>
      </w:r>
      <w:r>
        <w:rPr>
          <w:rFonts w:hint="eastAsia" w:ascii="仿宋_GB2312" w:eastAsia="仿宋_GB2312"/>
          <w:color w:val="auto"/>
          <w:sz w:val="28"/>
          <w:szCs w:val="28"/>
          <w:highlight w:val="none"/>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hAnsi="仿宋_GB2312" w:eastAsia="仿宋_GB2312" w:cs="仿宋_GB2312"/>
          <w:color w:val="auto"/>
          <w:sz w:val="28"/>
          <w:szCs w:val="28"/>
          <w:highlight w:val="none"/>
          <w:lang w:val="en-US" w:eastAsia="zh-CN"/>
        </w:rPr>
        <w:t>4、“</w:t>
      </w:r>
      <w:r>
        <w:rPr>
          <w:rFonts w:hint="eastAsia" w:ascii="仿宋_GB2312" w:eastAsia="仿宋_GB2312"/>
          <w:color w:val="auto"/>
          <w:sz w:val="28"/>
          <w:szCs w:val="28"/>
          <w:highlight w:val="none"/>
          <w:lang w:eastAsia="zh-CN"/>
        </w:rPr>
        <w:t>自然资源海洋气象等支出</w:t>
      </w:r>
      <w:r>
        <w:rPr>
          <w:rFonts w:hint="eastAsia" w:ascii="仿宋_GB2312" w:hAnsi="仿宋_GB2312" w:eastAsia="仿宋_GB2312" w:cs="仿宋_GB2312"/>
          <w:color w:val="auto"/>
          <w:sz w:val="28"/>
          <w:szCs w:val="28"/>
          <w:highlight w:val="none"/>
          <w:lang w:val="en-US" w:eastAsia="zh-CN"/>
        </w:rPr>
        <w:t>”</w:t>
      </w:r>
      <w:r>
        <w:rPr>
          <w:rFonts w:hint="eastAsia" w:ascii="仿宋_GB2312" w:eastAsia="仿宋_GB2312"/>
          <w:color w:val="auto"/>
          <w:sz w:val="28"/>
          <w:szCs w:val="28"/>
          <w:highlight w:val="none"/>
          <w:lang w:val="en-US"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7951.26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8760.18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110.17</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color w:val="auto"/>
          <w:sz w:val="28"/>
          <w:szCs w:val="28"/>
          <w:highlight w:val="none"/>
          <w:lang w:val="en-US" w:eastAsia="zh-CN"/>
        </w:rPr>
        <w:t>“自然资源事务”（款）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7951.26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8760.18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110.17</w:t>
      </w:r>
      <w:r>
        <w:rPr>
          <w:rFonts w:hint="eastAsia" w:ascii="仿宋_GB2312" w:eastAsia="仿宋_GB2312"/>
          <w:sz w:val="28"/>
          <w:szCs w:val="28"/>
        </w:rPr>
        <w:t>%。主要原因：</w:t>
      </w:r>
      <w:r>
        <w:rPr>
          <w:rFonts w:hint="eastAsia" w:ascii="仿宋_GB2312" w:eastAsia="仿宋_GB2312"/>
          <w:color w:val="auto"/>
          <w:sz w:val="28"/>
          <w:szCs w:val="28"/>
          <w:highlight w:val="none"/>
          <w:lang w:val="en-US" w:eastAsia="zh-CN"/>
        </w:rPr>
        <w:t>人员经费合理增长，以及追加</w:t>
      </w:r>
      <w:r>
        <w:rPr>
          <w:rFonts w:hint="eastAsia" w:ascii="仿宋_GB2312" w:hAnsi="Times New Roman" w:eastAsia="仿宋_GB2312" w:cs="Times New Roman"/>
          <w:sz w:val="28"/>
          <w:szCs w:val="28"/>
        </w:rPr>
        <w:t>北京市房地一体的宅基地、集体建设用地地籍调查和确权登记工作</w:t>
      </w:r>
      <w:r>
        <w:rPr>
          <w:rFonts w:hint="eastAsia" w:ascii="仿宋_GB2312" w:hAnsi="Times New Roman" w:eastAsia="仿宋_GB2312" w:cs="Times New Roman"/>
          <w:sz w:val="28"/>
          <w:szCs w:val="28"/>
          <w:lang w:eastAsia="zh-CN"/>
        </w:rPr>
        <w:t>、北京市自然资源统一确权登记、普通项目全过程服务监督</w:t>
      </w:r>
      <w:r>
        <w:rPr>
          <w:rFonts w:hint="eastAsia" w:ascii="仿宋_GB2312" w:hAnsi="Times New Roman" w:eastAsia="仿宋_GB2312" w:cs="Times New Roman"/>
          <w:sz w:val="28"/>
          <w:szCs w:val="28"/>
          <w:lang w:val="en-US" w:eastAsia="zh-CN"/>
        </w:rPr>
        <w:t>等项目支出</w:t>
      </w:r>
      <w:r>
        <w:rPr>
          <w:rFonts w:hint="eastAsia" w:ascii="仿宋_GB2312" w:eastAsia="仿宋_GB2312"/>
          <w:color w:val="auto"/>
          <w:sz w:val="28"/>
          <w:szCs w:val="28"/>
          <w:highlight w:val="none"/>
          <w:lang w:val="en-US" w:eastAsia="zh-CN"/>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1668.64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1668.64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700" w:firstLineChars="250"/>
        <w:jc w:val="left"/>
        <w:textAlignment w:val="auto"/>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149.71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1668.64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1114.58</w:t>
      </w:r>
      <w:r>
        <w:rPr>
          <w:rFonts w:hint="eastAsia" w:ascii="仿宋_GB2312" w:eastAsia="仿宋_GB2312"/>
          <w:sz w:val="28"/>
          <w:szCs w:val="28"/>
        </w:rPr>
        <w:t>%。其中：</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“国有土地使用权出让收入安排的支出”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149.71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1668.64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1114.58</w:t>
      </w:r>
      <w:r>
        <w:rPr>
          <w:rFonts w:hint="eastAsia" w:ascii="仿宋_GB2312" w:eastAsia="仿宋_GB2312"/>
          <w:sz w:val="28"/>
          <w:szCs w:val="28"/>
        </w:rPr>
        <w:t>%。主要原因：</w:t>
      </w:r>
      <w:r>
        <w:rPr>
          <w:rFonts w:hint="eastAsia" w:ascii="仿宋_GB2312" w:eastAsia="仿宋_GB2312"/>
          <w:color w:val="auto"/>
          <w:sz w:val="28"/>
          <w:szCs w:val="28"/>
          <w:highlight w:val="none"/>
          <w:lang w:val="en-US" w:eastAsia="zh-CN"/>
        </w:rPr>
        <w:t>追加</w:t>
      </w:r>
      <w:r>
        <w:rPr>
          <w:rFonts w:hint="eastAsia" w:ascii="仿宋_GB2312" w:hAnsi="Times New Roman" w:eastAsia="仿宋_GB2312" w:cs="Times New Roman"/>
          <w:sz w:val="28"/>
          <w:szCs w:val="28"/>
        </w:rPr>
        <w:t>北京市房地一体的宅基地、集体建设用地地籍调查和确权登记工作</w:t>
      </w:r>
      <w:r>
        <w:rPr>
          <w:rFonts w:hint="eastAsia" w:ascii="仿宋_GB2312" w:eastAsia="仿宋_GB2312"/>
          <w:sz w:val="28"/>
          <w:szCs w:val="28"/>
          <w:lang w:eastAsia="zh-CN"/>
        </w:rPr>
        <w:t>项目经费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ascii="仿宋_GB2312" w:eastAsia="仿宋_GB2312"/>
          <w:sz w:val="28"/>
          <w:szCs w:val="28"/>
        </w:rPr>
      </w:pPr>
      <w:r>
        <w:rPr>
          <w:rFonts w:hint="eastAsia" w:ascii="仿宋_GB2312" w:eastAsia="仿宋_GB2312"/>
          <w:sz w:val="28"/>
          <w:szCs w:val="28"/>
          <w:lang w:eastAsia="zh-CN"/>
        </w:rPr>
        <w:t>本单位无此项支出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48" w:firstLineChars="196"/>
        <w:textAlignment w:val="auto"/>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7991.17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64.66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84.86</w:t>
      </w:r>
      <w:r>
        <w:rPr>
          <w:rFonts w:hint="eastAsia" w:ascii="仿宋_GB2312" w:eastAsia="仿宋_GB2312"/>
          <w:sz w:val="28"/>
          <w:szCs w:val="28"/>
        </w:rPr>
        <w:t>万元减少</w:t>
      </w:r>
      <w:r>
        <w:rPr>
          <w:rFonts w:ascii="仿宋_GB2312" w:eastAsia="仿宋_GB2312"/>
          <w:sz w:val="28"/>
          <w:szCs w:val="28"/>
        </w:rPr>
        <w:t>20.2</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64.66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84.86</w:t>
      </w:r>
      <w:r>
        <w:rPr>
          <w:rFonts w:hint="eastAsia" w:ascii="仿宋_GB2312" w:eastAsia="仿宋_GB2312"/>
          <w:sz w:val="28"/>
          <w:szCs w:val="28"/>
        </w:rPr>
        <w:t>万元减少</w:t>
      </w:r>
      <w:r>
        <w:rPr>
          <w:rFonts w:ascii="仿宋_GB2312" w:eastAsia="仿宋_GB2312"/>
          <w:sz w:val="28"/>
          <w:szCs w:val="28"/>
        </w:rPr>
        <w:t>20.2</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35.96</w:t>
      </w:r>
      <w:r>
        <w:rPr>
          <w:rFonts w:hint="eastAsia" w:ascii="仿宋_GB2312" w:eastAsia="仿宋_GB2312"/>
          <w:sz w:val="28"/>
          <w:szCs w:val="28"/>
        </w:rPr>
        <w:t>万元，主要原因：</w:t>
      </w:r>
      <w:r>
        <w:rPr>
          <w:rFonts w:hint="eastAsia" w:ascii="仿宋_GB2312" w:eastAsia="仿宋_GB2312"/>
          <w:sz w:val="28"/>
          <w:szCs w:val="28"/>
          <w:lang w:eastAsia="zh-CN"/>
        </w:rPr>
        <w:t>严格执行公务用车管理规定，坚持厉行节约，只报废更新极少数必要车辆，严控新车购置。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2</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28.70</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落实政府过紧日子要求，严控车辆加油等</w:t>
      </w:r>
      <w:r>
        <w:rPr>
          <w:rFonts w:hint="eastAsia" w:ascii="仿宋_GB2312" w:eastAsia="仿宋_GB2312"/>
          <w:sz w:val="28"/>
          <w:szCs w:val="28"/>
        </w:rPr>
        <w:t>公务用车运行维护</w:t>
      </w:r>
      <w:r>
        <w:rPr>
          <w:rFonts w:hint="eastAsia" w:ascii="仿宋_GB2312" w:eastAsia="仿宋_GB2312"/>
          <w:sz w:val="28"/>
          <w:szCs w:val="28"/>
          <w:lang w:eastAsia="zh-CN"/>
        </w:rPr>
        <w:t>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21</w:t>
      </w:r>
      <w:r>
        <w:rPr>
          <w:rFonts w:hint="eastAsia" w:ascii="仿宋_GB2312" w:eastAsia="仿宋_GB2312"/>
          <w:sz w:val="28"/>
          <w:szCs w:val="28"/>
        </w:rPr>
        <w:t>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699.70</w:t>
      </w:r>
      <w:r>
        <w:rPr>
          <w:rFonts w:hint="eastAsia" w:ascii="仿宋_GB2312" w:eastAsia="仿宋_GB2312"/>
          <w:sz w:val="28"/>
          <w:szCs w:val="28"/>
        </w:rPr>
        <w:t>万元，比上年增加</w:t>
      </w:r>
      <w:r>
        <w:rPr>
          <w:rFonts w:hint="eastAsia" w:ascii="仿宋_GB2312" w:eastAsia="仿宋_GB2312"/>
          <w:sz w:val="28"/>
          <w:szCs w:val="28"/>
          <w:lang w:val="en-US" w:eastAsia="zh-CN"/>
        </w:rPr>
        <w:t>88.73</w:t>
      </w:r>
      <w:r>
        <w:rPr>
          <w:rFonts w:hint="eastAsia" w:ascii="仿宋_GB2312" w:eastAsia="仿宋_GB2312"/>
          <w:sz w:val="28"/>
          <w:szCs w:val="28"/>
        </w:rPr>
        <w:t>万元，增加原因：</w:t>
      </w:r>
      <w:r>
        <w:rPr>
          <w:rFonts w:hint="eastAsia" w:ascii="仿宋_GB2312" w:eastAsia="仿宋_GB2312"/>
          <w:sz w:val="28"/>
          <w:szCs w:val="28"/>
          <w:lang w:eastAsia="zh-CN"/>
        </w:rPr>
        <w:t>在严格落实厉行节约反对浪费前提下，为保障单位日常办公正常开展，设备设施正常使用，发生必要的维修维护费用，机关运行经费合理增加</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540"/>
        <w:textAlignment w:val="auto"/>
        <w:rPr>
          <w:rFonts w:hint="eastAsia"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9217.85</w:t>
      </w:r>
      <w:r>
        <w:rPr>
          <w:rFonts w:hint="eastAsia" w:ascii="仿宋_GB2312" w:eastAsia="仿宋_GB2312"/>
          <w:sz w:val="28"/>
          <w:szCs w:val="28"/>
        </w:rPr>
        <w:t>万元，其中：政府采购货物支出</w:t>
      </w:r>
      <w:r>
        <w:rPr>
          <w:rFonts w:ascii="仿宋_GB2312" w:eastAsia="仿宋_GB2312"/>
          <w:sz w:val="28"/>
          <w:szCs w:val="28"/>
        </w:rPr>
        <w:t>336.43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8881.42</w:t>
      </w:r>
      <w:r>
        <w:rPr>
          <w:rFonts w:hint="eastAsia" w:ascii="仿宋_GB2312" w:eastAsia="仿宋_GB2312"/>
          <w:sz w:val="28"/>
          <w:szCs w:val="28"/>
        </w:rPr>
        <w:t>万元。授予中小企业合同金额</w:t>
      </w:r>
      <w:r>
        <w:rPr>
          <w:rFonts w:ascii="仿宋_GB2312" w:eastAsia="仿宋_GB2312"/>
          <w:sz w:val="28"/>
          <w:szCs w:val="28"/>
        </w:rPr>
        <w:t>4655.9</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50.51</w:t>
      </w:r>
      <w:r>
        <w:rPr>
          <w:rFonts w:hint="eastAsia" w:ascii="仿宋_GB2312" w:eastAsia="仿宋_GB2312"/>
          <w:sz w:val="28"/>
          <w:szCs w:val="28"/>
        </w:rPr>
        <w:t>%，其中：授予小微企业合同金额</w:t>
      </w:r>
      <w:r>
        <w:rPr>
          <w:rFonts w:ascii="仿宋_GB2312" w:eastAsia="仿宋_GB2312"/>
          <w:sz w:val="28"/>
          <w:szCs w:val="28"/>
        </w:rPr>
        <w:t>4440.55</w:t>
      </w:r>
      <w:r>
        <w:rPr>
          <w:rFonts w:hint="eastAsia" w:ascii="仿宋_GB2312" w:eastAsia="仿宋_GB2312"/>
          <w:sz w:val="28"/>
          <w:szCs w:val="28"/>
        </w:rPr>
        <w:t>万元，占政府采购支出总额的</w:t>
      </w:r>
      <w:r>
        <w:rPr>
          <w:rFonts w:ascii="仿宋_GB2312" w:eastAsia="仿宋_GB2312"/>
          <w:sz w:val="28"/>
          <w:szCs w:val="28"/>
        </w:rPr>
        <w:t>48.17</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12月31日，北京市规划和自然资源委员会顺义分局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政府购买服务决算3914.71</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tabs>
          <w:tab w:val="left" w:pos="0"/>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tabs>
          <w:tab w:val="left" w:pos="0"/>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eastAsia="zh-CN"/>
        </w:rPr>
        <w:t>教育支出</w:t>
      </w:r>
      <w:r>
        <w:rPr>
          <w:rFonts w:hint="eastAsia" w:ascii="仿宋_GB2312" w:hAnsi="Times New Roman" w:eastAsia="仿宋_GB2312" w:cs="Times New Roman"/>
          <w:color w:val="auto"/>
          <w:sz w:val="28"/>
          <w:szCs w:val="28"/>
        </w:rPr>
        <w:t>（类）</w:t>
      </w:r>
      <w:r>
        <w:rPr>
          <w:rFonts w:hint="eastAsia" w:ascii="仿宋_GB2312" w:hAnsi="Times New Roman" w:eastAsia="仿宋_GB2312" w:cs="Times New Roman"/>
          <w:color w:val="auto"/>
          <w:sz w:val="28"/>
          <w:szCs w:val="28"/>
          <w:lang w:eastAsia="zh-CN"/>
        </w:rPr>
        <w:t>进修及培训</w:t>
      </w:r>
      <w:r>
        <w:rPr>
          <w:rFonts w:hint="eastAsia" w:ascii="仿宋_GB2312" w:hAnsi="Times New Roman" w:eastAsia="仿宋_GB2312" w:cs="Times New Roman"/>
          <w:color w:val="auto"/>
          <w:sz w:val="28"/>
          <w:szCs w:val="28"/>
        </w:rPr>
        <w:t>（款）培训支出（项）：反映</w:t>
      </w:r>
      <w:r>
        <w:rPr>
          <w:rFonts w:hint="eastAsia" w:ascii="仿宋_GB2312" w:hAnsi="Times New Roman" w:eastAsia="仿宋_GB2312" w:cs="Times New Roman"/>
          <w:color w:val="auto"/>
          <w:sz w:val="28"/>
          <w:szCs w:val="28"/>
          <w:lang w:eastAsia="zh-CN"/>
        </w:rPr>
        <w:t>本单位用于培训的支出。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（款）行政单位离退休（项）：反映</w:t>
      </w:r>
      <w:r>
        <w:rPr>
          <w:rFonts w:hint="eastAsia" w:ascii="仿宋_GB2312" w:hAnsi="Times New Roman" w:eastAsia="仿宋_GB2312" w:cs="Times New Roman"/>
          <w:color w:val="auto"/>
          <w:sz w:val="28"/>
          <w:szCs w:val="28"/>
          <w:lang w:eastAsia="zh-CN"/>
        </w:rPr>
        <w:t>行政单位（包括实行公务员管理的事业单位）开支的离退休经费</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（款）事业单位离退休（项）：反映</w:t>
      </w:r>
      <w:r>
        <w:rPr>
          <w:rFonts w:hint="eastAsia" w:ascii="仿宋_GB2312" w:hAnsi="Times New Roman" w:eastAsia="仿宋_GB2312" w:cs="Times New Roman"/>
          <w:color w:val="auto"/>
          <w:sz w:val="28"/>
          <w:szCs w:val="28"/>
          <w:lang w:eastAsia="zh-CN"/>
        </w:rPr>
        <w:t>事业单位开支的离退休经费</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（款）机关事业单位基本养老保险缴费支出（项）：反映</w:t>
      </w:r>
      <w:r>
        <w:rPr>
          <w:rFonts w:hint="eastAsia" w:ascii="仿宋_GB2312" w:hAnsi="Times New Roman" w:eastAsia="仿宋_GB2312" w:cs="Times New Roman"/>
          <w:color w:val="auto"/>
          <w:sz w:val="28"/>
          <w:szCs w:val="28"/>
          <w:lang w:eastAsia="zh-CN"/>
        </w:rPr>
        <w:t>机关事业单位实施养老保险制度由单位缴纳的基本养老保险费支出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卫生健康支出（类）</w:t>
      </w:r>
      <w:r>
        <w:rPr>
          <w:rFonts w:hint="eastAsia" w:ascii="仿宋_GB2312" w:hAnsi="Times New Roman" w:eastAsia="仿宋_GB2312" w:cs="Times New Roman"/>
          <w:color w:val="auto"/>
          <w:sz w:val="28"/>
          <w:szCs w:val="28"/>
          <w:lang w:eastAsia="zh-CN"/>
        </w:rPr>
        <w:t>行政事业单位医疗</w:t>
      </w:r>
      <w:r>
        <w:rPr>
          <w:rFonts w:hint="eastAsia" w:ascii="仿宋_GB2312" w:hAnsi="Times New Roman" w:eastAsia="仿宋_GB2312" w:cs="Times New Roman"/>
          <w:color w:val="auto"/>
          <w:sz w:val="28"/>
          <w:szCs w:val="28"/>
        </w:rPr>
        <w:t>（款）行政单位医疗（项）：反映反映财政部门安排的行政单位（包括实行公务员管理的事业单位）基本医疗保险缴费经费。</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卫生健康支出（类）</w:t>
      </w:r>
      <w:r>
        <w:rPr>
          <w:rFonts w:hint="eastAsia" w:ascii="仿宋_GB2312" w:hAnsi="Times New Roman" w:eastAsia="仿宋_GB2312" w:cs="Times New Roman"/>
          <w:color w:val="auto"/>
          <w:sz w:val="28"/>
          <w:szCs w:val="28"/>
          <w:lang w:eastAsia="zh-CN"/>
        </w:rPr>
        <w:t>行政事业单位医疗</w:t>
      </w:r>
      <w:r>
        <w:rPr>
          <w:rFonts w:hint="eastAsia" w:ascii="仿宋_GB2312" w:hAnsi="Times New Roman" w:eastAsia="仿宋_GB2312" w:cs="Times New Roman"/>
          <w:color w:val="auto"/>
          <w:sz w:val="28"/>
          <w:szCs w:val="28"/>
        </w:rPr>
        <w:t>（款）事业单位医疗（项）：反映财政部门安排的</w:t>
      </w:r>
      <w:r>
        <w:rPr>
          <w:rFonts w:hint="eastAsia" w:ascii="仿宋_GB2312" w:hAnsi="Times New Roman" w:eastAsia="仿宋_GB2312" w:cs="Times New Roman"/>
          <w:color w:val="auto"/>
          <w:sz w:val="28"/>
          <w:szCs w:val="28"/>
          <w:lang w:eastAsia="zh-CN"/>
        </w:rPr>
        <w:t>事业</w:t>
      </w:r>
      <w:r>
        <w:rPr>
          <w:rFonts w:hint="eastAsia" w:ascii="仿宋_GB2312" w:hAnsi="Times New Roman" w:eastAsia="仿宋_GB2312" w:cs="Times New Roman"/>
          <w:color w:val="auto"/>
          <w:sz w:val="28"/>
          <w:szCs w:val="28"/>
        </w:rPr>
        <w:t>单位基本医疗保险缴费经费。</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城乡社区支出（类）城乡社区规划与管理（款）城乡社区规划与管理（项）：反映城乡社区、防灾减灾、历史名城规划制定与管理等方面的支出。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城乡社区支出（类）城乡社区公共设施（款）小城镇基础设施建设（项）：反映用于小城镇路、气、水、电等基础建设方面的支出。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城乡社区支出（类）城乡社区公共设施（款）其他城乡社区公共设施支出（项）：反映城乡社区公共设施方面的支出。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城乡社区支出（类）国有土地使用权出让收入安排的支出（款）土地出让业务支出（项）：反映土地出让收入用于土地出让业务费用的开支。</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eastAsia="zh-CN"/>
        </w:rPr>
        <w:t>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城乡社区支出（类）</w:t>
      </w:r>
      <w:r>
        <w:rPr>
          <w:rFonts w:hint="eastAsia" w:ascii="仿宋_GB2312" w:hAnsi="Times New Roman" w:eastAsia="仿宋_GB2312" w:cs="Times New Roman"/>
          <w:color w:val="auto"/>
          <w:sz w:val="28"/>
          <w:szCs w:val="28"/>
          <w:lang w:eastAsia="zh-CN"/>
        </w:rPr>
        <w:t>国有土地使用权出让收入安排的支出</w:t>
      </w:r>
      <w:r>
        <w:rPr>
          <w:rFonts w:hint="eastAsia" w:ascii="仿宋_GB2312" w:hAnsi="Times New Roman" w:eastAsia="仿宋_GB2312" w:cs="Times New Roman"/>
          <w:color w:val="auto"/>
          <w:sz w:val="28"/>
          <w:szCs w:val="28"/>
        </w:rPr>
        <w:t>（款）农业农村生态环境支出（项）：反映</w:t>
      </w:r>
      <w:r>
        <w:rPr>
          <w:rFonts w:hint="eastAsia" w:ascii="仿宋_GB2312" w:hAnsi="Times New Roman" w:eastAsia="仿宋_GB2312" w:cs="Times New Roman"/>
          <w:color w:val="auto"/>
          <w:sz w:val="28"/>
          <w:szCs w:val="28"/>
          <w:lang w:eastAsia="zh-CN"/>
        </w:rPr>
        <w:t>土地出让收入用于农村人居环境整治、与农业农村直接相关的山水林田湖草生态保护修复等方面的支出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（款）行政运行</w:t>
      </w:r>
      <w:r>
        <w:rPr>
          <w:rFonts w:hint="eastAsia" w:ascii="仿宋_GB2312" w:hAnsi="Times New Roman" w:eastAsia="仿宋_GB2312" w:cs="Times New Roman"/>
          <w:color w:val="auto"/>
          <w:sz w:val="28"/>
          <w:szCs w:val="28"/>
          <w:lang w:eastAsia="zh-CN"/>
        </w:rPr>
        <w:t>（项）：反映行政单位（包括实行公务员管理的事业单位）的基本支出。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自然资源海洋气象等支出（类）自然资源事务（款）自然资源规划及管理（项）：反映用于国土空间规划、国土空间开发适宜性评价等方面</w:t>
      </w:r>
      <w:r>
        <w:rPr>
          <w:rFonts w:hint="eastAsia" w:ascii="仿宋_GB2312" w:eastAsia="仿宋_GB2312" w:cs="Times New Roman"/>
          <w:color w:val="auto"/>
          <w:sz w:val="28"/>
          <w:szCs w:val="28"/>
          <w:lang w:eastAsia="zh-CN"/>
        </w:rPr>
        <w:t>的</w:t>
      </w:r>
      <w:r>
        <w:rPr>
          <w:rFonts w:hint="eastAsia" w:ascii="仿宋_GB2312" w:hAnsi="Times New Roman" w:eastAsia="仿宋_GB2312" w:cs="Times New Roman"/>
          <w:color w:val="auto"/>
          <w:sz w:val="28"/>
          <w:szCs w:val="28"/>
          <w:lang w:eastAsia="zh-CN"/>
        </w:rPr>
        <w:t>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Times New Roman" w:eastAsia="仿宋_GB2312" w:cs="Times New Roman"/>
          <w:color w:val="auto"/>
          <w:sz w:val="28"/>
          <w:szCs w:val="28"/>
          <w:lang w:eastAsia="zh-CN"/>
        </w:rPr>
        <w:t>自然资源海洋气象等支出（类）自然资源事务（款）自然资源利用与保护（项）：反映用于自然资源有偿使用与合理开发利用，国土空间生态修复，国土整治、耕地保护等方面的支出。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lang w:eastAsia="zh-CN"/>
        </w:rPr>
        <w:t>自然资源海洋气象等支出（类）自然资源事务（款）自然资源调查与确权登记（项）：反映自然资源部门用于自然资源调查监测评价，自然资源统一确权登记等方面的支出。</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（款）事业运行（项）：反映</w:t>
      </w:r>
      <w:r>
        <w:rPr>
          <w:rFonts w:hint="eastAsia" w:ascii="仿宋_GB2312" w:hAnsi="Times New Roman" w:eastAsia="仿宋_GB2312" w:cs="Times New Roman"/>
          <w:color w:val="auto"/>
          <w:sz w:val="28"/>
          <w:szCs w:val="28"/>
          <w:lang w:eastAsia="zh-CN"/>
        </w:rPr>
        <w:t>事业单位的基本支出，不包括行政单位（包括实行公务员管理的事业单位）后勤服务中心、医务室等附属事业单位</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80" w:lineRule="exact"/>
        <w:ind w:left="0" w:leftChars="0" w:firstLine="560" w:firstLineChars="200"/>
        <w:textAlignment w:val="auto"/>
        <w:outlineLvl w:val="9"/>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（款）其他自然资源事务支出（项）：反映</w:t>
      </w:r>
      <w:r>
        <w:rPr>
          <w:rFonts w:hint="eastAsia" w:ascii="仿宋_GB2312" w:hAnsi="Times New Roman" w:eastAsia="仿宋_GB2312" w:cs="Times New Roman"/>
          <w:color w:val="auto"/>
          <w:sz w:val="28"/>
          <w:szCs w:val="28"/>
          <w:lang w:eastAsia="zh-CN"/>
        </w:rPr>
        <w:t>其他用于自然资源事务方面的支出</w:t>
      </w:r>
      <w:r>
        <w:rPr>
          <w:rFonts w:hint="eastAsia" w:ascii="仿宋_GB2312" w:hAnsi="Times New Roman" w:eastAsia="仿宋_GB2312" w:cs="Times New Roman"/>
          <w:color w:val="auto"/>
          <w:sz w:val="28"/>
          <w:szCs w:val="28"/>
        </w:rPr>
        <w:t>。</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bookmarkStart w:id="0" w:name="_GoBack"/>
      <w:bookmarkEnd w:id="0"/>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25FE3"/>
    <w:multiLevelType w:val="singleLevel"/>
    <w:tmpl w:val="8B725FE3"/>
    <w:lvl w:ilvl="0" w:tentative="0">
      <w:start w:val="7"/>
      <w:numFmt w:val="decimal"/>
      <w:suff w:val="nothing"/>
      <w:lvlText w:val="%1．"/>
      <w:lvlJc w:val="left"/>
      <w:pPr>
        <w:ind w:left="0" w:firstLine="40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5B6F"/>
    <w:rsid w:val="00FC6FBE"/>
    <w:rsid w:val="00FD1162"/>
    <w:rsid w:val="00FD2232"/>
    <w:rsid w:val="00FD4AE7"/>
    <w:rsid w:val="00FD65A9"/>
    <w:rsid w:val="00FD7508"/>
    <w:rsid w:val="00FE1E51"/>
    <w:rsid w:val="00FE2496"/>
    <w:rsid w:val="00FE6A2B"/>
    <w:rsid w:val="00FF0275"/>
    <w:rsid w:val="00FF07B3"/>
    <w:rsid w:val="00FF1E37"/>
    <w:rsid w:val="015924BD"/>
    <w:rsid w:val="020E7787"/>
    <w:rsid w:val="02F120AB"/>
    <w:rsid w:val="032B5196"/>
    <w:rsid w:val="039A4687"/>
    <w:rsid w:val="04C3537C"/>
    <w:rsid w:val="072E49B7"/>
    <w:rsid w:val="079004AC"/>
    <w:rsid w:val="07C6192C"/>
    <w:rsid w:val="09BF375B"/>
    <w:rsid w:val="0A204316"/>
    <w:rsid w:val="0AA7316B"/>
    <w:rsid w:val="0BA148CA"/>
    <w:rsid w:val="0C1165C4"/>
    <w:rsid w:val="0C1700CC"/>
    <w:rsid w:val="0D6D544B"/>
    <w:rsid w:val="0DA24684"/>
    <w:rsid w:val="0DD136FE"/>
    <w:rsid w:val="0E425CF5"/>
    <w:rsid w:val="0E675082"/>
    <w:rsid w:val="0F8E2C57"/>
    <w:rsid w:val="1059665E"/>
    <w:rsid w:val="10AC13BA"/>
    <w:rsid w:val="10BE2051"/>
    <w:rsid w:val="10D23CAD"/>
    <w:rsid w:val="117D4550"/>
    <w:rsid w:val="11874CF5"/>
    <w:rsid w:val="12756F05"/>
    <w:rsid w:val="145A6C1B"/>
    <w:rsid w:val="14B73493"/>
    <w:rsid w:val="153B632F"/>
    <w:rsid w:val="167A2FF9"/>
    <w:rsid w:val="18173B95"/>
    <w:rsid w:val="18581C69"/>
    <w:rsid w:val="19E57605"/>
    <w:rsid w:val="1AEC0734"/>
    <w:rsid w:val="1B4F1794"/>
    <w:rsid w:val="1CB51A37"/>
    <w:rsid w:val="1CEF049B"/>
    <w:rsid w:val="1D081474"/>
    <w:rsid w:val="1D473658"/>
    <w:rsid w:val="1DEF20B0"/>
    <w:rsid w:val="1E93430A"/>
    <w:rsid w:val="1F5E767F"/>
    <w:rsid w:val="1FC36FA5"/>
    <w:rsid w:val="212E34EE"/>
    <w:rsid w:val="214243FA"/>
    <w:rsid w:val="21AD613C"/>
    <w:rsid w:val="21F946F0"/>
    <w:rsid w:val="22467189"/>
    <w:rsid w:val="225E2C38"/>
    <w:rsid w:val="243B545B"/>
    <w:rsid w:val="245A57AB"/>
    <w:rsid w:val="24870B95"/>
    <w:rsid w:val="24E43625"/>
    <w:rsid w:val="2513726D"/>
    <w:rsid w:val="257A14F5"/>
    <w:rsid w:val="258749F4"/>
    <w:rsid w:val="27196C26"/>
    <w:rsid w:val="2751510C"/>
    <w:rsid w:val="27780EEC"/>
    <w:rsid w:val="28082824"/>
    <w:rsid w:val="29EF086F"/>
    <w:rsid w:val="2B1B235E"/>
    <w:rsid w:val="2D4C646C"/>
    <w:rsid w:val="2D621931"/>
    <w:rsid w:val="2E956142"/>
    <w:rsid w:val="2EA769DC"/>
    <w:rsid w:val="2EB14775"/>
    <w:rsid w:val="2EFFE297"/>
    <w:rsid w:val="301437CA"/>
    <w:rsid w:val="30737D49"/>
    <w:rsid w:val="310A4369"/>
    <w:rsid w:val="33280727"/>
    <w:rsid w:val="349D1F0A"/>
    <w:rsid w:val="34DD0473"/>
    <w:rsid w:val="36257468"/>
    <w:rsid w:val="37B714C5"/>
    <w:rsid w:val="395F78D0"/>
    <w:rsid w:val="3BAA37B8"/>
    <w:rsid w:val="3C684897"/>
    <w:rsid w:val="3D056428"/>
    <w:rsid w:val="3D522D0D"/>
    <w:rsid w:val="3E110308"/>
    <w:rsid w:val="40266709"/>
    <w:rsid w:val="4096146B"/>
    <w:rsid w:val="433E495C"/>
    <w:rsid w:val="43703C84"/>
    <w:rsid w:val="43891284"/>
    <w:rsid w:val="43954273"/>
    <w:rsid w:val="43CF55AE"/>
    <w:rsid w:val="43DB049C"/>
    <w:rsid w:val="43EE33CF"/>
    <w:rsid w:val="45BA631D"/>
    <w:rsid w:val="47223FE0"/>
    <w:rsid w:val="48611053"/>
    <w:rsid w:val="489F2FD7"/>
    <w:rsid w:val="49601D78"/>
    <w:rsid w:val="4AC27CB3"/>
    <w:rsid w:val="4AEE39BF"/>
    <w:rsid w:val="4B4638FA"/>
    <w:rsid w:val="4BF72BEF"/>
    <w:rsid w:val="4C1E659C"/>
    <w:rsid w:val="4C7F648A"/>
    <w:rsid w:val="4CCD4536"/>
    <w:rsid w:val="4F734C62"/>
    <w:rsid w:val="4FA90297"/>
    <w:rsid w:val="4FC41A43"/>
    <w:rsid w:val="518E13F8"/>
    <w:rsid w:val="51DB3C59"/>
    <w:rsid w:val="52AA14C3"/>
    <w:rsid w:val="533F2A9E"/>
    <w:rsid w:val="53965787"/>
    <w:rsid w:val="550C0952"/>
    <w:rsid w:val="55211BB5"/>
    <w:rsid w:val="55762E42"/>
    <w:rsid w:val="563722DD"/>
    <w:rsid w:val="578D3BDF"/>
    <w:rsid w:val="57A7B272"/>
    <w:rsid w:val="58470068"/>
    <w:rsid w:val="58747CAC"/>
    <w:rsid w:val="58D67890"/>
    <w:rsid w:val="5A1720F9"/>
    <w:rsid w:val="5B9C37C2"/>
    <w:rsid w:val="5BA7C654"/>
    <w:rsid w:val="5C310306"/>
    <w:rsid w:val="5D165229"/>
    <w:rsid w:val="5ED45539"/>
    <w:rsid w:val="60A54109"/>
    <w:rsid w:val="61D01CDF"/>
    <w:rsid w:val="64C0607C"/>
    <w:rsid w:val="65512966"/>
    <w:rsid w:val="65756C86"/>
    <w:rsid w:val="674D385B"/>
    <w:rsid w:val="676F09E1"/>
    <w:rsid w:val="682E730B"/>
    <w:rsid w:val="68312A59"/>
    <w:rsid w:val="68F1116D"/>
    <w:rsid w:val="7357290B"/>
    <w:rsid w:val="763569B7"/>
    <w:rsid w:val="767A335D"/>
    <w:rsid w:val="798524E4"/>
    <w:rsid w:val="7A7F1C49"/>
    <w:rsid w:val="7AC32244"/>
    <w:rsid w:val="7B5B7AE6"/>
    <w:rsid w:val="7B7B6628"/>
    <w:rsid w:val="7B913E77"/>
    <w:rsid w:val="7BA7071E"/>
    <w:rsid w:val="7BDF6DA8"/>
    <w:rsid w:val="7C20391D"/>
    <w:rsid w:val="7C7EDC1A"/>
    <w:rsid w:val="7CCED98D"/>
    <w:rsid w:val="7D08410F"/>
    <w:rsid w:val="7D461345"/>
    <w:rsid w:val="7D6216F2"/>
    <w:rsid w:val="7DB96DED"/>
    <w:rsid w:val="7DD3AD81"/>
    <w:rsid w:val="7E214D1C"/>
    <w:rsid w:val="7F487382"/>
    <w:rsid w:val="7F7FE70F"/>
    <w:rsid w:val="7FB55B9E"/>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11936.17</c:v>
                </c:pt>
                <c:pt idx="1">
                  <c:v>2321.97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7991.91</c:v>
                </c:pt>
                <c:pt idx="1">
                  <c:v>6334.86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42</TotalTime>
  <ScaleCrop>false</ScaleCrop>
  <LinksUpToDate>false</LinksUpToDate>
  <CharactersWithSpaces>5779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2025-09-05T06:13:06Z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