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根据市委编办《关于印发北京市规划和自然资源委员会区分局职能配置、内设机构和人员编制规定的通知》（京编办发〔2019〕17号）、中共北京市规划和自然资源委员会党组《关于划转建设工程消防设计审查职责有关事项的通知》（京规自党发〔2019〕130号）及《关于市规划自然资源系统所属事业单位改革有关事项的批复》（京编委〔2021〕123号）等，设立北京市规划和自然资源委员会通州分局。</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北京市规划和自然资源委员会通州分局设立13个机关科室，下辖3个行政事业单位。</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13个机关科室具体包括：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3个行政事业单位具体包括：北京市通州区规划和自然资源执法队、北京市通州区不动产登记中心、北京市通州区规划和自然资源综合事务中心。</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主要职责如下：</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3.负责本区国土空间用途管制工作。负责自然资源和国土空间规划的实施管理。组织拟订并实施土地等自然资源年度利用计划。负责工程建设项目规划和用地管理相关工作。</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4.负责本区自然资源调查监测评价工作。组织自然资源基础调查、专项调查和监测。负责自然资源和不动产统一确权登记工作。依法调处相关权属纠纷。</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6.负责本区耕地保护、基本农田保护管理。负责国土空间用途转用工作。负责土地征收征用管理。负责耕地占补平衡管理。组织实施土地整理复垦。</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7.负责统筹本区国土空间生态修复。牵头组织编制国土空间生态修复规划并实施有巡生态修复工程。负责国土空间综合整治、矿山地质环境恢复治理等工作。负责地质灾害预防和治理，承担地质灾害应急救援的技术支撑工作。负责矿产资源合理利用和保护的监督管理。</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8.负责本区自然资源和国土空间规划方面的科技、信息化建设以及统计工作。承担勘察设计、测绘相关监督管理工作。承担自然资源和国土空间规划相关档案的管理工作。</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9.负责本区自然资源和国土空间规划管理的督察工作。依法承担工程建设项目的规划核验。查处自然资源开发利用和国土空间规划及勘察设计、测绘违法案件。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10.完成市规划自然资源委和区委、区政府交办的其他任务。</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11.职能转变。分局要贯彻落实党中央、国务院批复的《北京城市总体规划（2016年一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务发挥市场对资源配置的决定性作用，更好发挥政府作用，强化自然资源管理规则、标准、制度的约束性作用，推进自然资源确权登记和评估的便民高效。</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19822.44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2958.01</w:t>
      </w:r>
      <w:r>
        <w:rPr>
          <w:rFonts w:hint="eastAsia" w:ascii="仿宋_GB2312" w:eastAsia="仿宋_GB2312"/>
          <w:sz w:val="28"/>
          <w:szCs w:val="28"/>
        </w:rPr>
        <w:t>万元，增长</w:t>
      </w:r>
      <w:r>
        <w:rPr>
          <w:rFonts w:hint="eastAsia" w:ascii="仿宋_GB2312" w:eastAsia="仿宋_GB2312"/>
          <w:sz w:val="28"/>
          <w:szCs w:val="28"/>
          <w:lang w:val="en-US" w:eastAsia="zh-CN"/>
        </w:rPr>
        <w:t>17.54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16329.49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574.17</w:t>
      </w:r>
      <w:r>
        <w:rPr>
          <w:rFonts w:hint="eastAsia" w:ascii="仿宋_GB2312" w:eastAsia="仿宋_GB2312"/>
          <w:sz w:val="28"/>
          <w:szCs w:val="28"/>
        </w:rPr>
        <w:t>万元，增长</w:t>
      </w:r>
      <w:r>
        <w:rPr>
          <w:rFonts w:hint="eastAsia" w:ascii="仿宋_GB2312" w:eastAsia="仿宋_GB2312"/>
          <w:sz w:val="28"/>
          <w:szCs w:val="28"/>
          <w:lang w:val="en-US" w:eastAsia="zh-CN"/>
        </w:rPr>
        <w:t>3.64</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12203.6</w:t>
      </w:r>
      <w:r>
        <w:rPr>
          <w:rFonts w:hint="eastAsia" w:ascii="仿宋_GB2312" w:eastAsia="仿宋_GB2312"/>
          <w:sz w:val="28"/>
          <w:szCs w:val="28"/>
        </w:rPr>
        <w:t>万元，占收入合计的</w:t>
      </w:r>
      <w:r>
        <w:rPr>
          <w:rFonts w:hint="eastAsia" w:ascii="仿宋_GB2312" w:eastAsia="仿宋_GB2312"/>
          <w:sz w:val="28"/>
          <w:szCs w:val="28"/>
          <w:lang w:eastAsia="zh-CN"/>
        </w:rPr>
        <w:t>74.73%。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10012.35</w:t>
      </w:r>
      <w:r>
        <w:rPr>
          <w:rFonts w:hint="eastAsia" w:ascii="仿宋_GB2312" w:eastAsia="仿宋_GB2312"/>
          <w:sz w:val="28"/>
          <w:szCs w:val="28"/>
        </w:rPr>
        <w:t>万元，占收入合计的</w:t>
      </w:r>
      <w:r>
        <w:rPr>
          <w:rFonts w:hint="eastAsia" w:ascii="仿宋_GB2312" w:eastAsia="仿宋_GB2312"/>
          <w:sz w:val="28"/>
          <w:szCs w:val="28"/>
          <w:lang w:eastAsia="zh-CN"/>
        </w:rPr>
        <w:t>61.31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2191.25</w:t>
      </w:r>
      <w:r>
        <w:rPr>
          <w:rFonts w:hint="eastAsia" w:ascii="仿宋_GB2312" w:eastAsia="仿宋_GB2312"/>
          <w:sz w:val="28"/>
          <w:szCs w:val="28"/>
        </w:rPr>
        <w:t>万元，占收入合计的</w:t>
      </w:r>
      <w:r>
        <w:rPr>
          <w:rFonts w:hint="eastAsia" w:ascii="仿宋_GB2312" w:eastAsia="仿宋_GB2312"/>
          <w:sz w:val="28"/>
          <w:szCs w:val="28"/>
          <w:lang w:eastAsia="zh-CN"/>
        </w:rPr>
        <w:t>13.42</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4125.9</w:t>
      </w:r>
      <w:r>
        <w:rPr>
          <w:rFonts w:hint="eastAsia" w:ascii="仿宋_GB2312" w:eastAsia="仿宋_GB2312"/>
          <w:sz w:val="28"/>
          <w:szCs w:val="28"/>
        </w:rPr>
        <w:t>万元，占收入合计的</w:t>
      </w:r>
      <w:r>
        <w:rPr>
          <w:rFonts w:hint="eastAsia" w:ascii="仿宋_GB2312" w:eastAsia="仿宋_GB2312"/>
          <w:sz w:val="28"/>
          <w:szCs w:val="28"/>
          <w:lang w:eastAsia="zh-CN"/>
        </w:rPr>
        <w:t>25.27</w:t>
      </w:r>
      <w:r>
        <w:rPr>
          <w:rFonts w:hint="eastAsia" w:ascii="仿宋_GB2312" w:eastAsia="仿宋_GB2312"/>
          <w:sz w:val="28"/>
          <w:szCs w:val="28"/>
        </w:rPr>
        <w:t>%。</w:t>
      </w:r>
    </w:p>
    <w:p>
      <w:pPr>
        <w:pStyle w:val="3"/>
        <w:ind w:firstLine="0"/>
        <w:jc w:val="center"/>
        <w:rPr>
          <w:highlight w:val="none"/>
        </w:rPr>
      </w:pPr>
      <w:r>
        <w:rPr>
          <w:rFonts w:hint="eastAsia" w:ascii="仿宋_GB2312" w:eastAsia="仿宋_GB2312"/>
          <w:color w:val="000000"/>
          <w:sz w:val="32"/>
          <w:szCs w:val="32"/>
          <w:highlight w:val="none"/>
          <w:lang w:val="en-US" w:eastAsia="zh-CN"/>
        </w:rPr>
        <w:t>图1：收入决算</w:t>
      </w:r>
      <w:bookmarkStart w:id="0" w:name="_GoBack"/>
      <w:bookmarkEnd w:id="0"/>
    </w:p>
    <w:p>
      <w:pPr>
        <w:pStyle w:val="2"/>
        <w:ind w:firstLine="420"/>
        <w:jc w:val="center"/>
      </w:pPr>
      <w:r>
        <w:drawing>
          <wp:inline distT="0" distB="0" distL="0" distR="0">
            <wp:extent cx="4088130" cy="2423160"/>
            <wp:effectExtent l="4445" t="4445" r="22225" b="1079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19236.17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6310.81</w:t>
      </w:r>
      <w:r>
        <w:rPr>
          <w:rFonts w:hint="eastAsia" w:ascii="仿宋_GB2312" w:eastAsia="仿宋_GB2312"/>
          <w:sz w:val="28"/>
          <w:szCs w:val="28"/>
        </w:rPr>
        <w:t>万元，增长</w:t>
      </w:r>
      <w:r>
        <w:rPr>
          <w:rFonts w:hint="eastAsia" w:ascii="仿宋_GB2312" w:eastAsia="仿宋_GB2312"/>
          <w:sz w:val="28"/>
          <w:szCs w:val="28"/>
          <w:lang w:val="en-US" w:eastAsia="zh-CN"/>
        </w:rPr>
        <w:t>48.83</w:t>
      </w:r>
      <w:r>
        <w:rPr>
          <w:rFonts w:hint="eastAsia" w:ascii="仿宋_GB2312" w:eastAsia="仿宋_GB2312"/>
          <w:sz w:val="28"/>
          <w:szCs w:val="28"/>
        </w:rPr>
        <w:t>%，其中：基本支出</w:t>
      </w:r>
      <w:r>
        <w:rPr>
          <w:rFonts w:ascii="仿宋_GB2312" w:eastAsia="仿宋_GB2312"/>
          <w:sz w:val="28"/>
          <w:szCs w:val="28"/>
        </w:rPr>
        <w:t>7908.43</w:t>
      </w:r>
      <w:r>
        <w:rPr>
          <w:rFonts w:hint="eastAsia" w:ascii="仿宋_GB2312" w:eastAsia="仿宋_GB2312"/>
          <w:sz w:val="28"/>
          <w:szCs w:val="28"/>
        </w:rPr>
        <w:t>万元，占支出合计的</w:t>
      </w:r>
      <w:r>
        <w:rPr>
          <w:rFonts w:hint="eastAsia" w:ascii="仿宋_GB2312" w:eastAsia="仿宋_GB2312"/>
          <w:sz w:val="28"/>
          <w:szCs w:val="28"/>
          <w:lang w:eastAsia="zh-CN"/>
        </w:rPr>
        <w:t>41.11</w:t>
      </w:r>
      <w:r>
        <w:rPr>
          <w:rFonts w:hint="eastAsia" w:ascii="仿宋_GB2312" w:eastAsia="仿宋_GB2312"/>
          <w:sz w:val="28"/>
          <w:szCs w:val="28"/>
        </w:rPr>
        <w:t>%；项目支出</w:t>
      </w:r>
      <w:r>
        <w:rPr>
          <w:rFonts w:ascii="仿宋_GB2312" w:eastAsia="仿宋_GB2312"/>
          <w:sz w:val="28"/>
          <w:szCs w:val="28"/>
        </w:rPr>
        <w:t>11327.74</w:t>
      </w:r>
      <w:r>
        <w:rPr>
          <w:rFonts w:hint="eastAsia" w:ascii="仿宋_GB2312" w:eastAsia="仿宋_GB2312"/>
          <w:sz w:val="28"/>
          <w:szCs w:val="28"/>
        </w:rPr>
        <w:t>万元，占支出合计的</w:t>
      </w:r>
      <w:r>
        <w:rPr>
          <w:rFonts w:hint="eastAsia" w:ascii="仿宋_GB2312" w:eastAsia="仿宋_GB2312"/>
          <w:sz w:val="28"/>
          <w:szCs w:val="28"/>
          <w:lang w:eastAsia="zh-CN"/>
        </w:rPr>
        <w:t>58.89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12428.59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1062.9</w:t>
      </w:r>
      <w:r>
        <w:rPr>
          <w:rFonts w:hint="eastAsia" w:ascii="仿宋_GB2312" w:eastAsia="仿宋_GB2312"/>
          <w:sz w:val="28"/>
          <w:szCs w:val="28"/>
        </w:rPr>
        <w:t>万元，增长</w:t>
      </w:r>
      <w:r>
        <w:rPr>
          <w:rFonts w:hint="eastAsia" w:ascii="仿宋_GB2312" w:eastAsia="仿宋_GB2312"/>
          <w:sz w:val="28"/>
          <w:szCs w:val="28"/>
          <w:lang w:val="en-US" w:eastAsia="zh-CN"/>
        </w:rPr>
        <w:t>9.35</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10188.98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0.02</w:t>
      </w:r>
      <w:r>
        <w:rPr>
          <w:rFonts w:hint="eastAsia" w:ascii="仿宋_GB2312" w:eastAsia="仿宋_GB2312"/>
          <w:sz w:val="28"/>
          <w:szCs w:val="28"/>
        </w:rPr>
        <w:t>%；社会保障和就业支出</w:t>
      </w:r>
      <w:r>
        <w:rPr>
          <w:rFonts w:hint="eastAsia" w:ascii="仿宋_GB2312" w:eastAsia="仿宋_GB2312"/>
          <w:sz w:val="28"/>
          <w:szCs w:val="28"/>
          <w:lang w:val="en-US" w:eastAsia="zh-CN"/>
        </w:rPr>
        <w:t>872.73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8.57</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579.19万元，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5.68</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lang w:val="en-US" w:eastAsia="zh-CN"/>
        </w:rPr>
        <w:t>8734.96万元，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85.73</w:t>
      </w:r>
      <w:r>
        <w:rPr>
          <w:rFonts w:hint="eastAsia" w:ascii="仿宋_GB2312" w:eastAsia="仿宋_GB2312"/>
          <w:sz w:val="28"/>
          <w:szCs w:val="28"/>
        </w:rPr>
        <w:t>%</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50</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outlineLvl w:val="9"/>
        <w:rPr>
          <w:rFonts w:hint="eastAsia" w:ascii="仿宋_GB2312" w:eastAsia="仿宋_GB2312"/>
          <w:sz w:val="28"/>
          <w:szCs w:val="28"/>
        </w:rPr>
      </w:pP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50</w:t>
      </w:r>
      <w:r>
        <w:rPr>
          <w:rFonts w:hint="eastAsia" w:ascii="仿宋_GB2312" w:eastAsia="仿宋_GB2312"/>
          <w:sz w:val="28"/>
          <w:szCs w:val="28"/>
        </w:rPr>
        <w:t>%。主要原因：厉行</w:t>
      </w:r>
      <w:r>
        <w:rPr>
          <w:rFonts w:hint="eastAsia" w:ascii="仿宋_GB2312" w:eastAsia="仿宋_GB2312"/>
          <w:sz w:val="28"/>
          <w:szCs w:val="28"/>
          <w:lang w:eastAsia="zh-CN"/>
        </w:rPr>
        <w:t>勤俭</w:t>
      </w:r>
      <w:r>
        <w:rPr>
          <w:rFonts w:hint="eastAsia" w:ascii="仿宋_GB2312" w:eastAsia="仿宋_GB2312"/>
          <w:sz w:val="28"/>
          <w:szCs w:val="28"/>
        </w:rPr>
        <w:t>节约。</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899.59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872.73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97.01</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sz w:val="28"/>
          <w:szCs w:val="28"/>
          <w:highlight w:val="none"/>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899.59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872.73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97.01</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社保缴纳变动</w:t>
      </w:r>
      <w:r>
        <w:rPr>
          <w:rFonts w:hint="eastAsia" w:ascii="仿宋_GB2312" w:eastAsia="仿宋_GB2312"/>
          <w:color w:val="auto"/>
          <w:sz w:val="28"/>
          <w:szCs w:val="28"/>
          <w:highlight w:val="none"/>
        </w:rPr>
        <w:t>。</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highlight w:val="none"/>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564.01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579.19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102.69</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highlight w:val="none"/>
        </w:rPr>
        <w:t>“行政事业单位</w:t>
      </w:r>
      <w:r>
        <w:rPr>
          <w:rFonts w:hint="eastAsia" w:ascii="仿宋_GB2312" w:eastAsia="仿宋_GB2312"/>
          <w:sz w:val="28"/>
          <w:szCs w:val="28"/>
          <w:highlight w:val="none"/>
          <w:lang w:eastAsia="zh-CN"/>
        </w:rPr>
        <w:t>医疗</w:t>
      </w:r>
      <w:r>
        <w:rPr>
          <w:rFonts w:hint="eastAsia" w:ascii="仿宋_GB2312" w:eastAsia="仿宋_GB2312"/>
          <w:sz w:val="28"/>
          <w:szCs w:val="28"/>
          <w:highlight w:val="none"/>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564.01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579.19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102.69</w:t>
      </w:r>
      <w:r>
        <w:rPr>
          <w:rFonts w:hint="eastAsia" w:ascii="仿宋_GB2312" w:eastAsia="仿宋_GB2312"/>
          <w:sz w:val="28"/>
          <w:szCs w:val="28"/>
        </w:rPr>
        <w:t>%。主要原因：</w:t>
      </w:r>
      <w:r>
        <w:rPr>
          <w:rFonts w:hint="eastAsia" w:ascii="仿宋_GB2312" w:eastAsia="仿宋_GB2312"/>
          <w:sz w:val="28"/>
          <w:szCs w:val="28"/>
          <w:lang w:eastAsia="zh-CN"/>
        </w:rPr>
        <w:t>人员调动</w:t>
      </w:r>
      <w:r>
        <w:rPr>
          <w:rFonts w:hint="eastAsia" w:ascii="仿宋_GB2312" w:eastAsia="仿宋_GB2312"/>
          <w:color w:val="0000FF"/>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highlight w:val="none"/>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8844.69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年度决算8734.96万元，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98.76</w:t>
      </w:r>
      <w:r>
        <w:rPr>
          <w:rFonts w:hint="eastAsia" w:ascii="仿宋_GB2312" w:eastAsia="仿宋_GB2312"/>
          <w:sz w:val="28"/>
          <w:szCs w:val="28"/>
        </w:rPr>
        <w:t>%。其中：</w:t>
      </w:r>
    </w:p>
    <w:p>
      <w:pPr>
        <w:spacing w:line="580" w:lineRule="exact"/>
        <w:ind w:firstLine="560" w:firstLineChars="200"/>
        <w:rPr>
          <w:color w:val="0000FF"/>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自然资源事务</w:t>
      </w:r>
      <w:r>
        <w:rPr>
          <w:rFonts w:hint="eastAsia" w:ascii="仿宋_GB2312" w:eastAsia="仿宋_GB2312"/>
          <w:sz w:val="28"/>
          <w:szCs w:val="28"/>
          <w:highlight w:val="none"/>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年度年初预算8844.69万元，202</w:t>
      </w:r>
      <w:r>
        <w:rPr>
          <w:rFonts w:hint="eastAsia" w:ascii="仿宋_GB2312" w:eastAsia="仿宋_GB2312"/>
          <w:sz w:val="28"/>
          <w:szCs w:val="28"/>
          <w:lang w:val="en-US" w:eastAsia="zh-CN"/>
        </w:rPr>
        <w:t>4</w:t>
      </w:r>
      <w:r>
        <w:rPr>
          <w:rFonts w:hint="eastAsia" w:ascii="仿宋_GB2312" w:eastAsia="仿宋_GB2312"/>
          <w:sz w:val="28"/>
          <w:szCs w:val="28"/>
        </w:rPr>
        <w:t>年度决算8734.96万元，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98.76</w:t>
      </w:r>
      <w:r>
        <w:rPr>
          <w:rFonts w:hint="eastAsia" w:ascii="仿宋_GB2312" w:eastAsia="仿宋_GB2312"/>
          <w:sz w:val="28"/>
          <w:szCs w:val="28"/>
        </w:rPr>
        <w:t>%。主要原因：</w:t>
      </w:r>
      <w:r>
        <w:rPr>
          <w:rFonts w:hint="eastAsia" w:ascii="仿宋_GB2312" w:eastAsia="仿宋_GB2312"/>
          <w:b w:val="0"/>
          <w:bCs w:val="0"/>
          <w:color w:val="auto"/>
          <w:sz w:val="28"/>
          <w:szCs w:val="28"/>
          <w:highlight w:val="none"/>
          <w:lang w:eastAsia="zh-CN"/>
        </w:rPr>
        <w:t>厉行节约，压缩成本。</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2169.2</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2169.2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auto"/>
          <w:sz w:val="28"/>
          <w:szCs w:val="28"/>
        </w:rPr>
      </w:pPr>
      <w:r>
        <w:rPr>
          <w:rFonts w:hint="eastAsia" w:ascii="仿宋_GB2312" w:eastAsia="仿宋_GB2312"/>
          <w:sz w:val="28"/>
          <w:szCs w:val="28"/>
        </w:rPr>
        <w:t>1、“城乡社区支出</w:t>
      </w:r>
      <w:r>
        <w:rPr>
          <w:rFonts w:hint="eastAsia" w:ascii="仿宋_GB2312" w:eastAsia="仿宋_GB2312"/>
          <w:color w:val="auto"/>
          <w:sz w:val="28"/>
          <w:szCs w:val="28"/>
        </w:rPr>
        <w:t>”（类）202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285.94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2169.2万</w:t>
      </w:r>
      <w:r>
        <w:rPr>
          <w:rFonts w:hint="eastAsia" w:ascii="仿宋_GB2312" w:eastAsia="仿宋_GB2312"/>
          <w:color w:val="auto"/>
          <w:sz w:val="28"/>
          <w:szCs w:val="28"/>
        </w:rPr>
        <w:t>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758.62</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highlight w:val="none"/>
          <w:lang w:eastAsia="zh-CN"/>
        </w:rPr>
        <w:t>国有土地使用权出让</w:t>
      </w:r>
      <w:r>
        <w:rPr>
          <w:rFonts w:hint="eastAsia" w:ascii="仿宋_GB2312" w:eastAsia="仿宋_GB2312"/>
          <w:color w:val="auto"/>
          <w:sz w:val="28"/>
          <w:szCs w:val="28"/>
          <w:highlight w:val="none"/>
        </w:rPr>
        <w:t>收入安排的支出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285.94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2169.2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758.62</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年中追加所有自然资源资产清查及北京市自然资源统一确权登记项目。</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7908.16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pStyle w:val="2"/>
        <w:rPr>
          <w:rFonts w:ascii="仿宋_GB2312" w:eastAsia="仿宋_GB2312"/>
          <w:sz w:val="28"/>
          <w:szCs w:val="28"/>
        </w:rPr>
      </w:pPr>
    </w:p>
    <w:p>
      <w:pPr>
        <w:pStyle w:val="2"/>
        <w:rPr>
          <w:rFonts w:ascii="仿宋_GB2312" w:eastAsia="仿宋_GB2312"/>
          <w:sz w:val="28"/>
          <w:szCs w:val="28"/>
        </w:rPr>
      </w:pPr>
    </w:p>
    <w:p>
      <w:pPr>
        <w:pStyle w:val="2"/>
        <w:rPr>
          <w:rFonts w:ascii="仿宋_GB2312" w:eastAsia="仿宋_GB2312"/>
          <w:sz w:val="28"/>
          <w:szCs w:val="28"/>
        </w:rPr>
      </w:pPr>
    </w:p>
    <w:p>
      <w:pPr>
        <w:pStyle w:val="2"/>
        <w:rPr>
          <w:rFonts w:ascii="仿宋_GB2312" w:eastAsia="仿宋_GB2312"/>
          <w:sz w:val="28"/>
          <w:szCs w:val="28"/>
        </w:rPr>
      </w:pPr>
    </w:p>
    <w:p>
      <w:pPr>
        <w:pStyle w:val="2"/>
        <w:rPr>
          <w:rFonts w:ascii="仿宋_GB2312" w:eastAsia="仿宋_GB2312"/>
          <w:sz w:val="28"/>
          <w:szCs w:val="28"/>
        </w:rPr>
      </w:pPr>
    </w:p>
    <w:p>
      <w:pPr>
        <w:pStyle w:val="2"/>
        <w:rPr>
          <w:rFonts w:hint="eastAsia"/>
          <w:lang w:val="en-US" w:eastAsia="zh-CN"/>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14.02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50.4</w:t>
      </w:r>
      <w:r>
        <w:rPr>
          <w:rFonts w:hint="eastAsia" w:ascii="仿宋_GB2312" w:eastAsia="仿宋_GB2312"/>
          <w:sz w:val="28"/>
          <w:szCs w:val="28"/>
        </w:rPr>
        <w:t>万元减少</w:t>
      </w:r>
      <w:r>
        <w:rPr>
          <w:rFonts w:ascii="仿宋_GB2312" w:eastAsia="仿宋_GB2312"/>
          <w:sz w:val="28"/>
          <w:szCs w:val="28"/>
        </w:rPr>
        <w:t>36.38</w:t>
      </w:r>
      <w:r>
        <w:rPr>
          <w:rFonts w:hint="eastAsia" w:ascii="仿宋_GB2312" w:eastAsia="仿宋_GB2312"/>
          <w:sz w:val="28"/>
          <w:szCs w:val="28"/>
        </w:rPr>
        <w:t>万元。其中：</w:t>
      </w:r>
    </w:p>
    <w:p>
      <w:pPr>
        <w:spacing w:line="560" w:lineRule="exact"/>
        <w:ind w:firstLine="600"/>
        <w:rPr>
          <w:rFonts w:hint="eastAsia" w:ascii="仿宋_GB2312" w:hAnsi="Times New Roman" w:eastAsia="仿宋_GB2312" w:cs="Times New Roman"/>
          <w:sz w:val="28"/>
          <w:szCs w:val="28"/>
        </w:rPr>
      </w:pPr>
      <w:r>
        <w:rPr>
          <w:rFonts w:hint="eastAsia" w:ascii="仿宋_GB2312" w:eastAsia="仿宋_GB2312"/>
          <w:sz w:val="28"/>
          <w:szCs w:val="28"/>
        </w:rPr>
        <w:t>1.因公出国（境）费用。</w:t>
      </w:r>
      <w:r>
        <w:rPr>
          <w:rFonts w:hint="eastAsia" w:ascii="仿宋_GB2312" w:hAnsi="Times New Roman" w:eastAsia="仿宋_GB2312" w:cs="Times New Roman"/>
          <w:sz w:val="28"/>
          <w:szCs w:val="28"/>
          <w:lang w:eastAsia="zh-CN"/>
        </w:rPr>
        <w:t>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hAnsi="Times New Roman" w:eastAsia="仿宋_GB2312" w:cs="Times New Roman"/>
          <w:sz w:val="28"/>
          <w:szCs w:val="28"/>
          <w:lang w:eastAsia="zh-CN"/>
        </w:rPr>
        <w:t>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14.02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50.4</w:t>
      </w:r>
      <w:r>
        <w:rPr>
          <w:rFonts w:hint="eastAsia" w:ascii="仿宋_GB2312" w:eastAsia="仿宋_GB2312"/>
          <w:sz w:val="28"/>
          <w:szCs w:val="28"/>
        </w:rPr>
        <w:t>万元减少</w:t>
      </w:r>
      <w:r>
        <w:rPr>
          <w:rFonts w:ascii="仿宋_GB2312" w:eastAsia="仿宋_GB2312"/>
          <w:sz w:val="28"/>
          <w:szCs w:val="28"/>
        </w:rPr>
        <w:t>36.38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14.02</w:t>
      </w:r>
      <w:r>
        <w:rPr>
          <w:rFonts w:hint="eastAsia" w:ascii="仿宋_GB2312" w:eastAsia="仿宋_GB2312"/>
          <w:sz w:val="28"/>
          <w:szCs w:val="28"/>
        </w:rPr>
        <w:t>万元，主要原因：厉行节约严格控制经费支出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523.04</w:t>
      </w:r>
      <w:r>
        <w:rPr>
          <w:rFonts w:hint="eastAsia" w:ascii="仿宋_GB2312" w:eastAsia="仿宋_GB2312"/>
          <w:sz w:val="28"/>
          <w:szCs w:val="28"/>
        </w:rPr>
        <w:t>万元，比上年减少</w:t>
      </w:r>
      <w:r>
        <w:rPr>
          <w:rFonts w:hint="eastAsia" w:ascii="仿宋_GB2312" w:eastAsia="仿宋_GB2312"/>
          <w:sz w:val="28"/>
          <w:szCs w:val="28"/>
          <w:lang w:val="en-US" w:eastAsia="zh-CN"/>
        </w:rPr>
        <w:t>63.53</w:t>
      </w:r>
      <w:r>
        <w:rPr>
          <w:rFonts w:hint="eastAsia" w:ascii="仿宋_GB2312" w:eastAsia="仿宋_GB2312"/>
          <w:sz w:val="28"/>
          <w:szCs w:val="28"/>
        </w:rPr>
        <w:t>万元，减少原因：厉行节约严格控制经费支出。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7222.48</w:t>
      </w:r>
      <w:r>
        <w:rPr>
          <w:rFonts w:hint="eastAsia" w:ascii="仿宋_GB2312" w:eastAsia="仿宋_GB2312"/>
          <w:sz w:val="28"/>
          <w:szCs w:val="28"/>
        </w:rPr>
        <w:t>万元，其中：政府采购货物支出</w:t>
      </w:r>
      <w:r>
        <w:rPr>
          <w:rFonts w:ascii="仿宋_GB2312" w:eastAsia="仿宋_GB2312"/>
          <w:sz w:val="28"/>
          <w:szCs w:val="28"/>
        </w:rPr>
        <w:t>101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7121.48</w:t>
      </w:r>
      <w:r>
        <w:rPr>
          <w:rFonts w:hint="eastAsia" w:ascii="仿宋_GB2312" w:eastAsia="仿宋_GB2312"/>
          <w:sz w:val="28"/>
          <w:szCs w:val="28"/>
        </w:rPr>
        <w:t>万元。授予中小企业合同金额</w:t>
      </w:r>
      <w:r>
        <w:rPr>
          <w:rFonts w:ascii="仿宋_GB2312" w:eastAsia="仿宋_GB2312"/>
          <w:sz w:val="28"/>
          <w:szCs w:val="28"/>
        </w:rPr>
        <w:t>1120.8</w:t>
      </w:r>
      <w:r>
        <w:rPr>
          <w:rFonts w:hint="eastAsia" w:ascii="仿宋_GB2312" w:eastAsia="仿宋_GB2312"/>
          <w:sz w:val="28"/>
          <w:szCs w:val="28"/>
        </w:rPr>
        <w:t>万元，占政府采购支出总额的</w:t>
      </w:r>
      <w:r>
        <w:rPr>
          <w:rFonts w:hint="eastAsia" w:ascii="仿宋_GB2312" w:eastAsia="仿宋_GB2312"/>
          <w:sz w:val="28"/>
          <w:szCs w:val="28"/>
          <w:lang w:eastAsia="zh-CN"/>
        </w:rPr>
        <w:t>15.52</w:t>
      </w:r>
      <w:r>
        <w:rPr>
          <w:rFonts w:hint="eastAsia" w:ascii="仿宋_GB2312" w:eastAsia="仿宋_GB2312"/>
          <w:sz w:val="28"/>
          <w:szCs w:val="28"/>
        </w:rPr>
        <w:t>%，其中：授予小微企业合同金额</w:t>
      </w:r>
      <w:r>
        <w:rPr>
          <w:rFonts w:ascii="仿宋_GB2312" w:eastAsia="仿宋_GB2312"/>
          <w:sz w:val="28"/>
          <w:szCs w:val="28"/>
        </w:rPr>
        <w:t>1104.79</w:t>
      </w:r>
      <w:r>
        <w:rPr>
          <w:rFonts w:hint="eastAsia" w:ascii="仿宋_GB2312" w:eastAsia="仿宋_GB2312"/>
          <w:sz w:val="28"/>
          <w:szCs w:val="28"/>
        </w:rPr>
        <w:t>万元，占政府采购支出总额的</w:t>
      </w:r>
      <w:r>
        <w:rPr>
          <w:rFonts w:ascii="仿宋_GB2312" w:eastAsia="仿宋_GB2312"/>
          <w:sz w:val="28"/>
          <w:szCs w:val="28"/>
        </w:rPr>
        <w:t>15.3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12月31日，北京市规划和自然资源委员会通州分局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政府购买服务决算8956.94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hint="eastAsia" w:ascii="仿宋_GB2312" w:eastAsia="仿宋_GB2312"/>
          <w:sz w:val="28"/>
          <w:szCs w:val="28"/>
        </w:rPr>
        <w:t>12.卫生健康支出（类）行政事业单位医疗（款）行政单位医疗（项）：反映财政部门安排的行政单位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行政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.自然资源海洋气象等支出（类）自然资源事务（款）行政运行（项）：反映行政单位的基本支出。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.自然资源海洋气象等支出（类）自然资源事务（款）一般行政管理事务（项）：反映行政单位未单独设置项及科目的其他项目支出。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.自然资源海洋气象等支出（类）自然资源事务（款）自然资源规划及管理（项）：反映用于国土空间规划、国土空间开发适宜性评价等方面的支出。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17</w:t>
      </w:r>
      <w:r>
        <w:rPr>
          <w:rFonts w:hint="eastAsia" w:ascii="仿宋_GB2312" w:eastAsia="仿宋_GB2312"/>
          <w:sz w:val="28"/>
          <w:szCs w:val="28"/>
        </w:rPr>
        <w:t>.自然资源海洋气象等支出（类）自然资源事务（款）事业运行（项）：反映事业单位的基本支出，不包括行政单位后勤服务中心、医务室等附属事业单位。</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18</w:t>
      </w:r>
      <w:r>
        <w:rPr>
          <w:rFonts w:hint="eastAsia" w:ascii="仿宋_GB2312" w:eastAsia="仿宋_GB2312"/>
          <w:sz w:val="28"/>
          <w:szCs w:val="28"/>
        </w:rPr>
        <w:t>.自然资源海洋气象等支出（类）自然资源事务（款）其他自然资源事务支出（项）：反映其他用于自然资源事务方面的支出。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9</w:t>
      </w:r>
      <w:r>
        <w:rPr>
          <w:rFonts w:hint="eastAsia" w:ascii="仿宋_GB2312" w:eastAsia="仿宋_GB2312"/>
          <w:sz w:val="28"/>
          <w:szCs w:val="28"/>
        </w:rPr>
        <w:t>.城乡社区支出（类）国有土地使用权出让收入安排的支出（款）土地出让业务支出（项）：反映土地出让收入用于土地</w:t>
      </w:r>
      <w:r>
        <w:rPr>
          <w:rFonts w:hint="eastAsia" w:ascii="仿宋_GB2312" w:eastAsia="仿宋_GB2312"/>
          <w:color w:val="auto"/>
          <w:sz w:val="28"/>
          <w:szCs w:val="28"/>
        </w:rPr>
        <w:t>出让业务费用的开支。</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20</w:t>
      </w:r>
      <w:r>
        <w:rPr>
          <w:rFonts w:hint="eastAsia" w:ascii="仿宋_GB2312" w:eastAsia="仿宋_GB2312"/>
          <w:sz w:val="28"/>
          <w:szCs w:val="28"/>
        </w:rPr>
        <w:t>.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jc w:val="both"/>
        <w:rPr>
          <w:rFonts w:hint="eastAsia" w:ascii="黑体" w:eastAsia="黑体"/>
          <w:sz w:val="32"/>
          <w:szCs w:val="32"/>
        </w:rPr>
      </w:pPr>
    </w:p>
    <w:p>
      <w:pPr>
        <w:pStyle w:val="2"/>
        <w:rPr>
          <w:rFonts w:hint="eastAsia"/>
        </w:rPr>
      </w:pPr>
    </w:p>
    <w:p>
      <w:pPr>
        <w:pStyle w:val="2"/>
        <w:rPr>
          <w:rFonts w:hint="eastAsia"/>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spacing w:line="480" w:lineRule="exact"/>
        <w:ind w:firstLine="640" w:firstLineChars="200"/>
        <w:jc w:val="left"/>
        <w:rPr>
          <w:rFonts w:hint="eastAsia" w:ascii="黑体" w:eastAsia="黑体"/>
          <w:sz w:val="32"/>
          <w:szCs w:val="32"/>
          <w:lang w:eastAsia="zh-CN"/>
        </w:rPr>
      </w:pPr>
      <w:r>
        <w:rPr>
          <w:rFonts w:hint="eastAsia" w:ascii="黑体" w:eastAsia="黑体"/>
          <w:sz w:val="32"/>
          <w:szCs w:val="32"/>
          <w:lang w:eastAsia="zh-CN"/>
        </w:rPr>
        <w:t>项目支出绩效自评表</w:t>
      </w:r>
    </w:p>
    <w:p>
      <w:pPr>
        <w:pStyle w:val="2"/>
        <w:rPr>
          <w:rFonts w:hint="eastAsia"/>
          <w:lang w:eastAsia="zh-CN"/>
        </w:rPr>
      </w:pPr>
    </w:p>
    <w:p>
      <w:pPr>
        <w:spacing w:line="48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lang w:eastAsia="zh-CN"/>
        </w:rPr>
        <w:t>自评表详见附件</w:t>
      </w:r>
      <w:r>
        <w:rPr>
          <w:rFonts w:hint="eastAsia" w:ascii="楷体" w:hAnsi="楷体" w:eastAsia="楷体" w:cs="楷体"/>
          <w:sz w:val="32"/>
          <w:szCs w:val="32"/>
          <w:lang w:val="en-US" w:eastAsia="zh-CN"/>
        </w:rPr>
        <w:t>2。</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E0E2AF6"/>
    <w:rsid w:val="0F8E2C57"/>
    <w:rsid w:val="1059665E"/>
    <w:rsid w:val="10AC13BA"/>
    <w:rsid w:val="10C83913"/>
    <w:rsid w:val="145A6C1B"/>
    <w:rsid w:val="14B73493"/>
    <w:rsid w:val="167A2FF9"/>
    <w:rsid w:val="18581C69"/>
    <w:rsid w:val="1AEC0734"/>
    <w:rsid w:val="1DEF20B0"/>
    <w:rsid w:val="214243FA"/>
    <w:rsid w:val="21AD613C"/>
    <w:rsid w:val="22467189"/>
    <w:rsid w:val="257A14F5"/>
    <w:rsid w:val="27196C26"/>
    <w:rsid w:val="28B92A64"/>
    <w:rsid w:val="29EF086F"/>
    <w:rsid w:val="2EFFE297"/>
    <w:rsid w:val="301437CA"/>
    <w:rsid w:val="349D1F0A"/>
    <w:rsid w:val="34DD0473"/>
    <w:rsid w:val="3C684897"/>
    <w:rsid w:val="430E5AF8"/>
    <w:rsid w:val="433E495C"/>
    <w:rsid w:val="489F2FD7"/>
    <w:rsid w:val="4AC27CB3"/>
    <w:rsid w:val="4BF72BEF"/>
    <w:rsid w:val="4FA90297"/>
    <w:rsid w:val="4FC41A43"/>
    <w:rsid w:val="51DB3C59"/>
    <w:rsid w:val="523E1CC3"/>
    <w:rsid w:val="550C0952"/>
    <w:rsid w:val="55762E42"/>
    <w:rsid w:val="57A7B272"/>
    <w:rsid w:val="58470068"/>
    <w:rsid w:val="58747CAC"/>
    <w:rsid w:val="5A1720F9"/>
    <w:rsid w:val="5B9C37C2"/>
    <w:rsid w:val="5BA7C654"/>
    <w:rsid w:val="60A54109"/>
    <w:rsid w:val="61D01CDF"/>
    <w:rsid w:val="64C0607C"/>
    <w:rsid w:val="65756C86"/>
    <w:rsid w:val="674D385B"/>
    <w:rsid w:val="676F09E1"/>
    <w:rsid w:val="70C01E48"/>
    <w:rsid w:val="7357290B"/>
    <w:rsid w:val="76377EF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12203.6</c:v>
                </c:pt>
                <c:pt idx="1">
                  <c:v>0</c:v>
                </c:pt>
                <c:pt idx="2">
                  <c:v>0</c:v>
                </c:pt>
                <c:pt idx="3">
                  <c:v>0</c:v>
                </c:pt>
                <c:pt idx="4">
                  <c:v>0</c:v>
                </c:pt>
                <c:pt idx="5">
                  <c:v>4125.9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manualLayout>
          <c:layoutTarget val="inner"/>
          <c:xMode val="edge"/>
          <c:yMode val="edge"/>
          <c:x val="0.325638888888889"/>
          <c:y val="0.216458333333333"/>
          <c:w val="0.352611111111111"/>
          <c:h val="0.587685185185185"/>
        </c:manualLayout>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7908.43</c:v>
                </c:pt>
                <c:pt idx="1">
                  <c:v>11327.74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12</TotalTime>
  <ScaleCrop>false</ScaleCrop>
  <LinksUpToDate>false</LinksUpToDate>
  <CharactersWithSpaces>5779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2025-09-01T02:16:00Z</cp:lastPrinted>
  <dcterms:modified xsi:type="dcterms:W3CDTF">2025-09-03T06:52:44Z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