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r>
        <w:rPr>
          <w:rFonts w:hint="eastAsia" w:ascii="黑体" w:eastAsia="黑体"/>
          <w:b/>
          <w:sz w:val="28"/>
          <w:szCs w:val="28"/>
          <w:lang w:val="en-US" w:eastAsia="zh-CN"/>
        </w:rPr>
        <w:t>单位</w:t>
      </w:r>
      <w:r>
        <w:rPr>
          <w:rFonts w:hint="eastAsia" w:ascii="黑体" w:eastAsia="黑体"/>
          <w:b/>
          <w:sz w:val="28"/>
          <w:szCs w:val="28"/>
        </w:rPr>
        <w:t>基本情况</w:t>
      </w:r>
    </w:p>
    <w:p>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 xml:space="preserve">机构设置情况: </w:t>
      </w:r>
    </w:p>
    <w:p>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根据市委编办印发的《北京市规划和自然资源委员会区分局职能配置、内设机构和人员编制规定的通知》（京编办发〔2019〕17号）、《关于同意为市规划自然资源系统增加编制的函》（京编办行〔2019〕114号）、《关于市规划自然资源系统所属事业单位改革有关事项的批复》（京编委〔2021〕123号）和市规划自然资源委印发的《关于划转建设工程消防设计审查职责有关事项的通知》（京规自党发〔2019〕130号），分局机关内设14个科室，分别为办公室、法制科（信访与信息公开科）、规划编制与城市设计科、市政交通科、规划实施科、综合审批科、规划土地核验科、自然资源调查监测科、自然资源所有者权益科（自然资源开发利用科）、自然资源保护科、国土空间生态修复科（矿产资源管理科）、财务科、机关党委（党建工作科、人事科）、纪检办公室。下属1个行政执法机构，具体单位名称：北京市丰台区规划和自然资源执法队，1个参照公务员法管理事业单位，具体单位名称：北京市丰台区不动产登记中心，1个公益一类事业单位，具体单位名称：北京市丰台区规划和自然资源综合事务中心。</w:t>
      </w:r>
    </w:p>
    <w:p>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 xml:space="preserve">主要负责：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lang w:eastAsia="zh-CN"/>
        </w:rPr>
        <w:t xml:space="preserve">履行本区全民所有土地、矿产、森林、湿地、水等自然资源资产所有者职责和所有国土空间用途管制职责，宣传、贯彻、实施国家关于自然资源和国土空间规划及测绘、勘察设计管理等方面的法律、法规、规章、政策和标准。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3.负责本区国土空间用途管制工作。负责自然资源和国土空间规划的实施管理。组织拟订并实施土地等自然资源年度利用计划。负责工程建设项目规划和用地管理相关工作。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4.负责本区自然资源调查监测评价工作。组织自然资源基础调查、专项调查和监测。负责自然资源和不动产统一确权登记工作。依法调处相关权属纠纷。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6.负责本区耕地保护、基本农田保护管理。负责国土空间用途转用工作。负责土地征收征用管理。负责耕地占补平衡管理。组织实施土地整理复垦。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8.负责本区自然资源和国土空间规划方面的科技、信息化建设以及统计工作。承担勘察设计、测绘相关监督管理工作。承担自然资源和国土空间规划相关档案的管理工作。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9.负责本区自然资源和国土空间规划管理的督察工作。依法承担工程建设项目的规划核验。查处自然资源开发利用和国土空间规划及勘察设计、测绘违法案件。 </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xml:space="preserve">10.完成市规划自然资源委和区委、区政府交办的其他任务。 </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11.职能转变。市规划自然资源委丰台分局要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务发挥市场对资源配置的决定性作用，更好发挥政府作用，强化自然资源管理规则、标准、制度的约束性作用，推进自然资源确权登记和评估的便民高效。</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18586.63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273.49</w:t>
      </w:r>
      <w:r>
        <w:rPr>
          <w:rFonts w:hint="eastAsia" w:ascii="仿宋_GB2312" w:eastAsia="仿宋_GB2312"/>
          <w:sz w:val="28"/>
          <w:szCs w:val="28"/>
        </w:rPr>
        <w:t>万元，下降</w:t>
      </w:r>
      <w:r>
        <w:rPr>
          <w:rFonts w:hint="eastAsia" w:ascii="仿宋_GB2312" w:eastAsia="仿宋_GB2312"/>
          <w:sz w:val="28"/>
          <w:szCs w:val="28"/>
          <w:lang w:val="en-US" w:eastAsia="zh-CN"/>
        </w:rPr>
        <w:t>1.45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17223.1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3504.91</w:t>
      </w:r>
      <w:r>
        <w:rPr>
          <w:rFonts w:hint="eastAsia" w:ascii="仿宋_GB2312" w:eastAsia="仿宋_GB2312"/>
          <w:sz w:val="28"/>
          <w:szCs w:val="28"/>
        </w:rPr>
        <w:t>万元，增长</w:t>
      </w:r>
      <w:r>
        <w:rPr>
          <w:rFonts w:hint="eastAsia" w:ascii="仿宋_GB2312" w:eastAsia="仿宋_GB2312"/>
          <w:sz w:val="28"/>
          <w:szCs w:val="28"/>
          <w:lang w:val="en-US" w:eastAsia="zh-CN"/>
        </w:rPr>
        <w:t>25.55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9676.2</w:t>
      </w:r>
      <w:r>
        <w:rPr>
          <w:rFonts w:hint="eastAsia" w:ascii="仿宋_GB2312" w:eastAsia="仿宋_GB2312"/>
          <w:sz w:val="28"/>
          <w:szCs w:val="28"/>
        </w:rPr>
        <w:t>万元，占收入合计的</w:t>
      </w:r>
      <w:r>
        <w:rPr>
          <w:rFonts w:hint="eastAsia" w:ascii="仿宋_GB2312" w:eastAsia="仿宋_GB2312"/>
          <w:sz w:val="28"/>
          <w:szCs w:val="28"/>
          <w:lang w:eastAsia="zh-CN"/>
        </w:rPr>
        <w:t>56.18%。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9529.05</w:t>
      </w:r>
      <w:r>
        <w:rPr>
          <w:rFonts w:hint="eastAsia" w:ascii="仿宋_GB2312" w:eastAsia="仿宋_GB2312"/>
          <w:sz w:val="28"/>
          <w:szCs w:val="28"/>
        </w:rPr>
        <w:t>万元，占收入合计的</w:t>
      </w:r>
      <w:r>
        <w:rPr>
          <w:rFonts w:hint="eastAsia" w:ascii="仿宋_GB2312" w:eastAsia="仿宋_GB2312"/>
          <w:sz w:val="28"/>
          <w:szCs w:val="28"/>
          <w:lang w:eastAsia="zh-CN"/>
        </w:rPr>
        <w:t>55.33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147.15</w:t>
      </w:r>
      <w:r>
        <w:rPr>
          <w:rFonts w:hint="eastAsia" w:ascii="仿宋_GB2312" w:eastAsia="仿宋_GB2312"/>
          <w:sz w:val="28"/>
          <w:szCs w:val="28"/>
        </w:rPr>
        <w:t>万元，占收入合计的</w:t>
      </w:r>
      <w:r>
        <w:rPr>
          <w:rFonts w:hint="eastAsia" w:ascii="仿宋_GB2312" w:eastAsia="仿宋_GB2312"/>
          <w:sz w:val="28"/>
          <w:szCs w:val="28"/>
          <w:lang w:eastAsia="zh-CN"/>
        </w:rPr>
        <w:t>0.85</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7546.9</w:t>
      </w:r>
      <w:r>
        <w:rPr>
          <w:rFonts w:hint="eastAsia" w:ascii="仿宋_GB2312" w:eastAsia="仿宋_GB2312"/>
          <w:sz w:val="28"/>
          <w:szCs w:val="28"/>
        </w:rPr>
        <w:t>万元，占收入合计的</w:t>
      </w:r>
      <w:r>
        <w:rPr>
          <w:rFonts w:hint="eastAsia" w:ascii="仿宋_GB2312" w:eastAsia="仿宋_GB2312"/>
          <w:sz w:val="28"/>
          <w:szCs w:val="28"/>
          <w:lang w:eastAsia="zh-CN"/>
        </w:rPr>
        <w:t>43.82</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w:t>
      </w:r>
      <w:bookmarkStart w:id="0" w:name="_GoBack"/>
      <w:bookmarkEnd w:id="0"/>
      <w:r>
        <w:rPr>
          <w:rFonts w:hint="eastAsia" w:ascii="仿宋_GB2312" w:eastAsia="仿宋_GB2312"/>
          <w:color w:val="000000"/>
          <w:sz w:val="32"/>
          <w:szCs w:val="32"/>
          <w:highlight w:val="none"/>
          <w:lang w:val="en-US" w:eastAsia="zh-CN"/>
        </w:rPr>
        <w:t>算</w:t>
      </w:r>
    </w:p>
    <w:p>
      <w:pPr>
        <w:pStyle w:val="4"/>
        <w:ind w:firstLine="420"/>
        <w:jc w:val="center"/>
      </w:pPr>
      <w:r>
        <w:drawing>
          <wp:inline distT="0" distB="0" distL="0" distR="0">
            <wp:extent cx="4064635" cy="2461260"/>
            <wp:effectExtent l="4445" t="4445" r="7620" b="1079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17988.82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1338.32</w:t>
      </w:r>
      <w:r>
        <w:rPr>
          <w:rFonts w:hint="eastAsia" w:ascii="仿宋_GB2312" w:eastAsia="仿宋_GB2312"/>
          <w:sz w:val="28"/>
          <w:szCs w:val="28"/>
        </w:rPr>
        <w:t>万元，增长</w:t>
      </w:r>
      <w:r>
        <w:rPr>
          <w:rFonts w:hint="eastAsia" w:ascii="仿宋_GB2312" w:eastAsia="仿宋_GB2312"/>
          <w:sz w:val="28"/>
          <w:szCs w:val="28"/>
          <w:lang w:val="en-US" w:eastAsia="zh-CN"/>
        </w:rPr>
        <w:t>8.04</w:t>
      </w:r>
      <w:r>
        <w:rPr>
          <w:rFonts w:hint="eastAsia" w:ascii="仿宋_GB2312" w:eastAsia="仿宋_GB2312"/>
          <w:sz w:val="28"/>
          <w:szCs w:val="28"/>
        </w:rPr>
        <w:t>%，其中：基本支出</w:t>
      </w:r>
      <w:r>
        <w:rPr>
          <w:rFonts w:ascii="仿宋_GB2312" w:eastAsia="仿宋_GB2312"/>
          <w:sz w:val="28"/>
          <w:szCs w:val="28"/>
        </w:rPr>
        <w:t>7395.22</w:t>
      </w:r>
      <w:r>
        <w:rPr>
          <w:rFonts w:hint="eastAsia" w:ascii="仿宋_GB2312" w:eastAsia="仿宋_GB2312"/>
          <w:sz w:val="28"/>
          <w:szCs w:val="28"/>
        </w:rPr>
        <w:t>万元，占支出合计的</w:t>
      </w:r>
      <w:r>
        <w:rPr>
          <w:rFonts w:hint="eastAsia" w:ascii="仿宋_GB2312" w:eastAsia="仿宋_GB2312"/>
          <w:sz w:val="28"/>
          <w:szCs w:val="28"/>
          <w:lang w:eastAsia="zh-CN"/>
        </w:rPr>
        <w:t>41.11</w:t>
      </w:r>
      <w:r>
        <w:rPr>
          <w:rFonts w:hint="eastAsia" w:ascii="仿宋_GB2312" w:eastAsia="仿宋_GB2312"/>
          <w:sz w:val="28"/>
          <w:szCs w:val="28"/>
        </w:rPr>
        <w:t>%；项目支出</w:t>
      </w:r>
      <w:r>
        <w:rPr>
          <w:rFonts w:ascii="仿宋_GB2312" w:eastAsia="仿宋_GB2312"/>
          <w:sz w:val="28"/>
          <w:szCs w:val="28"/>
        </w:rPr>
        <w:t>10593.6</w:t>
      </w:r>
      <w:r>
        <w:rPr>
          <w:rFonts w:hint="eastAsia" w:ascii="仿宋_GB2312" w:eastAsia="仿宋_GB2312"/>
          <w:sz w:val="28"/>
          <w:szCs w:val="28"/>
        </w:rPr>
        <w:t>万元，占支出合计的</w:t>
      </w:r>
      <w:r>
        <w:rPr>
          <w:rFonts w:hint="eastAsia" w:ascii="仿宋_GB2312" w:eastAsia="仿宋_GB2312"/>
          <w:sz w:val="28"/>
          <w:szCs w:val="28"/>
          <w:lang w:eastAsia="zh-CN"/>
        </w:rPr>
        <w:t>58.89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9685.74</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205.29</w:t>
      </w:r>
      <w:r>
        <w:rPr>
          <w:rFonts w:hint="eastAsia" w:ascii="仿宋_GB2312" w:eastAsia="仿宋_GB2312"/>
          <w:sz w:val="28"/>
          <w:szCs w:val="28"/>
        </w:rPr>
        <w:t>万元，</w:t>
      </w:r>
      <w:r>
        <w:rPr>
          <w:rFonts w:hint="eastAsia" w:ascii="仿宋_GB2312" w:eastAsia="仿宋_GB2312"/>
          <w:sz w:val="28"/>
          <w:szCs w:val="28"/>
          <w:lang w:eastAsia="zh-CN"/>
        </w:rPr>
        <w:t>上升</w:t>
      </w:r>
      <w:r>
        <w:rPr>
          <w:rFonts w:hint="eastAsia" w:ascii="仿宋_GB2312" w:eastAsia="仿宋_GB2312"/>
          <w:sz w:val="28"/>
          <w:szCs w:val="28"/>
          <w:lang w:val="en-US" w:eastAsia="zh-CN"/>
        </w:rPr>
        <w:t>2.17%</w:t>
      </w:r>
      <w:r>
        <w:rPr>
          <w:rFonts w:hint="eastAsia" w:ascii="仿宋_GB2312" w:eastAsia="仿宋_GB2312"/>
          <w:sz w:val="28"/>
          <w:szCs w:val="28"/>
        </w:rPr>
        <w:t>。主要原因</w:t>
      </w:r>
      <w:r>
        <w:rPr>
          <w:rFonts w:hint="eastAsia" w:ascii="仿宋_GB2312" w:eastAsia="仿宋_GB2312"/>
          <w:sz w:val="28"/>
          <w:szCs w:val="28"/>
          <w:lang w:eastAsia="zh-CN"/>
        </w:rPr>
        <w:t>：新招录人员及社保等费用有所增加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9447.57</w:t>
      </w:r>
      <w:r>
        <w:rPr>
          <w:rFonts w:hint="eastAsia" w:ascii="仿宋_GB2312" w:eastAsia="仿宋_GB2312"/>
          <w:sz w:val="28"/>
          <w:szCs w:val="28"/>
        </w:rPr>
        <w:t>万元，主要用于以下方面（按大类）：一社会保障和就业支出840.</w:t>
      </w:r>
      <w:r>
        <w:rPr>
          <w:rFonts w:hint="eastAsia" w:ascii="仿宋_GB2312" w:eastAsia="仿宋_GB2312"/>
          <w:sz w:val="28"/>
          <w:szCs w:val="28"/>
          <w:lang w:val="en-US" w:eastAsia="zh-CN"/>
        </w:rPr>
        <w:t>39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8.90</w:t>
      </w:r>
      <w:r>
        <w:rPr>
          <w:rFonts w:hint="eastAsia" w:ascii="仿宋_GB2312" w:eastAsia="仿宋_GB2312"/>
          <w:sz w:val="28"/>
          <w:szCs w:val="28"/>
        </w:rPr>
        <w:t>%；卫生健康支出517.72万元，占本年财政拨款支出</w:t>
      </w:r>
      <w:r>
        <w:rPr>
          <w:rFonts w:hint="eastAsia" w:ascii="仿宋_GB2312" w:eastAsia="仿宋_GB2312"/>
          <w:sz w:val="28"/>
          <w:szCs w:val="28"/>
          <w:lang w:val="en-US" w:eastAsia="zh-CN"/>
        </w:rPr>
        <w:t>5.48</w:t>
      </w:r>
      <w:r>
        <w:rPr>
          <w:rFonts w:hint="eastAsia" w:ascii="仿宋_GB2312" w:eastAsia="仿宋_GB2312"/>
          <w:sz w:val="28"/>
          <w:szCs w:val="28"/>
        </w:rPr>
        <w:t>%；自然资源海洋气象等支出8067.50万元，占本年财政拨款支出</w:t>
      </w:r>
      <w:r>
        <w:rPr>
          <w:rFonts w:hint="eastAsia" w:ascii="仿宋_GB2312" w:eastAsia="仿宋_GB2312"/>
          <w:sz w:val="28"/>
          <w:szCs w:val="28"/>
          <w:lang w:val="en-US" w:eastAsia="zh-CN"/>
        </w:rPr>
        <w:t>85.39</w:t>
      </w:r>
      <w:r>
        <w:rPr>
          <w:rFonts w:hint="eastAsia" w:ascii="仿宋_GB2312" w:eastAsia="仿宋_GB2312"/>
          <w:sz w:val="28"/>
          <w:szCs w:val="28"/>
        </w:rPr>
        <w:t>%；灾害防治及应急管理支出21.95万元，占本年财政拨款支出</w:t>
      </w:r>
      <w:r>
        <w:rPr>
          <w:rFonts w:hint="eastAsia" w:ascii="仿宋_GB2312" w:eastAsia="仿宋_GB2312"/>
          <w:sz w:val="28"/>
          <w:szCs w:val="28"/>
          <w:lang w:val="en-US" w:eastAsia="zh-CN"/>
        </w:rPr>
        <w:t>0.23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820.96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年度决算840.</w:t>
      </w:r>
      <w:r>
        <w:rPr>
          <w:rFonts w:hint="eastAsia" w:ascii="仿宋_GB2312" w:eastAsia="仿宋_GB2312"/>
          <w:sz w:val="28"/>
          <w:szCs w:val="28"/>
          <w:lang w:val="en-US" w:eastAsia="zh-CN"/>
        </w:rPr>
        <w:t>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102.37</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820.96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年度决算840.3</w:t>
      </w:r>
      <w:r>
        <w:rPr>
          <w:rFonts w:hint="eastAsia" w:ascii="仿宋_GB2312" w:eastAsia="仿宋_GB2312"/>
          <w:sz w:val="28"/>
          <w:szCs w:val="28"/>
          <w:lang w:val="en-US" w:eastAsia="zh-CN"/>
        </w:rPr>
        <w:t>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102.37</w:t>
      </w:r>
      <w:r>
        <w:rPr>
          <w:rFonts w:hint="eastAsia" w:ascii="仿宋_GB2312" w:eastAsia="仿宋_GB2312"/>
          <w:sz w:val="28"/>
          <w:szCs w:val="28"/>
        </w:rPr>
        <w:t>%。主要原因：</w:t>
      </w:r>
      <w:r>
        <w:rPr>
          <w:rFonts w:hint="eastAsia" w:ascii="仿宋_GB2312" w:hAnsi="Times New Roman" w:eastAsia="仿宋_GB2312" w:cs="Times New Roman"/>
          <w:sz w:val="28"/>
          <w:szCs w:val="28"/>
          <w:highlight w:val="none"/>
          <w:lang w:val="en-US" w:eastAsia="zh-CN"/>
        </w:rPr>
        <w:t>2024年新增</w:t>
      </w:r>
      <w:r>
        <w:rPr>
          <w:rFonts w:hint="eastAsia" w:ascii="仿宋_GB2312" w:eastAsia="仿宋_GB2312" w:cs="Times New Roman"/>
          <w:sz w:val="28"/>
          <w:szCs w:val="28"/>
          <w:highlight w:val="none"/>
          <w:lang w:val="en-US" w:eastAsia="zh-CN"/>
        </w:rPr>
        <w:t>人员</w:t>
      </w:r>
      <w:r>
        <w:rPr>
          <w:rFonts w:hint="eastAsia" w:ascii="仿宋_GB2312" w:hAnsi="Times New Roman" w:eastAsia="仿宋_GB2312" w:cs="Times New Roman"/>
          <w:sz w:val="28"/>
          <w:szCs w:val="28"/>
          <w:highlight w:val="none"/>
          <w:lang w:val="en-US" w:eastAsia="zh-CN"/>
        </w:rPr>
        <w:t>及社保基数调整</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515.2</w:t>
      </w:r>
      <w:r>
        <w:rPr>
          <w:rFonts w:hint="default" w:ascii="仿宋_GB2312" w:eastAsia="仿宋_GB2312"/>
          <w:sz w:val="28"/>
          <w:szCs w:val="28"/>
          <w:lang w:val="en-US" w:eastAsia="zh-CN"/>
        </w:rPr>
        <w:t>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年度决算517.72万元，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100.49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515.2</w:t>
      </w:r>
      <w:r>
        <w:rPr>
          <w:rFonts w:hint="default" w:ascii="仿宋_GB2312" w:eastAsia="仿宋_GB2312"/>
          <w:sz w:val="28"/>
          <w:szCs w:val="28"/>
          <w:lang w:val="en-US" w:eastAsia="zh-CN"/>
        </w:rPr>
        <w:t>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年度决算517.72万元，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100.49</w:t>
      </w:r>
      <w:r>
        <w:rPr>
          <w:rFonts w:hint="eastAsia" w:ascii="仿宋_GB2312" w:eastAsia="仿宋_GB2312"/>
          <w:sz w:val="28"/>
          <w:szCs w:val="28"/>
        </w:rPr>
        <w:t>%。主要原因：</w:t>
      </w:r>
      <w:r>
        <w:rPr>
          <w:rFonts w:hint="eastAsia" w:ascii="仿宋_GB2312" w:hAnsi="Times New Roman" w:eastAsia="仿宋_GB2312" w:cs="Times New Roman"/>
          <w:sz w:val="28"/>
          <w:szCs w:val="28"/>
          <w:highlight w:val="none"/>
          <w:lang w:val="en-US" w:eastAsia="zh-CN"/>
        </w:rPr>
        <w:t>2024年新增</w:t>
      </w:r>
      <w:r>
        <w:rPr>
          <w:rFonts w:hint="eastAsia" w:ascii="仿宋_GB2312" w:eastAsia="仿宋_GB2312" w:cs="Times New Roman"/>
          <w:sz w:val="28"/>
          <w:szCs w:val="28"/>
          <w:highlight w:val="none"/>
          <w:lang w:val="en-US" w:eastAsia="zh-CN"/>
        </w:rPr>
        <w:t>人员</w:t>
      </w:r>
      <w:r>
        <w:rPr>
          <w:rFonts w:hint="eastAsia" w:ascii="仿宋_GB2312" w:hAnsi="Times New Roman" w:eastAsia="仿宋_GB2312" w:cs="Times New Roman"/>
          <w:sz w:val="28"/>
          <w:szCs w:val="28"/>
          <w:highlight w:val="none"/>
          <w:lang w:val="en-US" w:eastAsia="zh-CN"/>
        </w:rPr>
        <w:t>及社保基数调整</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hAnsi="Times New Roman" w:eastAsia="仿宋_GB2312" w:cs="Times New Roman"/>
          <w:sz w:val="28"/>
          <w:szCs w:val="28"/>
        </w:rPr>
        <w:t>自然资源海洋气象等支出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8163.14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年度决算8067.50万元，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98.83</w:t>
      </w:r>
      <w:r>
        <w:rPr>
          <w:rFonts w:hint="eastAsia" w:ascii="仿宋_GB2312" w:eastAsia="仿宋_GB2312"/>
          <w:sz w:val="28"/>
          <w:szCs w:val="28"/>
        </w:rPr>
        <w:t>%。</w:t>
      </w:r>
      <w:r>
        <w:rPr>
          <w:rFonts w:hint="eastAsia" w:ascii="仿宋_GB2312" w:hAnsi="Times New Roman" w:eastAsia="仿宋_GB2312" w:cs="Times New Roman"/>
          <w:sz w:val="28"/>
          <w:szCs w:val="28"/>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自然资源事务”（款）2024年度年初预算</w:t>
      </w:r>
      <w:r>
        <w:rPr>
          <w:rFonts w:hint="eastAsia" w:ascii="仿宋_GB2312" w:eastAsia="仿宋_GB2312"/>
          <w:sz w:val="28"/>
          <w:szCs w:val="28"/>
          <w:lang w:val="en-US" w:eastAsia="zh-CN"/>
        </w:rPr>
        <w:t>8163.14</w:t>
      </w:r>
      <w:r>
        <w:rPr>
          <w:rFonts w:hint="eastAsia" w:ascii="仿宋_GB2312" w:hAnsi="Times New Roman" w:eastAsia="仿宋_GB2312" w:cs="Times New Roman"/>
          <w:sz w:val="28"/>
          <w:szCs w:val="28"/>
          <w:lang w:val="en-US" w:eastAsia="zh-CN"/>
        </w:rPr>
        <w:t>万元，2024年度决算</w:t>
      </w:r>
      <w:r>
        <w:rPr>
          <w:rFonts w:hint="eastAsia" w:ascii="仿宋_GB2312" w:eastAsia="仿宋_GB2312"/>
          <w:sz w:val="28"/>
          <w:szCs w:val="28"/>
        </w:rPr>
        <w:t>8067.50</w:t>
      </w:r>
      <w:r>
        <w:rPr>
          <w:rFonts w:hint="eastAsia" w:ascii="仿宋_GB2312" w:hAnsi="Times New Roman" w:eastAsia="仿宋_GB2312" w:cs="Times New Roman"/>
          <w:sz w:val="28"/>
          <w:szCs w:val="28"/>
          <w:lang w:val="en-US" w:eastAsia="zh-CN"/>
        </w:rPr>
        <w:t>万元，完成年初预算的</w:t>
      </w:r>
      <w:r>
        <w:rPr>
          <w:rFonts w:hint="eastAsia" w:ascii="仿宋_GB2312" w:eastAsia="仿宋_GB2312"/>
          <w:sz w:val="28"/>
          <w:szCs w:val="28"/>
          <w:lang w:val="en-US" w:eastAsia="zh-CN"/>
        </w:rPr>
        <w:t>98.83</w:t>
      </w:r>
      <w:r>
        <w:rPr>
          <w:rFonts w:hint="eastAsia" w:ascii="仿宋_GB2312" w:hAnsi="Times New Roman" w:eastAsia="仿宋_GB2312" w:cs="Times New Roman"/>
          <w:sz w:val="28"/>
          <w:szCs w:val="28"/>
          <w:lang w:val="en-US" w:eastAsia="zh-CN"/>
        </w:rPr>
        <w:t>%。主要原因：</w:t>
      </w:r>
      <w:r>
        <w:rPr>
          <w:rFonts w:hint="eastAsia" w:ascii="仿宋_GB2312" w:eastAsia="仿宋_GB2312" w:cs="Times New Roman"/>
          <w:sz w:val="28"/>
          <w:szCs w:val="28"/>
          <w:highlight w:val="none"/>
          <w:lang w:eastAsia="zh-CN"/>
        </w:rPr>
        <w:t>调出人员及部分项目资金减少</w:t>
      </w:r>
      <w:r>
        <w:rPr>
          <w:rFonts w:hint="eastAsia" w:ascii="仿宋_GB2312" w:hAnsi="Times New Roman" w:eastAsia="仿宋_GB2312" w:cs="Times New Roman"/>
          <w:sz w:val="28"/>
          <w:szCs w:val="28"/>
          <w:lang w:val="en-US" w:eastAsia="zh-CN"/>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、“灾害防治及应急管理支出”（类）202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hAnsi="Times New Roman" w:eastAsia="仿宋_GB2312" w:cs="Times New Roman"/>
          <w:sz w:val="28"/>
          <w:szCs w:val="28"/>
          <w:lang w:val="en-US" w:eastAsia="zh-CN"/>
        </w:rPr>
        <w:t>23.00</w:t>
      </w:r>
      <w:r>
        <w:rPr>
          <w:rFonts w:hint="eastAsia" w:ascii="仿宋_GB2312" w:hAnsi="Times New Roman" w:eastAsia="仿宋_GB2312" w:cs="Times New Roman"/>
          <w:sz w:val="28"/>
          <w:szCs w:val="28"/>
        </w:rPr>
        <w:t>万元，202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21.95</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95.43</w:t>
      </w:r>
      <w:r>
        <w:rPr>
          <w:rFonts w:hint="eastAsia" w:ascii="仿宋_GB2312" w:hAnsi="Times New Roman" w:eastAsia="仿宋_GB2312" w:cs="Times New Roman"/>
          <w:sz w:val="28"/>
          <w:szCs w:val="28"/>
        </w:rPr>
        <w:t>%。</w:t>
      </w:r>
    </w:p>
    <w:p>
      <w:pPr>
        <w:autoSpaceDE w:val="0"/>
        <w:autoSpaceDN w:val="0"/>
        <w:adjustRightInd w:val="0"/>
        <w:spacing w:line="580" w:lineRule="exact"/>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其中：</w:t>
      </w:r>
    </w:p>
    <w:p>
      <w:pPr>
        <w:autoSpaceDE w:val="0"/>
        <w:autoSpaceDN w:val="0"/>
        <w:adjustRightInd w:val="0"/>
        <w:spacing w:line="580" w:lineRule="exact"/>
        <w:ind w:firstLine="560" w:firstLineChars="200"/>
        <w:jc w:val="left"/>
        <w:rPr>
          <w:rFonts w:hint="eastAsia"/>
          <w:highlight w:val="none"/>
          <w:lang w:val="en-US" w:eastAsia="zh-CN"/>
        </w:rPr>
      </w:pPr>
      <w:r>
        <w:rPr>
          <w:rFonts w:hint="eastAsia" w:ascii="仿宋_GB2312" w:hAnsi="Times New Roman" w:eastAsia="仿宋_GB2312" w:cs="Times New Roman"/>
          <w:sz w:val="28"/>
          <w:szCs w:val="28"/>
        </w:rPr>
        <w:t>“</w:t>
      </w:r>
      <w:r>
        <w:rPr>
          <w:rFonts w:hint="eastAsia" w:ascii="仿宋_GB2312" w:eastAsia="仿宋_GB2312"/>
          <w:sz w:val="28"/>
          <w:szCs w:val="28"/>
        </w:rPr>
        <w:t>自然灾害防治</w:t>
      </w:r>
      <w:r>
        <w:rPr>
          <w:rFonts w:hint="eastAsia" w:ascii="仿宋_GB2312" w:hAnsi="Times New Roman" w:eastAsia="仿宋_GB2312" w:cs="Times New Roman"/>
          <w:sz w:val="28"/>
          <w:szCs w:val="28"/>
          <w:lang w:val="en-US" w:eastAsia="zh-CN"/>
        </w:rPr>
        <w:t>”（款）2024年度年初预算23.00万元，2024年度决算21.95万元，完成年初预算的95.43%。主要原因：</w:t>
      </w:r>
      <w:r>
        <w:rPr>
          <w:rFonts w:hint="eastAsia" w:ascii="仿宋_GB2312" w:eastAsia="仿宋_GB2312"/>
          <w:sz w:val="28"/>
          <w:szCs w:val="28"/>
          <w:highlight w:val="none"/>
          <w:lang w:eastAsia="zh-CN"/>
        </w:rPr>
        <w:t>核减并上缴地质灾害防治项目净结余</w:t>
      </w:r>
      <w:r>
        <w:rPr>
          <w:rFonts w:hint="eastAsia" w:ascii="仿宋_GB2312" w:hAnsi="Times New Roman" w:eastAsia="仿宋_GB2312" w:cs="Times New Roman"/>
          <w:sz w:val="28"/>
          <w:szCs w:val="28"/>
          <w:highlight w:val="none"/>
          <w:lang w:val="en-US"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146.85</w:t>
      </w:r>
      <w:r>
        <w:rPr>
          <w:rFonts w:hint="eastAsia" w:ascii="仿宋_GB2312" w:eastAsia="仿宋_GB2312"/>
          <w:sz w:val="28"/>
          <w:szCs w:val="28"/>
        </w:rPr>
        <w:t>万元，主要用于以下方面（按大类）：城乡社区支出146.8</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US"/>
        </w:rPr>
        <w:t>112.76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146.85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US"/>
        </w:rPr>
        <w:t>130.23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US"/>
        </w:rPr>
        <w:t>112.76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146.85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US"/>
        </w:rPr>
        <w:t>130.23</w:t>
      </w:r>
      <w:r>
        <w:rPr>
          <w:rFonts w:hint="eastAsia" w:ascii="仿宋_GB2312" w:eastAsia="仿宋_GB2312"/>
          <w:sz w:val="28"/>
          <w:szCs w:val="28"/>
        </w:rPr>
        <w:t>%。主要原因：</w:t>
      </w:r>
      <w:r>
        <w:rPr>
          <w:rFonts w:hint="eastAsia" w:ascii="仿宋_GB2312" w:eastAsia="仿宋_GB2312"/>
          <w:sz w:val="28"/>
          <w:szCs w:val="28"/>
          <w:highlight w:val="none"/>
          <w:lang w:eastAsia="zh-CN"/>
        </w:rPr>
        <w:t>年中追加矿山生态修复治理项目勘查设计费项目经费</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7395.22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32.86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38.51</w:t>
      </w:r>
      <w:r>
        <w:rPr>
          <w:rFonts w:hint="eastAsia" w:ascii="仿宋_GB2312" w:eastAsia="仿宋_GB2312"/>
          <w:sz w:val="28"/>
          <w:szCs w:val="28"/>
        </w:rPr>
        <w:t>万元减少</w:t>
      </w:r>
      <w:r>
        <w:rPr>
          <w:rFonts w:ascii="仿宋_GB2312" w:eastAsia="仿宋_GB2312"/>
          <w:sz w:val="28"/>
          <w:szCs w:val="28"/>
        </w:rPr>
        <w:t>5.64</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32.86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38.51</w:t>
      </w:r>
      <w:r>
        <w:rPr>
          <w:rFonts w:hint="eastAsia" w:ascii="仿宋_GB2312" w:eastAsia="仿宋_GB2312"/>
          <w:sz w:val="28"/>
          <w:szCs w:val="28"/>
        </w:rPr>
        <w:t>万元增减少</w:t>
      </w:r>
      <w:r>
        <w:rPr>
          <w:rFonts w:ascii="仿宋_GB2312" w:eastAsia="仿宋_GB2312"/>
          <w:sz w:val="28"/>
          <w:szCs w:val="28"/>
        </w:rPr>
        <w:t>5.64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w:t>
      </w:r>
      <w:r>
        <w:rPr>
          <w:rFonts w:hint="eastAsia" w:ascii="仿宋_GB2312" w:eastAsia="仿宋_GB2312"/>
          <w:sz w:val="28"/>
          <w:szCs w:val="28"/>
          <w:lang w:val="en-US" w:eastAsia="zh-CN"/>
        </w:rPr>
        <w:t>车辆行驶超15年，严重磨损老化，无法正常行驶，故进行更新</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14.88</w:t>
      </w:r>
      <w:r>
        <w:rPr>
          <w:rFonts w:hint="eastAsia" w:ascii="仿宋_GB2312" w:eastAsia="仿宋_GB2312"/>
          <w:sz w:val="28"/>
          <w:szCs w:val="28"/>
        </w:rPr>
        <w:t>万元，主要原因：</w:t>
      </w:r>
      <w:r>
        <w:rPr>
          <w:rFonts w:hint="eastAsia" w:ascii="仿宋_GB2312" w:hAnsi="Times New Roman" w:eastAsia="仿宋_GB2312" w:cs="Times New Roman"/>
          <w:sz w:val="28"/>
          <w:szCs w:val="28"/>
          <w:lang w:val="en-US" w:eastAsia="zh-CN"/>
        </w:rPr>
        <w:t>落实过紧日子要求，节约使用公务用车运行维护费用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516.32</w:t>
      </w:r>
      <w:r>
        <w:rPr>
          <w:rFonts w:hint="eastAsia" w:ascii="仿宋_GB2312" w:eastAsia="仿宋_GB2312"/>
          <w:sz w:val="28"/>
          <w:szCs w:val="28"/>
        </w:rPr>
        <w:t>万元，比上年增加</w:t>
      </w:r>
      <w:r>
        <w:rPr>
          <w:rFonts w:hint="eastAsia" w:ascii="仿宋_GB2312" w:eastAsia="仿宋_GB2312"/>
          <w:sz w:val="28"/>
          <w:szCs w:val="28"/>
          <w:lang w:val="en-US" w:eastAsia="zh-CN"/>
        </w:rPr>
        <w:t>57.46</w:t>
      </w:r>
      <w:r>
        <w:rPr>
          <w:rFonts w:hint="eastAsia" w:ascii="仿宋_GB2312" w:eastAsia="仿宋_GB2312"/>
          <w:sz w:val="28"/>
          <w:szCs w:val="28"/>
        </w:rPr>
        <w:t>万元，增加原因：</w:t>
      </w:r>
      <w:r>
        <w:rPr>
          <w:rFonts w:hint="eastAsia" w:ascii="仿宋_GB2312" w:eastAsia="仿宋_GB2312"/>
          <w:sz w:val="28"/>
          <w:szCs w:val="28"/>
          <w:lang w:val="en-US" w:eastAsia="zh-CN"/>
        </w:rPr>
        <w:t>办公面积增加从而公用经费增加</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1919.24</w:t>
      </w:r>
      <w:r>
        <w:rPr>
          <w:rFonts w:hint="eastAsia" w:ascii="仿宋_GB2312" w:eastAsia="仿宋_GB2312"/>
          <w:sz w:val="28"/>
          <w:szCs w:val="28"/>
        </w:rPr>
        <w:t>万元，其中：政府采购货物支出</w:t>
      </w:r>
      <w:r>
        <w:rPr>
          <w:rFonts w:ascii="仿宋_GB2312" w:eastAsia="仿宋_GB2312"/>
          <w:sz w:val="28"/>
          <w:szCs w:val="28"/>
        </w:rPr>
        <w:t>176.34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1742.9</w:t>
      </w:r>
      <w:r>
        <w:rPr>
          <w:rFonts w:hint="eastAsia" w:ascii="仿宋_GB2312" w:eastAsia="仿宋_GB2312"/>
          <w:sz w:val="28"/>
          <w:szCs w:val="28"/>
        </w:rPr>
        <w:t>万元。授予中小企业合同金额</w:t>
      </w:r>
      <w:r>
        <w:rPr>
          <w:rFonts w:ascii="仿宋_GB2312" w:eastAsia="仿宋_GB2312"/>
          <w:sz w:val="28"/>
          <w:szCs w:val="28"/>
        </w:rPr>
        <w:t>969.84</w:t>
      </w:r>
      <w:r>
        <w:rPr>
          <w:rFonts w:hint="eastAsia" w:ascii="仿宋_GB2312" w:eastAsia="仿宋_GB2312"/>
          <w:sz w:val="28"/>
          <w:szCs w:val="28"/>
        </w:rPr>
        <w:t>万元，占政府采购支出总额的</w:t>
      </w:r>
      <w:r>
        <w:rPr>
          <w:rFonts w:hint="eastAsia" w:ascii="仿宋_GB2312" w:eastAsia="仿宋_GB2312"/>
          <w:sz w:val="28"/>
          <w:szCs w:val="28"/>
          <w:lang w:eastAsia="zh-CN"/>
        </w:rPr>
        <w:t>50.53</w:t>
      </w:r>
      <w:r>
        <w:rPr>
          <w:rFonts w:hint="eastAsia" w:ascii="仿宋_GB2312" w:eastAsia="仿宋_GB2312"/>
          <w:sz w:val="28"/>
          <w:szCs w:val="28"/>
        </w:rPr>
        <w:t>%，其中：授予小微企业合同金额</w:t>
      </w:r>
      <w:r>
        <w:rPr>
          <w:rFonts w:ascii="仿宋_GB2312" w:eastAsia="仿宋_GB2312"/>
          <w:sz w:val="28"/>
          <w:szCs w:val="28"/>
        </w:rPr>
        <w:t>407.33</w:t>
      </w:r>
      <w:r>
        <w:rPr>
          <w:rFonts w:hint="eastAsia" w:ascii="仿宋_GB2312" w:eastAsia="仿宋_GB2312"/>
          <w:sz w:val="28"/>
          <w:szCs w:val="28"/>
        </w:rPr>
        <w:t>万元，占政府采购支出总额的</w:t>
      </w:r>
      <w:r>
        <w:rPr>
          <w:rFonts w:ascii="仿宋_GB2312" w:eastAsia="仿宋_GB2312"/>
          <w:sz w:val="28"/>
          <w:szCs w:val="28"/>
        </w:rPr>
        <w:t>21.22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12月31日，北京市规划和自然资源委员会丰台分局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政府购买服务决算6226.28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rPr>
        <w:t>7.</w:t>
      </w:r>
      <w:r>
        <w:rPr>
          <w:rFonts w:hint="eastAsia" w:ascii="仿宋_GB2312" w:eastAsia="仿宋_GB2312"/>
          <w:sz w:val="28"/>
          <w:szCs w:val="28"/>
          <w:lang w:val="en-US" w:eastAsia="zh-CN"/>
        </w:rPr>
        <w:t>一般公共服务支出（类）组织事务（款）一般行政管理事务（项）：反映行政单位（包括实行公务员管理的事业单位）未单独设置项级科目的其他项目支出。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lang w:val="en-US" w:eastAsia="zh-CN"/>
        </w:rPr>
      </w:pPr>
      <w:r>
        <w:rPr>
          <w:rFonts w:hint="eastAsia" w:ascii="仿宋_GB2312" w:eastAsia="仿宋_GB2312"/>
          <w:sz w:val="28"/>
          <w:szCs w:val="28"/>
          <w:lang w:val="en-US" w:eastAsia="zh-CN"/>
        </w:rPr>
        <w:t>9.社会保障和就业支出（类）行政事业单位养老支出（款）事业单位离退休（项）：反映事业单位开支的离退休经费。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lang w:val="en-US" w:eastAsia="zh-CN"/>
        </w:rPr>
      </w:pPr>
      <w:r>
        <w:rPr>
          <w:rFonts w:hint="eastAsia" w:ascii="仿宋_GB2312" w:eastAsia="仿宋_GB2312"/>
          <w:sz w:val="28"/>
          <w:szCs w:val="28"/>
          <w:lang w:val="en-US" w:eastAsia="zh-CN"/>
        </w:rPr>
        <w:t>11.社会保障和就业支出（类）行政事业单位养老支出（款）机关事业单位职业年金缴费支出（项）：反映机关事业单位实施养老保险制度由单位实际缴纳的职业年金支出（含职业年金补记支出）。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14.城乡社区支出（类）国有土地使用权出让收入安排的支出（款）土地开发支出（项）：反映新疆生产建设兵团和地方政府用于前期土地开发性支出以及与前期土地开发相关的费用等支出。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15.城乡社区支出（类）国有土地使用权出让收入安排的支出（款）土地出让业务支出（项）：反映土地出让收入用于土地出让业务费用的开支。</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16.城乡社区支出（类）国有土地使用权出让收入安排的支出（款）农业农村生态环境支出（项）：反映土地出让收入用于农村人居环境整治、与农业农村直接相关的山水林田湖草生态保护修复等方面的支出。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17.自然资源海洋气象等支出（类）自然资源事务（款）行政运行（项）:反映行政单位（包括实行公务员管理的事业单位）的基本支出。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18.</w:t>
      </w:r>
      <w:r>
        <w:rPr>
          <w:rFonts w:hint="eastAsia" w:ascii="仿宋_GB2312" w:eastAsia="仿宋_GB2312"/>
          <w:kern w:val="2"/>
          <w:sz w:val="28"/>
          <w:szCs w:val="28"/>
          <w:lang w:val="en-US" w:eastAsia="zh-CN" w:bidi="ar-SA"/>
        </w:rPr>
        <w:t>自然资源海洋气象等支出（类）自然资源事务（款）</w:t>
      </w:r>
      <w:r>
        <w:rPr>
          <w:rFonts w:hint="eastAsia" w:ascii="仿宋_GB2312" w:eastAsia="仿宋_GB2312"/>
          <w:sz w:val="28"/>
          <w:szCs w:val="28"/>
          <w:lang w:val="en-US" w:eastAsia="zh-CN"/>
        </w:rPr>
        <w:t>一般行政管理事务</w:t>
      </w:r>
      <w:r>
        <w:rPr>
          <w:rFonts w:hint="eastAsia" w:ascii="仿宋_GB2312" w:eastAsia="仿宋_GB2312"/>
          <w:kern w:val="2"/>
          <w:sz w:val="28"/>
          <w:szCs w:val="28"/>
          <w:lang w:val="en-US" w:eastAsia="zh-CN" w:bidi="ar-SA"/>
        </w:rPr>
        <w:t>（项）:反映行政单位（包括实行公务</w:t>
      </w:r>
      <w:r>
        <w:rPr>
          <w:rFonts w:hint="eastAsia" w:ascii="仿宋_GB2312" w:eastAsia="仿宋_GB2312"/>
          <w:sz w:val="28"/>
          <w:szCs w:val="28"/>
          <w:lang w:val="en-US" w:eastAsia="zh-CN"/>
        </w:rPr>
        <w:t>员管理的事业单位）未单独设置项级科目的其他项目支出。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19.自然资源海洋气象等支出（类）自然资源事务（款）自然资源规划及管理（项）:反映用于国土空间规划、国土空间开发适宜性评价等方面的支出。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20.自然资源海洋气象等支出（类）自然资源事务（款）事业运行（项）:反映事业单位的基本支出，不包括行政单位（包括实行公务员管理的事业单位）后勤服务中心、医务室等附属事业单位。</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21.</w:t>
      </w:r>
      <w:r>
        <w:rPr>
          <w:rFonts w:hint="eastAsia" w:ascii="仿宋_GB2312" w:eastAsia="仿宋_GB2312"/>
          <w:kern w:val="2"/>
          <w:sz w:val="28"/>
          <w:szCs w:val="28"/>
          <w:lang w:val="en-US" w:eastAsia="zh-CN" w:bidi="ar-SA"/>
        </w:rPr>
        <w:t>自然资源海洋气象等支出（类）自然资源事务（款）</w:t>
      </w:r>
      <w:r>
        <w:rPr>
          <w:rFonts w:hint="eastAsia" w:ascii="仿宋_GB2312" w:eastAsia="仿宋_GB2312"/>
          <w:sz w:val="28"/>
          <w:szCs w:val="28"/>
          <w:lang w:val="en-US" w:eastAsia="zh-CN"/>
        </w:rPr>
        <w:t>其他自然资源事务支出</w:t>
      </w:r>
      <w:r>
        <w:rPr>
          <w:rFonts w:hint="eastAsia" w:ascii="仿宋_GB2312" w:eastAsia="仿宋_GB2312"/>
          <w:kern w:val="2"/>
          <w:sz w:val="28"/>
          <w:szCs w:val="28"/>
          <w:lang w:val="en-US" w:eastAsia="zh-CN" w:bidi="ar-SA"/>
        </w:rPr>
        <w:t>（项）:反映除上述项目以外其他用于自然资源事务方面的支出。</w:t>
      </w:r>
    </w:p>
    <w:p>
      <w:pPr>
        <w:pStyle w:val="4"/>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kern w:val="2"/>
          <w:sz w:val="28"/>
          <w:szCs w:val="28"/>
          <w:lang w:val="en-US" w:eastAsia="zh-CN" w:bidi="ar-SA"/>
        </w:rPr>
      </w:pPr>
      <w:r>
        <w:rPr>
          <w:rFonts w:hint="eastAsia" w:ascii="仿宋_GB2312" w:eastAsia="仿宋_GB2312"/>
          <w:sz w:val="28"/>
          <w:szCs w:val="28"/>
          <w:lang w:val="en-US" w:eastAsia="zh-CN"/>
        </w:rPr>
        <w:t>22.</w:t>
      </w:r>
      <w:r>
        <w:rPr>
          <w:rFonts w:hint="eastAsia" w:ascii="仿宋_GB2312" w:eastAsia="仿宋_GB2312"/>
          <w:kern w:val="2"/>
          <w:sz w:val="28"/>
          <w:szCs w:val="28"/>
          <w:lang w:val="en-US" w:eastAsia="zh-CN" w:bidi="ar-SA"/>
        </w:rPr>
        <w:t>灾害防治及应急管理支出（类）应急管理事务（款）安全监管（项）：反映安全生产综合监督管理和工贸行业安全生产监督管理等方面的支出。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ascii="仿宋_GB2312" w:eastAsia="仿宋_GB2312"/>
          <w:sz w:val="28"/>
          <w:szCs w:val="28"/>
        </w:rPr>
      </w:pPr>
      <w:r>
        <w:rPr>
          <w:rFonts w:hint="eastAsia" w:ascii="仿宋_GB2312" w:hAnsi="Times New Roman" w:eastAsia="仿宋_GB2312" w:cs="Times New Roman"/>
          <w:sz w:val="28"/>
          <w:szCs w:val="28"/>
          <w:lang w:val="en-US" w:eastAsia="zh-CN"/>
        </w:rPr>
        <w:t>23.灾害防治及应急管理支出（类）自然灾害防治（款）地质灾害防治（项）：反映防治地质灾害方面的支出。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rPr>
          <w:rFonts w:ascii="宋体" w:hAnsi="宋体" w:cs="宋体"/>
          <w:b/>
          <w:bCs/>
          <w:kern w:val="0"/>
          <w:sz w:val="28"/>
          <w:szCs w:val="28"/>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pageBreakBefore w:val="0"/>
        <w:widowControl w:val="0"/>
        <w:kinsoku/>
        <w:wordWrap/>
        <w:overflowPunct/>
        <w:topLinePunct w:val="0"/>
        <w:bidi w:val="0"/>
        <w:snapToGrid/>
        <w:ind w:firstLine="560" w:firstLineChars="200"/>
        <w:textAlignment w:val="auto"/>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0352C"/>
    <w:rsid w:val="0F8E2C57"/>
    <w:rsid w:val="1059665E"/>
    <w:rsid w:val="10AC13BA"/>
    <w:rsid w:val="145A6C1B"/>
    <w:rsid w:val="14B73493"/>
    <w:rsid w:val="167A2FF9"/>
    <w:rsid w:val="18581C69"/>
    <w:rsid w:val="1AEC0734"/>
    <w:rsid w:val="1DEF20B0"/>
    <w:rsid w:val="214243FA"/>
    <w:rsid w:val="21AD613C"/>
    <w:rsid w:val="22467189"/>
    <w:rsid w:val="22C17273"/>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674953E"/>
    <w:rsid w:val="57A7B272"/>
    <w:rsid w:val="58470068"/>
    <w:rsid w:val="58747CAC"/>
    <w:rsid w:val="5A1720F9"/>
    <w:rsid w:val="5B9C37C2"/>
    <w:rsid w:val="5BA7C654"/>
    <w:rsid w:val="5FCED4CD"/>
    <w:rsid w:val="60A54109"/>
    <w:rsid w:val="61D01CDF"/>
    <w:rsid w:val="64C0607C"/>
    <w:rsid w:val="65756C86"/>
    <w:rsid w:val="674D385B"/>
    <w:rsid w:val="676F09E1"/>
    <w:rsid w:val="6DAF5E7C"/>
    <w:rsid w:val="6FD9D716"/>
    <w:rsid w:val="7357290B"/>
    <w:rsid w:val="798524E4"/>
    <w:rsid w:val="7A7F1C49"/>
    <w:rsid w:val="7B5B7AE6"/>
    <w:rsid w:val="7B7B6628"/>
    <w:rsid w:val="7BA7071E"/>
    <w:rsid w:val="7BDF6DA8"/>
    <w:rsid w:val="7C7EDC1A"/>
    <w:rsid w:val="7CCED98D"/>
    <w:rsid w:val="7D08410F"/>
    <w:rsid w:val="7DB96DED"/>
    <w:rsid w:val="7DD3AD81"/>
    <w:rsid w:val="7E67206E"/>
    <w:rsid w:val="7EFA4BA6"/>
    <w:rsid w:val="7F7FE70F"/>
    <w:rsid w:val="7FFF772F"/>
    <w:rsid w:val="95F35EF6"/>
    <w:rsid w:val="9BFFD860"/>
    <w:rsid w:val="9EDFC0A0"/>
    <w:rsid w:val="AC5F73DE"/>
    <w:rsid w:val="B5DDD2C8"/>
    <w:rsid w:val="B9DFABD9"/>
    <w:rsid w:val="BBEE29F7"/>
    <w:rsid w:val="BC0D83FC"/>
    <w:rsid w:val="BE5F69A3"/>
    <w:rsid w:val="BF19C6C0"/>
    <w:rsid w:val="BF3BDEFB"/>
    <w:rsid w:val="C75F6086"/>
    <w:rsid w:val="C7F7ED2D"/>
    <w:rsid w:val="CFAF854E"/>
    <w:rsid w:val="D8D7928E"/>
    <w:rsid w:val="D8FE3136"/>
    <w:rsid w:val="D9EBF9EF"/>
    <w:rsid w:val="DA952999"/>
    <w:rsid w:val="DDAA6716"/>
    <w:rsid w:val="DDDE60B7"/>
    <w:rsid w:val="DE9F6A22"/>
    <w:rsid w:val="DF4FCE6A"/>
    <w:rsid w:val="E4FED278"/>
    <w:rsid w:val="EDAA365C"/>
    <w:rsid w:val="EDADFC12"/>
    <w:rsid w:val="EEF125D0"/>
    <w:rsid w:val="EFBEFF6B"/>
    <w:rsid w:val="F2EF8AE8"/>
    <w:rsid w:val="F2FD229B"/>
    <w:rsid w:val="F7BFB0E2"/>
    <w:rsid w:val="F7D05F89"/>
    <w:rsid w:val="F7F709E9"/>
    <w:rsid w:val="F7FF3690"/>
    <w:rsid w:val="F9BD3900"/>
    <w:rsid w:val="FC8B9876"/>
    <w:rsid w:val="FDFE952B"/>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9676.2</c:v>
                </c:pt>
                <c:pt idx="1">
                  <c:v>0</c:v>
                </c:pt>
                <c:pt idx="2">
                  <c:v>0</c:v>
                </c:pt>
                <c:pt idx="3">
                  <c:v>0</c:v>
                </c:pt>
                <c:pt idx="4">
                  <c:v>0</c:v>
                </c:pt>
                <c:pt idx="5">
                  <c:v>7546.9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7395.22</c:v>
                </c:pt>
                <c:pt idx="1">
                  <c:v>10593.6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3432</Words>
  <Characters>5758</Characters>
  <Lines>44</Lines>
  <Paragraphs>12</Paragraphs>
  <TotalTime>13</TotalTime>
  <ScaleCrop>false</ScaleCrop>
  <LinksUpToDate>false</LinksUpToDate>
  <CharactersWithSpaces>5779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2017-07-15T07:16:00Z</dcterms:created>
  <dc:creator>常程</dc:creator>
  <cp:lastModifiedBy>Administrator</cp:lastModifiedBy>
  <cp:lastPrinted>2020-08-11T03:39:00Z</cp:lastPrinted>
  <dcterms:modified xsi:type="dcterms:W3CDTF">2025-09-05T08:44:01Z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B4B8EC8A60F1479A3961BA6809E243FC_43</vt:lpwstr>
  </property>
  <property fmtid="{D5CDD505-2E9C-101B-9397-08002B2CF9AE}" pid="4" name="KSOTemplateDocerSaveRecord">
    <vt:lpwstr>eyJoZGlkIjoiMzFhMDlmODM4NDM3ZTUzZTJhOWRjZWIxNmVkMjQxNTMiLCJ1c2VySWQiOiIxMTQwMjc4MDE0In0=</vt:lpwstr>
  </property>
</Properties>
</file>