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1.机构设置</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rPr>
        <w:t>根据市编办《中共北京市委机构编制委员会办公室关于印发北京市规划和自然资源委员会区分局职能、内设机构和人员编制规定的通知》(京编办发[2019]17号)，</w:t>
      </w:r>
      <w:r>
        <w:rPr>
          <w:rFonts w:hint="eastAsia" w:ascii="仿宋_GB2312" w:eastAsia="仿宋_GB2312"/>
          <w:sz w:val="28"/>
          <w:szCs w:val="28"/>
          <w:highlight w:val="none"/>
        </w:rPr>
        <w:t>分局共设有13个科室</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lang w:eastAsia="zh-CN"/>
        </w:rPr>
        <w:t>分别是办公室、法制科（信访与信息公开科）、规划编制与城市设计科、历史文化名城保护科、市政交通科、规划实施科、综合审批科、规划土地核验科、自然资源调查监测科、自然资源所有者权益科（自然资源开发利用科）、财务科、机关党委（党建工作科、人事科）、纪检办公室</w:t>
      </w:r>
      <w:r>
        <w:rPr>
          <w:rFonts w:hint="eastAsia" w:ascii="仿宋_GB2312" w:eastAsia="仿宋_GB2312"/>
          <w:sz w:val="28"/>
          <w:szCs w:val="28"/>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textAlignment w:val="auto"/>
        <w:rPr>
          <w:rFonts w:hint="eastAsia" w:ascii="仿宋_GB2312" w:eastAsia="仿宋_GB2312"/>
          <w:sz w:val="28"/>
          <w:szCs w:val="28"/>
          <w:highlight w:val="none"/>
        </w:rPr>
      </w:pPr>
      <w:r>
        <w:rPr>
          <w:rFonts w:hint="eastAsia" w:ascii="仿宋_GB2312" w:eastAsia="仿宋_GB2312"/>
          <w:sz w:val="28"/>
          <w:szCs w:val="28"/>
          <w:highlight w:val="none"/>
        </w:rPr>
        <w:t>所属执法机构1个，为北京</w:t>
      </w:r>
      <w:bookmarkStart w:id="0" w:name="_GoBack"/>
      <w:bookmarkEnd w:id="0"/>
      <w:r>
        <w:rPr>
          <w:rFonts w:hint="eastAsia" w:ascii="仿宋_GB2312" w:eastAsia="仿宋_GB2312"/>
          <w:sz w:val="28"/>
          <w:szCs w:val="28"/>
          <w:highlight w:val="none"/>
        </w:rPr>
        <w:t>市</w:t>
      </w:r>
      <w:r>
        <w:rPr>
          <w:rFonts w:hint="eastAsia" w:ascii="仿宋_GB2312" w:eastAsia="仿宋_GB2312"/>
          <w:sz w:val="28"/>
          <w:szCs w:val="28"/>
          <w:highlight w:val="none"/>
          <w:lang w:eastAsia="zh-CN"/>
        </w:rPr>
        <w:t>西城</w:t>
      </w:r>
      <w:r>
        <w:rPr>
          <w:rFonts w:hint="eastAsia" w:ascii="仿宋_GB2312" w:eastAsia="仿宋_GB2312"/>
          <w:sz w:val="28"/>
          <w:szCs w:val="28"/>
          <w:highlight w:val="none"/>
        </w:rPr>
        <w:t>区规划和自然资源执法队</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所属事业单位</w:t>
      </w:r>
      <w:r>
        <w:rPr>
          <w:rFonts w:hint="eastAsia" w:ascii="仿宋_GB2312" w:eastAsia="仿宋_GB2312"/>
          <w:sz w:val="28"/>
          <w:szCs w:val="28"/>
          <w:highlight w:val="none"/>
          <w:lang w:val="en-US" w:eastAsia="zh-CN"/>
        </w:rPr>
        <w:t>2个</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分别</w:t>
      </w:r>
      <w:r>
        <w:rPr>
          <w:rFonts w:hint="eastAsia" w:ascii="仿宋_GB2312" w:eastAsia="仿宋_GB2312"/>
          <w:sz w:val="28"/>
          <w:szCs w:val="28"/>
          <w:highlight w:val="none"/>
        </w:rPr>
        <w:t>为北京市西城区不动产登记中心和北京市西城区规划和自然资源综合事务中心。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2.部门职责</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 xml:space="preserve"> 北京市规划和自然资源委员会西城分局实行市、区双重管理体制，既作为市规划自然资源委的派出机构，同时也是区政府工作部门，为正处级。主要职责是：</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（3）负责本区国土空间用途管制工作。负责自然资源和国土空间规划的实施管理。组织拟订并实施土地等自然资源年度利用计划。负责工程建设项目规划和用地管理相关工作。</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（4）负责本区自然资源调查监测评价工作。组织自然资源基础调查、专项调查和监测。负责自然资源和不动产统一确权登记工作。依法调处相关权属纠纷。</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（6）负责本区耕地保护、基本农田保护管理。负责国土空间用途转用工作。负责土地征收征用管理。负责耕地占补平衡管理。组织实施土地整理复垦。</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（8）负责本区自然资源和国有空间规划方面的科技、信息化建设以及统计工作。承担勘察设计、测绘相关监督管理工作。承担自然资源和国土空间规划相关档案的管理工作。</w:t>
      </w:r>
    </w:p>
    <w:p>
      <w:pPr>
        <w:pStyle w:val="4"/>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（9）负责本区自然资源和国土空间规划管理的督察工作。依法承担工程建设项目的规划核验。查处自然资源开发利用和国土空间规划及勘察设计、测绘违法案件。</w:t>
      </w:r>
    </w:p>
    <w:p>
      <w:pPr>
        <w:pStyle w:val="4"/>
        <w:rPr>
          <w:rFonts w:hint="eastAsia" w:ascii="仿宋_GB2312" w:eastAsia="仿宋_GB2312"/>
          <w:sz w:val="28"/>
          <w:szCs w:val="28"/>
        </w:rPr>
      </w:pPr>
      <w:r>
        <w:rPr>
          <w:rFonts w:hint="eastAsia" w:ascii="仿宋_GB2312" w:hAnsi="Times New Roman" w:eastAsia="仿宋_GB2312" w:cs="Times New Roman"/>
          <w:kern w:val="2"/>
          <w:sz w:val="28"/>
          <w:szCs w:val="28"/>
          <w:lang w:val="en-US" w:eastAsia="zh-CN" w:bidi="ar-SA"/>
        </w:rPr>
        <w:t>（10）完成市规划自然资源委和区委、区政府交办的其他任务。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9851.39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633</w:t>
      </w:r>
      <w:r>
        <w:rPr>
          <w:rFonts w:ascii="仿宋_GB2312" w:eastAsia="仿宋_GB2312"/>
          <w:sz w:val="28"/>
          <w:szCs w:val="28"/>
        </w:rPr>
        <w:t>.</w:t>
      </w:r>
      <w:r>
        <w:rPr>
          <w:rFonts w:hint="eastAsia" w:ascii="仿宋_GB2312" w:eastAsia="仿宋_GB2312"/>
          <w:sz w:val="28"/>
          <w:szCs w:val="28"/>
          <w:lang w:val="en-US" w:eastAsia="zh-CN"/>
        </w:rPr>
        <w:t>10</w:t>
      </w:r>
      <w:r>
        <w:rPr>
          <w:rFonts w:hint="eastAsia" w:ascii="仿宋_GB2312" w:eastAsia="仿宋_GB2312"/>
          <w:sz w:val="28"/>
          <w:szCs w:val="28"/>
        </w:rPr>
        <w:t>万元，下降</w:t>
      </w:r>
      <w:r>
        <w:rPr>
          <w:rFonts w:hint="eastAsia" w:ascii="仿宋_GB2312" w:eastAsia="仿宋_GB2312"/>
          <w:sz w:val="28"/>
          <w:szCs w:val="28"/>
          <w:lang w:val="en-US" w:eastAsia="zh-CN"/>
        </w:rPr>
        <w:t>6</w:t>
      </w:r>
      <w:r>
        <w:rPr>
          <w:rFonts w:ascii="仿宋_GB2312" w:eastAsia="仿宋_GB2312"/>
          <w:sz w:val="28"/>
          <w:szCs w:val="28"/>
        </w:rPr>
        <w:t>.</w:t>
      </w:r>
      <w:r>
        <w:rPr>
          <w:rFonts w:hint="eastAsia" w:ascii="仿宋_GB2312" w:eastAsia="仿宋_GB2312"/>
          <w:sz w:val="28"/>
          <w:szCs w:val="28"/>
          <w:lang w:val="en-US" w:eastAsia="zh-CN"/>
        </w:rPr>
        <w:t>04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2024年度本年收入合计9467.62万元，比上年减少</w:t>
      </w:r>
      <w:r>
        <w:rPr>
          <w:rFonts w:hint="eastAsia" w:ascii="仿宋_GB2312" w:eastAsia="仿宋_GB2312"/>
          <w:sz w:val="28"/>
          <w:szCs w:val="28"/>
          <w:lang w:val="en-US" w:eastAsia="zh-CN"/>
        </w:rPr>
        <w:t>83.01</w:t>
      </w:r>
      <w:r>
        <w:rPr>
          <w:rFonts w:hint="eastAsia" w:ascii="仿宋_GB2312" w:eastAsia="仿宋_GB2312"/>
          <w:sz w:val="28"/>
          <w:szCs w:val="28"/>
        </w:rPr>
        <w:t>万元，下降0.87%。</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7588.55</w:t>
      </w:r>
      <w:r>
        <w:rPr>
          <w:rFonts w:hint="eastAsia" w:ascii="仿宋_GB2312" w:eastAsia="仿宋_GB2312"/>
          <w:sz w:val="28"/>
          <w:szCs w:val="28"/>
        </w:rPr>
        <w:t>万元，占收入合计的</w:t>
      </w:r>
      <w:r>
        <w:rPr>
          <w:rFonts w:hint="eastAsia" w:ascii="仿宋_GB2312" w:eastAsia="仿宋_GB2312"/>
          <w:sz w:val="28"/>
          <w:szCs w:val="28"/>
          <w:lang w:eastAsia="zh-CN"/>
        </w:rPr>
        <w:t>80.15%。</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7562.25</w:t>
      </w:r>
      <w:r>
        <w:rPr>
          <w:rFonts w:hint="eastAsia" w:ascii="仿宋_GB2312" w:eastAsia="仿宋_GB2312"/>
          <w:sz w:val="28"/>
          <w:szCs w:val="28"/>
        </w:rPr>
        <w:t>万元，占收入合计的</w:t>
      </w:r>
      <w:r>
        <w:rPr>
          <w:rFonts w:hint="eastAsia" w:ascii="仿宋_GB2312" w:eastAsia="仿宋_GB2312"/>
          <w:sz w:val="28"/>
          <w:szCs w:val="28"/>
          <w:lang w:eastAsia="zh-CN"/>
        </w:rPr>
        <w:t>79.87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26.3</w:t>
      </w:r>
      <w:r>
        <w:rPr>
          <w:rFonts w:hint="eastAsia" w:ascii="仿宋_GB2312" w:eastAsia="仿宋_GB2312"/>
          <w:sz w:val="28"/>
          <w:szCs w:val="28"/>
        </w:rPr>
        <w:t>万元，占收入合计的</w:t>
      </w:r>
      <w:r>
        <w:rPr>
          <w:rFonts w:hint="eastAsia" w:ascii="仿宋_GB2312" w:eastAsia="仿宋_GB2312"/>
          <w:sz w:val="28"/>
          <w:szCs w:val="28"/>
          <w:lang w:eastAsia="zh-CN"/>
        </w:rPr>
        <w:t>0.28</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1879.07</w:t>
      </w:r>
      <w:r>
        <w:rPr>
          <w:rFonts w:hint="eastAsia" w:ascii="仿宋_GB2312" w:eastAsia="仿宋_GB2312"/>
          <w:sz w:val="28"/>
          <w:szCs w:val="28"/>
        </w:rPr>
        <w:t>万元，占收入合计的</w:t>
      </w:r>
      <w:r>
        <w:rPr>
          <w:rFonts w:hint="eastAsia" w:ascii="仿宋_GB2312" w:eastAsia="仿宋_GB2312"/>
          <w:sz w:val="28"/>
          <w:szCs w:val="28"/>
          <w:lang w:eastAsia="zh-CN"/>
        </w:rPr>
        <w:t>19.85</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0"/>
        <w:jc w:val="center"/>
        <w:rPr>
          <w:rFonts w:hint="eastAsia" w:eastAsia="仿宋_GB2312"/>
          <w:lang w:val="en-US" w:eastAsia="zh-CN"/>
        </w:rP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9790.61万元，比上年减少108.65万元，下降1.10%，其中：基本支出6681.94万元，占支出合计的68.25%；项目支出3108.67万元，占支出合计的31.75%;上缴上级支出0万元，占支出合计的0%；经营支出0万元，占支出合计的0%；对附属单位补助支出0万元，占支出合计的0%。</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highlight w:val="none"/>
        </w:rPr>
      </w:pPr>
      <w:r>
        <w:rPr>
          <w:rFonts w:hint="eastAsia" w:ascii="仿宋_GB2312" w:eastAsia="仿宋_GB2312"/>
          <w:sz w:val="28"/>
          <w:szCs w:val="28"/>
        </w:rPr>
        <w:t>2024年度财政拨款收、支总计7589.10万元，比上年增加197.06万元，增长2.67%。主要原</w:t>
      </w:r>
      <w:r>
        <w:rPr>
          <w:rFonts w:hint="eastAsia" w:ascii="仿宋_GB2312" w:eastAsia="仿宋_GB2312"/>
          <w:sz w:val="28"/>
          <w:szCs w:val="28"/>
          <w:highlight w:val="none"/>
        </w:rPr>
        <w:t>因：本年实有在编人员较上年增加导致人员</w:t>
      </w:r>
      <w:r>
        <w:rPr>
          <w:rFonts w:hint="eastAsia" w:ascii="仿宋_GB2312" w:eastAsia="仿宋_GB2312"/>
          <w:sz w:val="28"/>
          <w:szCs w:val="28"/>
          <w:highlight w:val="none"/>
          <w:lang w:eastAsia="zh-CN"/>
        </w:rPr>
        <w:t>经费</w:t>
      </w:r>
      <w:r>
        <w:rPr>
          <w:rFonts w:hint="eastAsia" w:ascii="仿宋_GB2312" w:eastAsia="仿宋_GB2312"/>
          <w:sz w:val="28"/>
          <w:szCs w:val="28"/>
          <w:highlight w:val="none"/>
          <w:lang w:val="en-US" w:eastAsia="zh-CN"/>
        </w:rPr>
        <w:t>,社保经费</w:t>
      </w:r>
      <w:r>
        <w:rPr>
          <w:rFonts w:hint="eastAsia" w:ascii="仿宋_GB2312" w:eastAsia="仿宋_GB2312"/>
          <w:sz w:val="28"/>
          <w:szCs w:val="28"/>
          <w:highlight w:val="none"/>
        </w:rPr>
        <w:t>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7548.62万元，主要用于以下方面：自然资源海洋气象等支出6298.04万元，占本年财政拨款支出83.43%；社会保障和就业支出764.12万元，占本年财政拨款支出10.12%；卫生健康支出483.55万元，占本年财政拨款支出6.41%；教育支出2.90万元，占本年财政拨款支出0.04%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1、“自然资源海洋气象等支出”（类）202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6229.02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6298.04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101.11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highlight w:val="none"/>
        </w:rPr>
        <w:t>自然资源事务”（款）202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年度年初预算6229.02万元，202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6298.04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rPr>
        <w:t>101.11%。主要原因：本年实有在编人员较</w:t>
      </w:r>
      <w:r>
        <w:rPr>
          <w:rFonts w:hint="eastAsia" w:ascii="仿宋_GB2312" w:eastAsia="仿宋_GB2312"/>
          <w:sz w:val="28"/>
          <w:szCs w:val="28"/>
          <w:highlight w:val="none"/>
          <w:lang w:eastAsia="zh-CN"/>
        </w:rPr>
        <w:t>预算</w:t>
      </w:r>
      <w:r>
        <w:rPr>
          <w:rFonts w:hint="eastAsia" w:ascii="仿宋_GB2312" w:eastAsia="仿宋_GB2312"/>
          <w:sz w:val="28"/>
          <w:szCs w:val="28"/>
          <w:highlight w:val="none"/>
        </w:rPr>
        <w:t>增加</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实际工资支出较预算有所增加。</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749.41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年度决算764.12万元，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101</w:t>
      </w:r>
      <w:r>
        <w:rPr>
          <w:rFonts w:ascii="仿宋_GB2312" w:eastAsia="仿宋_GB2312"/>
          <w:sz w:val="28"/>
          <w:szCs w:val="28"/>
          <w:highlight w:val="none"/>
        </w:rPr>
        <w:t>.</w:t>
      </w:r>
      <w:r>
        <w:rPr>
          <w:rFonts w:hint="eastAsia" w:ascii="仿宋_GB2312" w:eastAsia="仿宋_GB2312"/>
          <w:sz w:val="28"/>
          <w:szCs w:val="28"/>
          <w:highlight w:val="none"/>
          <w:lang w:val="en-US" w:eastAsia="zh-CN"/>
        </w:rPr>
        <w:t>96</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749.41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年度决算764.12万元，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101</w:t>
      </w:r>
      <w:r>
        <w:rPr>
          <w:rFonts w:ascii="仿宋_GB2312" w:eastAsia="仿宋_GB2312"/>
          <w:sz w:val="28"/>
          <w:szCs w:val="28"/>
          <w:highlight w:val="none"/>
        </w:rPr>
        <w:t>.</w:t>
      </w:r>
      <w:r>
        <w:rPr>
          <w:rFonts w:hint="eastAsia" w:ascii="仿宋_GB2312" w:eastAsia="仿宋_GB2312"/>
          <w:sz w:val="28"/>
          <w:szCs w:val="28"/>
          <w:highlight w:val="none"/>
          <w:lang w:val="en-US" w:eastAsia="zh-CN"/>
        </w:rPr>
        <w:t>96</w:t>
      </w:r>
      <w:r>
        <w:rPr>
          <w:rFonts w:hint="eastAsia" w:ascii="仿宋_GB2312" w:eastAsia="仿宋_GB2312"/>
          <w:sz w:val="28"/>
          <w:szCs w:val="28"/>
          <w:highlight w:val="none"/>
        </w:rPr>
        <w:t>%。主要原因：本年实有在编人员较预算增加，实际养老保险支出较预算有所增加。</w:t>
      </w:r>
    </w:p>
    <w:p>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“卫生健康支出”（类）202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476.06万元，2024年度决算483.55万元，完成年初预算的101.57%。其中：</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“行政事业单位医疗”（款）2024年度年初预算476.06万元，2024年度决算483.55万元，完成年初预算的101.5</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%。主要原因：本年实有在编人员较</w:t>
      </w:r>
      <w:r>
        <w:rPr>
          <w:rFonts w:hint="eastAsia" w:ascii="仿宋_GB2312" w:eastAsia="仿宋_GB2312"/>
          <w:sz w:val="28"/>
          <w:szCs w:val="28"/>
          <w:highlight w:val="none"/>
          <w:lang w:eastAsia="zh-CN"/>
        </w:rPr>
        <w:t>预算</w:t>
      </w:r>
      <w:r>
        <w:rPr>
          <w:rFonts w:hint="eastAsia" w:ascii="仿宋_GB2312" w:eastAsia="仿宋_GB2312"/>
          <w:sz w:val="28"/>
          <w:szCs w:val="28"/>
          <w:highlight w:val="none"/>
        </w:rPr>
        <w:t>增加，实际</w:t>
      </w:r>
      <w:r>
        <w:rPr>
          <w:rFonts w:hint="eastAsia" w:ascii="仿宋_GB2312" w:eastAsia="仿宋_GB2312"/>
          <w:sz w:val="28"/>
          <w:szCs w:val="28"/>
          <w:highlight w:val="none"/>
          <w:lang w:eastAsia="zh-CN"/>
        </w:rPr>
        <w:t>医疗保险</w:t>
      </w:r>
      <w:r>
        <w:rPr>
          <w:rFonts w:hint="eastAsia" w:ascii="仿宋_GB2312" w:eastAsia="仿宋_GB2312"/>
          <w:sz w:val="28"/>
          <w:szCs w:val="28"/>
          <w:highlight w:val="none"/>
        </w:rPr>
        <w:t>支出较预算略有增加</w:t>
      </w:r>
      <w:r>
        <w:rPr>
          <w:rFonts w:hint="eastAsia" w:ascii="仿宋_GB2312" w:eastAsia="仿宋_GB2312"/>
          <w:sz w:val="28"/>
          <w:szCs w:val="28"/>
          <w:highlight w:val="none"/>
          <w:lang w:eastAsia="zh-CN"/>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4、“教育支出”（类）202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年初预算6</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00</w:t>
      </w:r>
      <w:r>
        <w:rPr>
          <w:rFonts w:hint="eastAsia" w:ascii="仿宋_GB2312" w:eastAsia="仿宋_GB2312"/>
          <w:sz w:val="28"/>
          <w:szCs w:val="28"/>
          <w:highlight w:val="none"/>
        </w:rPr>
        <w:t>万元，2024年度决算</w:t>
      </w:r>
      <w:r>
        <w:rPr>
          <w:rFonts w:hint="eastAsia" w:ascii="仿宋_GB2312" w:eastAsia="仿宋_GB2312"/>
          <w:sz w:val="28"/>
          <w:szCs w:val="28"/>
          <w:highlight w:val="none"/>
          <w:lang w:val="en-US" w:eastAsia="zh-CN"/>
        </w:rPr>
        <w:t>2.90</w:t>
      </w:r>
      <w:r>
        <w:rPr>
          <w:rFonts w:hint="eastAsia" w:ascii="仿宋_GB2312" w:eastAsia="仿宋_GB2312"/>
          <w:sz w:val="28"/>
          <w:szCs w:val="28"/>
          <w:highlight w:val="none"/>
        </w:rPr>
        <w:t>万元，完成年初预算的</w:t>
      </w:r>
      <w:r>
        <w:rPr>
          <w:rFonts w:hint="eastAsia" w:ascii="仿宋_GB2312" w:eastAsia="仿宋_GB2312"/>
          <w:sz w:val="28"/>
          <w:szCs w:val="28"/>
          <w:highlight w:val="none"/>
          <w:lang w:val="en-US" w:eastAsia="zh-CN"/>
        </w:rPr>
        <w:t>48</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33</w:t>
      </w:r>
      <w:r>
        <w:rPr>
          <w:rFonts w:hint="eastAsia" w:ascii="仿宋_GB2312" w:eastAsia="仿宋_GB2312"/>
          <w:sz w:val="28"/>
          <w:szCs w:val="28"/>
          <w:highlight w:val="none"/>
        </w:rPr>
        <w:t>%。其中：</w:t>
      </w:r>
    </w:p>
    <w:p>
      <w:pPr>
        <w:spacing w:line="580" w:lineRule="exact"/>
        <w:ind w:firstLine="560" w:firstLineChars="200"/>
        <w:rPr>
          <w:rFonts w:hint="default"/>
          <w:lang w:val="en-US" w:eastAsia="zh-CN"/>
        </w:rPr>
      </w:pPr>
      <w:r>
        <w:rPr>
          <w:rFonts w:hint="eastAsia" w:ascii="仿宋_GB2312" w:eastAsia="仿宋_GB2312"/>
          <w:sz w:val="28"/>
          <w:szCs w:val="28"/>
          <w:highlight w:val="none"/>
        </w:rPr>
        <w:t>“进修及培训”（款）2024年度年初预算6.00万元，2024年度决</w:t>
      </w:r>
      <w:r>
        <w:rPr>
          <w:rFonts w:hint="eastAsia" w:ascii="仿宋_GB2312" w:eastAsia="仿宋_GB2312"/>
          <w:sz w:val="28"/>
          <w:szCs w:val="28"/>
        </w:rPr>
        <w:t>算2.90万元，完成年初预算的48.3</w:t>
      </w:r>
      <w:r>
        <w:rPr>
          <w:rFonts w:hint="eastAsia" w:ascii="仿宋_GB2312" w:eastAsia="仿宋_GB2312"/>
          <w:sz w:val="28"/>
          <w:szCs w:val="28"/>
          <w:lang w:val="en-US" w:eastAsia="zh-CN"/>
        </w:rPr>
        <w:t>3</w:t>
      </w:r>
      <w:r>
        <w:rPr>
          <w:rFonts w:hint="eastAsia" w:ascii="仿宋_GB2312" w:eastAsia="仿宋_GB2312"/>
          <w:sz w:val="28"/>
          <w:szCs w:val="28"/>
        </w:rPr>
        <w:t>%。主要原因：</w:t>
      </w:r>
      <w:r>
        <w:rPr>
          <w:rFonts w:hint="eastAsia" w:ascii="仿宋_GB2312" w:eastAsia="仿宋_GB2312"/>
          <w:sz w:val="28"/>
          <w:szCs w:val="28"/>
          <w:lang w:eastAsia="zh-CN"/>
        </w:rPr>
        <w:t>进一步落实政府过紧日子要求，</w:t>
      </w:r>
      <w:r>
        <w:rPr>
          <w:rFonts w:hint="eastAsia" w:ascii="仿宋_GB2312" w:eastAsia="仿宋_GB2312"/>
          <w:sz w:val="28"/>
          <w:szCs w:val="28"/>
        </w:rPr>
        <w:t>对培训支出进行了压减。</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26.3</w:t>
      </w:r>
      <w:r>
        <w:rPr>
          <w:rFonts w:hint="eastAsia" w:ascii="仿宋_GB2312" w:eastAsia="仿宋_GB2312"/>
          <w:sz w:val="28"/>
          <w:szCs w:val="28"/>
        </w:rPr>
        <w:t>万元，主要用于以下方面：城乡社区支出26.3万元，占本年财政拨款支出100.00%。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136.98</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“国有土地使用权出让收入安排的支出”（款）202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年度年初预算19.20万元，2024年度决算26.30万元，完成年初预算的136.98%。主要原因：因</w:t>
      </w:r>
      <w:r>
        <w:rPr>
          <w:rFonts w:hint="eastAsia" w:ascii="仿宋_GB2312" w:eastAsia="仿宋_GB2312"/>
          <w:sz w:val="28"/>
          <w:szCs w:val="28"/>
          <w:highlight w:val="none"/>
          <w:lang w:eastAsia="zh-CN"/>
        </w:rPr>
        <w:t>需要评估地块较预算增加</w:t>
      </w:r>
      <w:r>
        <w:rPr>
          <w:rFonts w:hint="eastAsia" w:ascii="仿宋_GB2312" w:eastAsia="仿宋_GB2312"/>
          <w:sz w:val="28"/>
          <w:szCs w:val="28"/>
          <w:highlight w:val="none"/>
        </w:rPr>
        <w:t>，本年追加“出让地价评估”政府性基金预算支出项目。</w:t>
      </w:r>
    </w:p>
    <w:p>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年度国有资本经营预算财政拨款收入总计0万元，国有资本经营预算财政拨款支出总计0万元。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6674.22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8.81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10.5</w:t>
      </w:r>
      <w:r>
        <w:rPr>
          <w:rFonts w:hint="eastAsia" w:ascii="仿宋_GB2312" w:eastAsia="仿宋_GB2312"/>
          <w:sz w:val="28"/>
          <w:szCs w:val="28"/>
        </w:rPr>
        <w:t>万元减少</w:t>
      </w:r>
      <w:r>
        <w:rPr>
          <w:rFonts w:ascii="仿宋_GB2312" w:eastAsia="仿宋_GB2312"/>
          <w:sz w:val="28"/>
          <w:szCs w:val="28"/>
        </w:rPr>
        <w:t>1.69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w:t>
      </w:r>
      <w:r>
        <w:rPr>
          <w:rFonts w:hint="eastAsia" w:ascii="仿宋_GB2312" w:eastAsia="仿宋_GB2312"/>
          <w:sz w:val="28"/>
          <w:szCs w:val="28"/>
          <w:highlight w:val="none"/>
          <w:lang w:eastAsia="zh-CN"/>
        </w:rPr>
        <w:t>本单位无此项支出。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0.5</w:t>
      </w:r>
      <w:r>
        <w:rPr>
          <w:rFonts w:hint="eastAsia" w:ascii="仿宋_GB2312" w:eastAsia="仿宋_GB2312"/>
          <w:sz w:val="28"/>
          <w:szCs w:val="28"/>
        </w:rPr>
        <w:t>万元减少</w:t>
      </w:r>
      <w:r>
        <w:rPr>
          <w:rFonts w:ascii="仿宋_GB2312" w:eastAsia="仿宋_GB2312"/>
          <w:sz w:val="28"/>
          <w:szCs w:val="28"/>
        </w:rPr>
        <w:t>0.5</w:t>
      </w:r>
      <w:r>
        <w:rPr>
          <w:rFonts w:hint="eastAsia" w:ascii="仿宋_GB2312" w:eastAsia="仿宋_GB2312"/>
          <w:sz w:val="28"/>
          <w:szCs w:val="28"/>
        </w:rPr>
        <w:t>万元。主要原因：2024年度进一步落实政府过紧日子要求，未发生公务接待支出。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8.81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10</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ascii="仿宋_GB2312" w:eastAsia="仿宋_GB2312"/>
          <w:sz w:val="28"/>
          <w:szCs w:val="28"/>
        </w:rPr>
        <w:t>.19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2024年度未安排公务用车购置预算，未进行公务用车购置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8.81</w:t>
      </w:r>
      <w:r>
        <w:rPr>
          <w:rFonts w:hint="eastAsia" w:ascii="仿宋_GB2312" w:eastAsia="仿宋_GB2312"/>
          <w:sz w:val="28"/>
          <w:szCs w:val="28"/>
        </w:rPr>
        <w:t>万元，主要原因：落实政府进一步过紧日子要求，加强公务用车管理，严控公务用车运行维护费用支出。202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584.37</w:t>
      </w:r>
      <w:r>
        <w:rPr>
          <w:rFonts w:hint="eastAsia" w:ascii="仿宋_GB2312" w:eastAsia="仿宋_GB2312"/>
          <w:sz w:val="28"/>
          <w:szCs w:val="28"/>
        </w:rPr>
        <w:t>万元，比上年增加5.85万元，增加原因：实有人员增加导致的物业、水电等支出略增。</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1493.61</w:t>
      </w:r>
      <w:r>
        <w:rPr>
          <w:rFonts w:hint="eastAsia" w:ascii="仿宋_GB2312" w:eastAsia="仿宋_GB2312"/>
          <w:sz w:val="28"/>
          <w:szCs w:val="28"/>
        </w:rPr>
        <w:t>万元，其中：政府采购货物支出</w:t>
      </w:r>
      <w:r>
        <w:rPr>
          <w:rFonts w:ascii="仿宋_GB2312" w:eastAsia="仿宋_GB2312"/>
          <w:sz w:val="28"/>
          <w:szCs w:val="28"/>
        </w:rPr>
        <w:t>95.3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1398.31</w:t>
      </w:r>
      <w:r>
        <w:rPr>
          <w:rFonts w:hint="eastAsia" w:ascii="仿宋_GB2312" w:eastAsia="仿宋_GB2312"/>
          <w:sz w:val="28"/>
          <w:szCs w:val="28"/>
        </w:rPr>
        <w:t>万元。授予中小企业合同金额</w:t>
      </w:r>
      <w:r>
        <w:rPr>
          <w:rFonts w:ascii="仿宋_GB2312" w:eastAsia="仿宋_GB2312"/>
          <w:sz w:val="28"/>
          <w:szCs w:val="28"/>
        </w:rPr>
        <w:t>1033.25</w:t>
      </w:r>
      <w:r>
        <w:rPr>
          <w:rFonts w:hint="eastAsia" w:ascii="仿宋_GB2312" w:eastAsia="仿宋_GB2312"/>
          <w:sz w:val="28"/>
          <w:szCs w:val="28"/>
        </w:rPr>
        <w:t>万元，占政府采购支出总额的</w:t>
      </w:r>
      <w:r>
        <w:rPr>
          <w:rFonts w:hint="eastAsia" w:ascii="仿宋_GB2312" w:eastAsia="仿宋_GB2312"/>
          <w:sz w:val="28"/>
          <w:szCs w:val="28"/>
          <w:lang w:eastAsia="zh-CN"/>
        </w:rPr>
        <w:t>69.18</w:t>
      </w:r>
      <w:r>
        <w:rPr>
          <w:rFonts w:hint="eastAsia" w:ascii="仿宋_GB2312" w:eastAsia="仿宋_GB2312"/>
          <w:sz w:val="28"/>
          <w:szCs w:val="28"/>
        </w:rPr>
        <w:t>%，其中：授予小微企业合同金额</w:t>
      </w:r>
      <w:r>
        <w:rPr>
          <w:rFonts w:ascii="仿宋_GB2312" w:eastAsia="仿宋_GB2312"/>
          <w:sz w:val="28"/>
          <w:szCs w:val="28"/>
        </w:rPr>
        <w:t>357.49</w:t>
      </w:r>
      <w:r>
        <w:rPr>
          <w:rFonts w:hint="eastAsia" w:ascii="仿宋_GB2312" w:eastAsia="仿宋_GB2312"/>
          <w:sz w:val="28"/>
          <w:szCs w:val="28"/>
        </w:rPr>
        <w:t>万元，占政府采购支出总额的</w:t>
      </w:r>
      <w:r>
        <w:rPr>
          <w:rFonts w:ascii="仿宋_GB2312" w:eastAsia="仿宋_GB2312"/>
          <w:sz w:val="28"/>
          <w:szCs w:val="28"/>
        </w:rPr>
        <w:t>23.93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12月31日，北京市规划和自然资源委员会西城分局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政府购买服务决算1509.83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7.一般公共服务支出（类）组织事务（款）一般行政管理事务（项）：反映行政单位（包括实行公务员管理的事业单位）未单独设置顶级科目的其他项目支出。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.教育支出（类）进修及培训（款）培训支出（项）：反映各部门安排的用于培训的支出。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.社会保障和就业支出（类）行政事业单位养老支出（款）机关事业单位基本养老保险缴费支出（项）：反映机关事业单位实施养老保险制度由单位缴纳的基本养老保险支出。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.城乡社区支出（类）国有土地使用权出让收入安排的支出（款）土地出让业务支出（项）：反映土地出让收入用于土地出让业务费用的开支。</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.城乡社区支出（类） 其他城乡社区支出（款）其他城乡社区支出（项）：反映其他用于城乡社区方面的开支。</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18</w:t>
      </w:r>
      <w:r>
        <w:rPr>
          <w:rFonts w:hint="eastAsia" w:ascii="仿宋_GB2312" w:eastAsia="仿宋_GB2312"/>
          <w:sz w:val="28"/>
          <w:szCs w:val="28"/>
        </w:rPr>
        <w:t>.自然资源海洋气象等支出（类）自然资源事务（款）一般行政管理事务（项）：反映行政单位（包括实行公务员管理的事业单位）的未单独设置项级科目的其他项目支出。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19</w:t>
      </w:r>
      <w:r>
        <w:rPr>
          <w:rFonts w:hint="eastAsia" w:ascii="仿宋_GB2312" w:eastAsia="仿宋_GB2312"/>
          <w:sz w:val="28"/>
          <w:szCs w:val="28"/>
        </w:rPr>
        <w:t>.自然资源海洋气象等支出（类）自然资源事务（款）自然资源规划及管理（项）：反映用于国土空间规划、国土空间开发适宜性评价等方面的支出。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0</w:t>
      </w:r>
      <w:r>
        <w:rPr>
          <w:rFonts w:hint="eastAsia" w:ascii="仿宋_GB2312" w:eastAsia="仿宋_GB2312"/>
          <w:sz w:val="28"/>
          <w:szCs w:val="28"/>
        </w:rPr>
        <w:t>.自然资源海洋气象等支出（类）自然资源事务（款）事业运行（项）：反映</w:t>
      </w:r>
      <w:r>
        <w:rPr>
          <w:rFonts w:hint="eastAsia" w:ascii="仿宋_GB2312" w:eastAsia="仿宋_GB2312"/>
          <w:sz w:val="28"/>
          <w:szCs w:val="28"/>
          <w:lang w:eastAsia="zh-CN"/>
        </w:rPr>
        <w:t>事业</w:t>
      </w:r>
      <w:r>
        <w:rPr>
          <w:rFonts w:hint="eastAsia" w:ascii="仿宋_GB2312" w:eastAsia="仿宋_GB2312"/>
          <w:sz w:val="28"/>
          <w:szCs w:val="28"/>
        </w:rPr>
        <w:t>单位的基本支出，不包括行政单位（包括实行公务员管理的事业单位）后勤服务中心、医务室等附属事业单位。</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2</w:t>
      </w:r>
      <w:r>
        <w:rPr>
          <w:rFonts w:hint="eastAsia" w:ascii="仿宋_GB2312" w:eastAsia="仿宋_GB2312"/>
          <w:sz w:val="28"/>
          <w:szCs w:val="28"/>
          <w:lang w:val="en-US" w:eastAsia="zh-CN"/>
        </w:rPr>
        <w:t>1</w:t>
      </w:r>
      <w:r>
        <w:rPr>
          <w:rFonts w:hint="eastAsia" w:ascii="仿宋_GB2312" w:eastAsia="仿宋_GB2312"/>
          <w:sz w:val="28"/>
          <w:szCs w:val="28"/>
        </w:rPr>
        <w:t>.自然资源海洋气象等支出（类）自然资源事务（款）其他自然资源事务支出（项）：反映其他用于自然资源事务方面的支出。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pStyle w:val="2"/>
        <w:rPr>
          <w:rFonts w:ascii="宋体" w:hAnsi="宋体" w:cs="宋体"/>
          <w:b/>
          <w:bCs/>
          <w:kern w:val="0"/>
          <w:sz w:val="28"/>
          <w:szCs w:val="28"/>
        </w:rPr>
      </w:pPr>
    </w:p>
    <w:p>
      <w:pPr>
        <w:rPr>
          <w:rFonts w:ascii="宋体" w:hAnsi="宋体" w:cs="宋体"/>
          <w:b/>
          <w:bCs/>
          <w:kern w:val="0"/>
          <w:sz w:val="28"/>
          <w:szCs w:val="28"/>
        </w:rPr>
      </w:pPr>
    </w:p>
    <w:p>
      <w:pPr>
        <w:pStyle w:val="2"/>
        <w:rPr>
          <w:rFonts w:ascii="宋体" w:hAnsi="宋体" w:cs="宋体"/>
          <w:b/>
          <w:bCs/>
          <w:kern w:val="0"/>
          <w:sz w:val="28"/>
          <w:szCs w:val="28"/>
        </w:rPr>
      </w:pPr>
    </w:p>
    <w:p>
      <w:pPr>
        <w:rPr>
          <w:rFonts w:ascii="宋体" w:hAnsi="宋体" w:cs="宋体"/>
          <w:b/>
          <w:bCs/>
          <w:kern w:val="0"/>
          <w:sz w:val="28"/>
          <w:szCs w:val="28"/>
        </w:rPr>
      </w:pPr>
    </w:p>
    <w:p>
      <w:pPr>
        <w:pStyle w:val="2"/>
        <w:rPr>
          <w:rFonts w:ascii="宋体" w:hAnsi="宋体" w:cs="宋体"/>
          <w:b/>
          <w:bCs/>
          <w:kern w:val="0"/>
          <w:sz w:val="28"/>
          <w:szCs w:val="28"/>
        </w:rPr>
      </w:pPr>
    </w:p>
    <w:p>
      <w:pPr>
        <w:rPr>
          <w:rFonts w:ascii="宋体" w:hAnsi="宋体" w:cs="宋体"/>
          <w:b/>
          <w:bCs/>
          <w:kern w:val="0"/>
          <w:sz w:val="28"/>
          <w:szCs w:val="28"/>
        </w:rPr>
      </w:pPr>
    </w:p>
    <w:p>
      <w:pPr>
        <w:pStyle w:val="2"/>
        <w:rPr>
          <w:rFonts w:ascii="宋体" w:hAnsi="宋体" w:cs="宋体"/>
          <w:b/>
          <w:bCs/>
          <w:kern w:val="0"/>
          <w:sz w:val="28"/>
          <w:szCs w:val="28"/>
        </w:rPr>
      </w:pPr>
    </w:p>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left="840" w:leftChars="0"/>
        <w:rPr>
          <w:rFonts w:hint="eastAsia" w:ascii="黑体" w:eastAsia="黑体"/>
          <w:sz w:val="28"/>
          <w:szCs w:val="28"/>
          <w:lang w:eastAsia="zh-CN"/>
        </w:rPr>
      </w:pPr>
      <w:r>
        <w:rPr>
          <w:rFonts w:hint="eastAsia" w:ascii="黑体" w:eastAsia="黑体"/>
          <w:sz w:val="28"/>
          <w:szCs w:val="28"/>
          <w:lang w:val="en-US" w:eastAsia="zh-CN"/>
        </w:rPr>
        <w:t>一</w:t>
      </w:r>
      <w:r>
        <w:rPr>
          <w:rFonts w:hint="eastAsia" w:ascii="黑体" w:eastAsia="黑体"/>
          <w:sz w:val="28"/>
          <w:szCs w:val="28"/>
          <w:lang w:eastAsia="zh-CN"/>
        </w:rPr>
        <w:t>、</w:t>
      </w:r>
      <w:r>
        <w:rPr>
          <w:rFonts w:hint="eastAsia" w:ascii="黑体" w:eastAsia="黑体"/>
          <w:sz w:val="28"/>
          <w:szCs w:val="28"/>
        </w:rPr>
        <w:t>项目支出绩效自评表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E33EA7"/>
    <w:rsid w:val="02F120AB"/>
    <w:rsid w:val="032B5196"/>
    <w:rsid w:val="04C3537C"/>
    <w:rsid w:val="079004AC"/>
    <w:rsid w:val="0BA148CA"/>
    <w:rsid w:val="0C11335C"/>
    <w:rsid w:val="0C1165C4"/>
    <w:rsid w:val="0CBF5AF0"/>
    <w:rsid w:val="0D6D544B"/>
    <w:rsid w:val="0DD136FE"/>
    <w:rsid w:val="0F3136D8"/>
    <w:rsid w:val="0F8E2C57"/>
    <w:rsid w:val="1059665E"/>
    <w:rsid w:val="10AC13BA"/>
    <w:rsid w:val="145A6C1B"/>
    <w:rsid w:val="14B73493"/>
    <w:rsid w:val="167A2FF9"/>
    <w:rsid w:val="18581C69"/>
    <w:rsid w:val="1A13403D"/>
    <w:rsid w:val="1AEC0734"/>
    <w:rsid w:val="1AF001FF"/>
    <w:rsid w:val="1BA370A7"/>
    <w:rsid w:val="1DEF20B0"/>
    <w:rsid w:val="214243FA"/>
    <w:rsid w:val="21AD613C"/>
    <w:rsid w:val="22467189"/>
    <w:rsid w:val="22A14492"/>
    <w:rsid w:val="23A62E82"/>
    <w:rsid w:val="257A14F5"/>
    <w:rsid w:val="27196C26"/>
    <w:rsid w:val="27C43B45"/>
    <w:rsid w:val="29E02DDC"/>
    <w:rsid w:val="29EF086F"/>
    <w:rsid w:val="2EFFE297"/>
    <w:rsid w:val="301437CA"/>
    <w:rsid w:val="30E37142"/>
    <w:rsid w:val="349D1F0A"/>
    <w:rsid w:val="34DD0473"/>
    <w:rsid w:val="3C684897"/>
    <w:rsid w:val="433E495C"/>
    <w:rsid w:val="477262F6"/>
    <w:rsid w:val="489F2FD7"/>
    <w:rsid w:val="4AC27CB3"/>
    <w:rsid w:val="4BF72BEF"/>
    <w:rsid w:val="4FA90297"/>
    <w:rsid w:val="4FC41A43"/>
    <w:rsid w:val="51DB3C59"/>
    <w:rsid w:val="550C0952"/>
    <w:rsid w:val="55762E42"/>
    <w:rsid w:val="57195A61"/>
    <w:rsid w:val="57A7B272"/>
    <w:rsid w:val="58470068"/>
    <w:rsid w:val="58747CAC"/>
    <w:rsid w:val="59A65871"/>
    <w:rsid w:val="5A1720F9"/>
    <w:rsid w:val="5B9C37C2"/>
    <w:rsid w:val="5BA7C654"/>
    <w:rsid w:val="60A54109"/>
    <w:rsid w:val="60FA4C01"/>
    <w:rsid w:val="61D01CDF"/>
    <w:rsid w:val="64C0607C"/>
    <w:rsid w:val="65756C86"/>
    <w:rsid w:val="674D385B"/>
    <w:rsid w:val="676F09E1"/>
    <w:rsid w:val="6C443D97"/>
    <w:rsid w:val="70B936BB"/>
    <w:rsid w:val="731F04D1"/>
    <w:rsid w:val="7357290B"/>
    <w:rsid w:val="798524E4"/>
    <w:rsid w:val="7A7F1C49"/>
    <w:rsid w:val="7B5B7AE6"/>
    <w:rsid w:val="7B7B6628"/>
    <w:rsid w:val="7BA7071E"/>
    <w:rsid w:val="7BDF6DA8"/>
    <w:rsid w:val="7C7EDC1A"/>
    <w:rsid w:val="7CCED98D"/>
    <w:rsid w:val="7D08410F"/>
    <w:rsid w:val="7DB96DED"/>
    <w:rsid w:val="7DD3AD81"/>
    <w:rsid w:val="7F7FE70F"/>
    <w:rsid w:val="7FFD130E"/>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7588.55</c:v>
                </c:pt>
                <c:pt idx="1">
                  <c:v>1879.07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6681.94</c:v>
                </c:pt>
                <c:pt idx="1">
                  <c:v>3108.67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5559</Words>
  <Characters>6194</Characters>
  <Lines>44</Lines>
  <Paragraphs>12</Paragraphs>
  <TotalTime>24</TotalTime>
  <ScaleCrop>false</ScaleCrop>
  <LinksUpToDate>false</LinksUpToDate>
  <CharactersWithSpaces>6215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多莫</cp:lastModifiedBy>
  <cp:lastPrinted>2020-08-07T11:39:00Z</cp:lastPrinted>
  <dcterms:modified xsi:type="dcterms:W3CDTF">2025-09-02T06:33:04Z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435078ACFECC4A5A8A519EF4C3681114_13</vt:lpwstr>
  </property>
  <property fmtid="{D5CDD505-2E9C-101B-9397-08002B2CF9AE}" pid="4" name="KSOTemplateDocerSaveRecord">
    <vt:lpwstr>eyJoZGlkIjoiMTM2ZDk5MTNmYmIzNDY4MjQ4ZDQzYWViMzc3ODZiMTYiLCJ1c2VySWQiOiIxMTQ3Mjg0OTA5In0=</vt:lpwstr>
  </property>
</Properties>
</file>