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rFonts w:hint="eastAsia" w:eastAsia="仿宋_GB2312"/>
          <w:b w:val="0"/>
          <w:bCs w:val="0"/>
          <w:lang w:val="en-US" w:eastAsia="zh-CN"/>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Style w:val="20"/>
        <w:ind w:firstLine="560"/>
        <w:rPr>
          <w:rFonts w:hint="eastAsia"/>
          <w:b w:val="0"/>
          <w:sz w:val="28"/>
          <w:szCs w:val="28"/>
        </w:rPr>
      </w:pPr>
      <w:bookmarkStart w:id="0" w:name="_Toc39933963"/>
      <w:bookmarkStart w:id="1" w:name="_Toc39934165"/>
      <w:r>
        <w:rPr>
          <w:rFonts w:hint="eastAsia"/>
          <w:b w:val="0"/>
          <w:sz w:val="28"/>
          <w:szCs w:val="28"/>
        </w:rPr>
        <w:t>北京市规划和自然资源委员会东城分局（以下简称市规自委东城分局）是北京市规划和自然资源委员会的派出机构，同时也是东城区政府的工作部门。根据中共北京市委机构编制委员会办公室《关于印发北京市规划和自然资源委员会区分局职能配置、内设机构和人员编制规定的通知》（京编办发〔2019〕17号）及《中共北京市规划和自然资源委员会党组转发市委编办关于东城分局、西城分局机构编</w:t>
      </w:r>
      <w:bookmarkStart w:id="18" w:name="_GoBack"/>
      <w:bookmarkEnd w:id="18"/>
      <w:r>
        <w:rPr>
          <w:rFonts w:hint="eastAsia"/>
          <w:b w:val="0"/>
          <w:sz w:val="28"/>
          <w:szCs w:val="28"/>
        </w:rPr>
        <w:t>制调整有关事项的通知》（京规自党发〔2021〕31号），市规自委东城分局设置</w:t>
      </w:r>
      <w:r>
        <w:rPr>
          <w:rFonts w:hint="eastAsia"/>
          <w:b w:val="0"/>
          <w:sz w:val="28"/>
          <w:szCs w:val="28"/>
          <w:highlight w:val="none"/>
        </w:rPr>
        <w:t>13</w:t>
      </w:r>
      <w:r>
        <w:rPr>
          <w:rFonts w:hint="eastAsia"/>
          <w:b w:val="0"/>
          <w:color w:val="000000" w:themeColor="text1"/>
          <w:sz w:val="28"/>
          <w:szCs w:val="28"/>
          <w:highlight w:val="none"/>
          <w14:textFill>
            <w14:solidFill>
              <w14:schemeClr w14:val="tx1"/>
            </w14:solidFill>
          </w14:textFill>
        </w:rPr>
        <w:t>个内设</w:t>
      </w:r>
      <w:r>
        <w:rPr>
          <w:rFonts w:hint="eastAsia"/>
          <w:b w:val="0"/>
          <w:color w:val="000000" w:themeColor="text1"/>
          <w:sz w:val="28"/>
          <w:szCs w:val="28"/>
          <w:highlight w:val="none"/>
          <w:lang w:val="en-US" w:eastAsia="zh-CN"/>
          <w14:textFill>
            <w14:solidFill>
              <w14:schemeClr w14:val="tx1"/>
            </w14:solidFill>
          </w14:textFill>
        </w:rPr>
        <w:t>科室</w:t>
      </w:r>
      <w:r>
        <w:rPr>
          <w:rFonts w:hint="eastAsia"/>
          <w:b w:val="0"/>
          <w:color w:val="000000" w:themeColor="text1"/>
          <w:sz w:val="28"/>
          <w:szCs w:val="28"/>
          <w:highlight w:val="none"/>
          <w:lang w:eastAsia="zh-CN"/>
          <w14:textFill>
            <w14:solidFill>
              <w14:schemeClr w14:val="tx1"/>
            </w14:solidFill>
          </w14:textFill>
        </w:rPr>
        <w:t>，分别是办公室、法制科、规划编制与城市设计科、规划实施科、历史名城文化保护科、市政交通科、综合审批科、规划土地核验科、自然资源调查监测科、所有者权益科、财务科、机关党委、纪检办公室</w:t>
      </w:r>
      <w:r>
        <w:rPr>
          <w:rFonts w:hint="eastAsia"/>
          <w:b w:val="0"/>
          <w:sz w:val="28"/>
          <w:szCs w:val="28"/>
        </w:rPr>
        <w:t>。分局所属单位共</w:t>
      </w:r>
      <w:r>
        <w:rPr>
          <w:rFonts w:hint="eastAsia"/>
          <w:b w:val="0"/>
          <w:sz w:val="28"/>
          <w:szCs w:val="28"/>
          <w:lang w:val="en-US" w:eastAsia="zh-CN"/>
        </w:rPr>
        <w:t>3</w:t>
      </w:r>
      <w:r>
        <w:rPr>
          <w:rFonts w:hint="eastAsia"/>
          <w:b w:val="0"/>
          <w:sz w:val="28"/>
          <w:szCs w:val="28"/>
        </w:rPr>
        <w:t>个，分别是：北京市东城区规划和自然资源执法队、北京市东城区不动产登记中心、北京市东城区</w:t>
      </w:r>
      <w:r>
        <w:rPr>
          <w:rFonts w:hint="eastAsia"/>
          <w:b w:val="0"/>
          <w:sz w:val="28"/>
          <w:szCs w:val="28"/>
          <w:lang w:eastAsia="zh-CN"/>
        </w:rPr>
        <w:t>规划和自然资源综合事务中心</w:t>
      </w:r>
      <w:r>
        <w:rPr>
          <w:rFonts w:hint="eastAsia"/>
          <w:b w:val="0"/>
          <w:sz w:val="28"/>
          <w:szCs w:val="28"/>
        </w:rPr>
        <w:t>。</w:t>
      </w:r>
      <w:bookmarkEnd w:id="0"/>
      <w:bookmarkEnd w:id="1"/>
    </w:p>
    <w:p>
      <w:pPr>
        <w:pStyle w:val="20"/>
        <w:ind w:firstLine="560"/>
        <w:rPr>
          <w:rFonts w:hint="eastAsia"/>
          <w:b w:val="0"/>
          <w:sz w:val="28"/>
          <w:szCs w:val="28"/>
        </w:rPr>
      </w:pPr>
      <w:r>
        <w:rPr>
          <w:rFonts w:hint="eastAsia"/>
          <w:b w:val="0"/>
          <w:sz w:val="28"/>
          <w:szCs w:val="28"/>
        </w:rPr>
        <w:t>主要职责是：</w:t>
      </w:r>
    </w:p>
    <w:p>
      <w:pPr>
        <w:pStyle w:val="20"/>
        <w:ind w:firstLine="560"/>
        <w:rPr>
          <w:rFonts w:hint="eastAsia"/>
          <w:b w:val="0"/>
          <w:sz w:val="28"/>
          <w:szCs w:val="28"/>
        </w:rPr>
      </w:pPr>
      <w:bookmarkStart w:id="2" w:name="_Toc39934156"/>
      <w:bookmarkStart w:id="3" w:name="_Toc39933954"/>
      <w:r>
        <w:rPr>
          <w:rFonts w:hint="eastAsia"/>
          <w:b w:val="0"/>
          <w:sz w:val="28"/>
          <w:szCs w:val="28"/>
        </w:rPr>
        <w:t>（1）履行本区全民所有土地、矿产、森林、湿地、水等自然资源资产所有者职责和所有国土空间用途管制职责，宣传、贯彻、实施国家关于自然资源和国土空间规划及测绘、勘察设计管理等方面的法律、法规、规章、政策和标准。</w:t>
      </w:r>
      <w:bookmarkEnd w:id="2"/>
      <w:bookmarkEnd w:id="3"/>
    </w:p>
    <w:p>
      <w:pPr>
        <w:pStyle w:val="20"/>
        <w:ind w:firstLine="560"/>
        <w:rPr>
          <w:rFonts w:hint="eastAsia"/>
          <w:b w:val="0"/>
          <w:sz w:val="28"/>
          <w:szCs w:val="28"/>
        </w:rPr>
      </w:pPr>
      <w:bookmarkStart w:id="4" w:name="_Toc39933955"/>
      <w:bookmarkStart w:id="5" w:name="_Toc39934157"/>
      <w:r>
        <w:rPr>
          <w:rFonts w:hint="eastAsia"/>
          <w:b w:val="0"/>
          <w:sz w:val="28"/>
          <w:szCs w:val="28"/>
        </w:rPr>
        <w:t>（2）贯彻落实北京城市总体规划，按规定组织编制、实施本区国土空间规划、分区规划、控制性详细规划和公共服务、公共安全设施、城市基础设施、城市地下空间等专项规划。组织开展国土空间规划实施监测、评估和预警及城市体检评估工作。承担城市设计工作。承担城市雕塑和公共空间景观风貌规划管理工作。</w:t>
      </w:r>
      <w:bookmarkEnd w:id="4"/>
      <w:bookmarkEnd w:id="5"/>
    </w:p>
    <w:p>
      <w:pPr>
        <w:pStyle w:val="20"/>
        <w:ind w:firstLine="560"/>
        <w:rPr>
          <w:rFonts w:hint="eastAsia"/>
          <w:b w:val="0"/>
          <w:sz w:val="28"/>
          <w:szCs w:val="28"/>
        </w:rPr>
      </w:pPr>
      <w:bookmarkStart w:id="6" w:name="_Toc39934158"/>
      <w:bookmarkStart w:id="7" w:name="_Toc39933956"/>
      <w:r>
        <w:rPr>
          <w:rFonts w:hint="eastAsia"/>
          <w:b w:val="0"/>
          <w:sz w:val="28"/>
          <w:szCs w:val="28"/>
        </w:rPr>
        <w:t>（3）负责本区国土空间用途管制工作。负责自然资源和国土空间规划的实施管理。组织拟订并实施土地等自然资源年度利用计划。负责工程建设项目规划和用地管理相关工作。</w:t>
      </w:r>
      <w:bookmarkEnd w:id="6"/>
      <w:bookmarkEnd w:id="7"/>
    </w:p>
    <w:p>
      <w:pPr>
        <w:pStyle w:val="20"/>
        <w:ind w:firstLine="560"/>
        <w:rPr>
          <w:rFonts w:hint="eastAsia"/>
          <w:b w:val="0"/>
          <w:sz w:val="28"/>
          <w:szCs w:val="28"/>
        </w:rPr>
      </w:pPr>
      <w:bookmarkStart w:id="8" w:name="_Toc39934159"/>
      <w:bookmarkStart w:id="9" w:name="_Toc39933957"/>
      <w:r>
        <w:rPr>
          <w:rFonts w:hint="eastAsia"/>
          <w:b w:val="0"/>
          <w:sz w:val="28"/>
          <w:szCs w:val="28"/>
        </w:rPr>
        <w:t>（4）负责本区自然资源调查监测评价工作。组织自然资源基础调查、专项调查和监测。负责自然资源和不动产统一确权登记工作。依法调处相关权属纠纷。</w:t>
      </w:r>
      <w:bookmarkEnd w:id="8"/>
      <w:bookmarkEnd w:id="9"/>
    </w:p>
    <w:p>
      <w:pPr>
        <w:pStyle w:val="20"/>
        <w:ind w:firstLine="560"/>
        <w:rPr>
          <w:rFonts w:hint="eastAsia"/>
          <w:b w:val="0"/>
          <w:sz w:val="28"/>
          <w:szCs w:val="28"/>
        </w:rPr>
      </w:pPr>
      <w:bookmarkStart w:id="10" w:name="_Toc39933958"/>
      <w:bookmarkStart w:id="11" w:name="_Toc39934160"/>
      <w:r>
        <w:rPr>
          <w:rFonts w:hint="eastAsia"/>
          <w:b w:val="0"/>
          <w:sz w:val="28"/>
          <w:szCs w:val="28"/>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bookmarkEnd w:id="10"/>
      <w:bookmarkEnd w:id="11"/>
    </w:p>
    <w:p>
      <w:pPr>
        <w:pStyle w:val="20"/>
        <w:ind w:firstLine="560"/>
        <w:rPr>
          <w:rFonts w:hint="eastAsia"/>
          <w:b w:val="0"/>
          <w:sz w:val="28"/>
          <w:szCs w:val="28"/>
        </w:rPr>
      </w:pPr>
      <w:bookmarkStart w:id="12" w:name="_Toc39934161"/>
      <w:bookmarkStart w:id="13" w:name="_Toc39933959"/>
      <w:r>
        <w:rPr>
          <w:rFonts w:hint="eastAsia"/>
          <w:b w:val="0"/>
          <w:sz w:val="28"/>
          <w:szCs w:val="28"/>
        </w:rPr>
        <w:t>（6）负责本区自然资源和国土空间规划方面的科技、信息化建设以及统计工作。承担勘察设计、测绘相关监督管理工作。承担自然资源和国土空间规划相关档案的管理工作。</w:t>
      </w:r>
      <w:bookmarkEnd w:id="12"/>
      <w:bookmarkEnd w:id="13"/>
    </w:p>
    <w:p>
      <w:pPr>
        <w:pStyle w:val="20"/>
        <w:ind w:firstLine="560"/>
        <w:rPr>
          <w:rFonts w:hint="eastAsia"/>
          <w:b w:val="0"/>
          <w:sz w:val="28"/>
          <w:szCs w:val="28"/>
        </w:rPr>
      </w:pPr>
      <w:bookmarkStart w:id="14" w:name="_Toc39934162"/>
      <w:bookmarkStart w:id="15" w:name="_Toc39933960"/>
      <w:r>
        <w:rPr>
          <w:rFonts w:hint="eastAsia"/>
          <w:b w:val="0"/>
          <w:sz w:val="28"/>
          <w:szCs w:val="28"/>
        </w:rPr>
        <w:t>（7）负责本区自然资源和国土空间规划管理的督察工作。依法承担工程建设项目的规划核验。查处自然资源开发利用和国土空间规划及勘察设计、测绘违法案件。</w:t>
      </w:r>
      <w:bookmarkEnd w:id="14"/>
      <w:bookmarkEnd w:id="15"/>
    </w:p>
    <w:p>
      <w:pPr>
        <w:tabs>
          <w:tab w:val="center" w:pos="6979"/>
        </w:tabs>
        <w:spacing w:line="580" w:lineRule="exact"/>
        <w:ind w:firstLine="560" w:firstLineChars="200"/>
        <w:rPr>
          <w:rFonts w:hint="eastAsia" w:ascii="仿宋_GB2312" w:hAnsi="Times New Roman" w:eastAsia="仿宋_GB2312" w:cs="Times New Roman"/>
          <w:b w:val="0"/>
          <w:kern w:val="2"/>
          <w:sz w:val="28"/>
          <w:szCs w:val="28"/>
          <w:lang w:val="en-US" w:eastAsia="zh-CN" w:bidi="ar-SA"/>
        </w:rPr>
      </w:pPr>
      <w:bookmarkStart w:id="16" w:name="_Toc39933961"/>
      <w:bookmarkStart w:id="17" w:name="_Toc39934163"/>
      <w:r>
        <w:rPr>
          <w:rFonts w:hint="eastAsia" w:ascii="仿宋_GB2312" w:hAnsi="Times New Roman" w:eastAsia="仿宋_GB2312" w:cs="Times New Roman"/>
          <w:b w:val="0"/>
          <w:kern w:val="2"/>
          <w:sz w:val="28"/>
          <w:szCs w:val="28"/>
          <w:lang w:val="en-US" w:eastAsia="zh-CN" w:bidi="ar-SA"/>
        </w:rPr>
        <w:t>（8）完成市规划自然资源委和区委、区政府交办的其他任务。</w:t>
      </w:r>
      <w:bookmarkEnd w:id="16"/>
      <w:bookmarkEnd w:id="17"/>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7922.16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230.95</w:t>
      </w:r>
      <w:r>
        <w:rPr>
          <w:rFonts w:hint="eastAsia" w:ascii="仿宋_GB2312" w:eastAsia="仿宋_GB2312"/>
          <w:sz w:val="28"/>
          <w:szCs w:val="28"/>
        </w:rPr>
        <w:t>万元，增长</w:t>
      </w:r>
      <w:r>
        <w:rPr>
          <w:rFonts w:hint="eastAsia" w:ascii="仿宋_GB2312" w:eastAsia="仿宋_GB2312"/>
          <w:sz w:val="28"/>
          <w:szCs w:val="28"/>
          <w:lang w:val="en-US" w:eastAsia="zh-CN"/>
        </w:rPr>
        <w:t>3.00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7738.12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358.89</w:t>
      </w:r>
      <w:r>
        <w:rPr>
          <w:rFonts w:hint="eastAsia" w:ascii="仿宋_GB2312" w:eastAsia="仿宋_GB2312"/>
          <w:sz w:val="28"/>
          <w:szCs w:val="28"/>
        </w:rPr>
        <w:t>万元，增长</w:t>
      </w:r>
      <w:r>
        <w:rPr>
          <w:rFonts w:hint="eastAsia" w:ascii="仿宋_GB2312" w:eastAsia="仿宋_GB2312"/>
          <w:sz w:val="28"/>
          <w:szCs w:val="28"/>
          <w:lang w:val="en-US" w:eastAsia="zh-CN"/>
        </w:rPr>
        <w:t>4.86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6568.03</w:t>
      </w:r>
      <w:r>
        <w:rPr>
          <w:rFonts w:hint="eastAsia" w:ascii="仿宋_GB2312" w:eastAsia="仿宋_GB2312"/>
          <w:sz w:val="28"/>
          <w:szCs w:val="28"/>
        </w:rPr>
        <w:t>万元，占收入合计的</w:t>
      </w:r>
      <w:r>
        <w:rPr>
          <w:rFonts w:hint="eastAsia" w:ascii="仿宋_GB2312" w:eastAsia="仿宋_GB2312"/>
          <w:sz w:val="28"/>
          <w:szCs w:val="28"/>
          <w:lang w:eastAsia="zh-CN"/>
        </w:rPr>
        <w:t>84.88%。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6552.43</w:t>
      </w:r>
      <w:r>
        <w:rPr>
          <w:rFonts w:hint="eastAsia" w:ascii="仿宋_GB2312" w:eastAsia="仿宋_GB2312"/>
          <w:sz w:val="28"/>
          <w:szCs w:val="28"/>
        </w:rPr>
        <w:t>万元，占收入合计的</w:t>
      </w:r>
      <w:r>
        <w:rPr>
          <w:rFonts w:hint="eastAsia" w:ascii="仿宋_GB2312" w:eastAsia="仿宋_GB2312"/>
          <w:sz w:val="28"/>
          <w:szCs w:val="28"/>
          <w:lang w:eastAsia="zh-CN"/>
        </w:rPr>
        <w:t>84.68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15.6</w:t>
      </w:r>
      <w:r>
        <w:rPr>
          <w:rFonts w:hint="eastAsia" w:ascii="仿宋_GB2312" w:eastAsia="仿宋_GB2312"/>
          <w:sz w:val="28"/>
          <w:szCs w:val="28"/>
        </w:rPr>
        <w:t>万元，占收入合计的</w:t>
      </w:r>
      <w:r>
        <w:rPr>
          <w:rFonts w:hint="eastAsia" w:ascii="仿宋_GB2312" w:eastAsia="仿宋_GB2312"/>
          <w:sz w:val="28"/>
          <w:szCs w:val="28"/>
          <w:lang w:eastAsia="zh-CN"/>
        </w:rPr>
        <w:t>0.2</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1170.09</w:t>
      </w:r>
      <w:r>
        <w:rPr>
          <w:rFonts w:hint="eastAsia" w:ascii="仿宋_GB2312" w:eastAsia="仿宋_GB2312"/>
          <w:sz w:val="28"/>
          <w:szCs w:val="28"/>
        </w:rPr>
        <w:t>万元，占收入合计的</w:t>
      </w:r>
      <w:r>
        <w:rPr>
          <w:rFonts w:hint="eastAsia" w:ascii="仿宋_GB2312" w:eastAsia="仿宋_GB2312"/>
          <w:sz w:val="28"/>
          <w:szCs w:val="28"/>
          <w:lang w:eastAsia="zh-CN"/>
        </w:rPr>
        <w:t>15.12</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7725.12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267.34</w:t>
      </w:r>
      <w:r>
        <w:rPr>
          <w:rFonts w:hint="eastAsia" w:ascii="仿宋_GB2312" w:eastAsia="仿宋_GB2312"/>
          <w:sz w:val="28"/>
          <w:szCs w:val="28"/>
        </w:rPr>
        <w:t>万元，增长</w:t>
      </w:r>
      <w:r>
        <w:rPr>
          <w:rFonts w:hint="eastAsia" w:ascii="仿宋_GB2312" w:eastAsia="仿宋_GB2312"/>
          <w:sz w:val="28"/>
          <w:szCs w:val="28"/>
          <w:lang w:val="en-US" w:eastAsia="zh-CN"/>
        </w:rPr>
        <w:t>3.58</w:t>
      </w:r>
      <w:r>
        <w:rPr>
          <w:rFonts w:hint="eastAsia" w:ascii="仿宋_GB2312" w:eastAsia="仿宋_GB2312"/>
          <w:sz w:val="28"/>
          <w:szCs w:val="28"/>
        </w:rPr>
        <w:t>%，其中：基本支出</w:t>
      </w:r>
      <w:r>
        <w:rPr>
          <w:rFonts w:ascii="仿宋_GB2312" w:eastAsia="仿宋_GB2312"/>
          <w:sz w:val="28"/>
          <w:szCs w:val="28"/>
        </w:rPr>
        <w:t>5717.21</w:t>
      </w:r>
      <w:r>
        <w:rPr>
          <w:rFonts w:hint="eastAsia" w:ascii="仿宋_GB2312" w:eastAsia="仿宋_GB2312"/>
          <w:sz w:val="28"/>
          <w:szCs w:val="28"/>
        </w:rPr>
        <w:t>万元，占支出合计的</w:t>
      </w:r>
      <w:r>
        <w:rPr>
          <w:rFonts w:hint="eastAsia" w:ascii="仿宋_GB2312" w:eastAsia="仿宋_GB2312"/>
          <w:sz w:val="28"/>
          <w:szCs w:val="28"/>
          <w:lang w:eastAsia="zh-CN"/>
        </w:rPr>
        <w:t>74.01</w:t>
      </w:r>
      <w:r>
        <w:rPr>
          <w:rFonts w:hint="eastAsia" w:ascii="仿宋_GB2312" w:eastAsia="仿宋_GB2312"/>
          <w:sz w:val="28"/>
          <w:szCs w:val="28"/>
        </w:rPr>
        <w:t>%；项目支出</w:t>
      </w:r>
      <w:r>
        <w:rPr>
          <w:rFonts w:ascii="仿宋_GB2312" w:eastAsia="仿宋_GB2312"/>
          <w:sz w:val="28"/>
          <w:szCs w:val="28"/>
        </w:rPr>
        <w:t>2007.9</w:t>
      </w:r>
      <w:r>
        <w:rPr>
          <w:rFonts w:hint="eastAsia" w:ascii="仿宋_GB2312" w:eastAsia="仿宋_GB2312"/>
          <w:sz w:val="28"/>
          <w:szCs w:val="28"/>
          <w:lang w:val="en-US" w:eastAsia="zh-CN"/>
        </w:rPr>
        <w:t>1</w:t>
      </w:r>
      <w:r>
        <w:rPr>
          <w:rFonts w:hint="eastAsia" w:ascii="仿宋_GB2312" w:eastAsia="仿宋_GB2312"/>
          <w:sz w:val="28"/>
          <w:szCs w:val="28"/>
        </w:rPr>
        <w:t>万元，占支出合计的</w:t>
      </w:r>
      <w:r>
        <w:rPr>
          <w:rFonts w:hint="eastAsia" w:ascii="仿宋_GB2312" w:eastAsia="仿宋_GB2312"/>
          <w:sz w:val="28"/>
          <w:szCs w:val="28"/>
          <w:lang w:eastAsia="zh-CN"/>
        </w:rPr>
        <w:t>25.99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6568.03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92.38</w:t>
      </w:r>
      <w:r>
        <w:rPr>
          <w:rFonts w:hint="eastAsia" w:ascii="仿宋_GB2312" w:eastAsia="仿宋_GB2312"/>
          <w:sz w:val="28"/>
          <w:szCs w:val="28"/>
        </w:rPr>
        <w:t>万元，增长</w:t>
      </w:r>
      <w:r>
        <w:rPr>
          <w:rFonts w:hint="eastAsia" w:ascii="仿宋_GB2312" w:eastAsia="仿宋_GB2312"/>
          <w:sz w:val="28"/>
          <w:szCs w:val="28"/>
          <w:lang w:val="en-US" w:eastAsia="zh-CN"/>
        </w:rPr>
        <w:t>1.43%</w:t>
      </w:r>
      <w:r>
        <w:rPr>
          <w:rFonts w:hint="eastAsia" w:ascii="仿宋_GB2312" w:eastAsia="仿宋_GB2312"/>
          <w:sz w:val="28"/>
          <w:szCs w:val="28"/>
        </w:rPr>
        <w:t>。主要原因：</w:t>
      </w:r>
      <w:r>
        <w:rPr>
          <w:rFonts w:hint="eastAsia" w:ascii="仿宋_GB2312" w:eastAsia="仿宋_GB2312"/>
          <w:sz w:val="28"/>
          <w:szCs w:val="28"/>
          <w:lang w:eastAsia="zh-CN"/>
        </w:rPr>
        <w:t>新招录人员及社保调整导致人员经费同比增加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6522.4</w:t>
      </w:r>
      <w:r>
        <w:rPr>
          <w:rFonts w:hint="eastAsia" w:ascii="仿宋_GB2312" w:eastAsia="仿宋_GB2312"/>
          <w:sz w:val="28"/>
          <w:szCs w:val="28"/>
          <w:lang w:val="en-US" w:eastAsia="zh-CN"/>
        </w:rPr>
        <w:t>0</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2.38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0.04</w:t>
      </w:r>
      <w:r>
        <w:rPr>
          <w:rFonts w:hint="eastAsia" w:ascii="仿宋_GB2312" w:eastAsia="仿宋_GB2312"/>
          <w:sz w:val="28"/>
          <w:szCs w:val="28"/>
        </w:rPr>
        <w:t>%；社会保障和就业支出</w:t>
      </w:r>
      <w:r>
        <w:rPr>
          <w:rFonts w:hint="eastAsia" w:ascii="仿宋_GB2312" w:eastAsia="仿宋_GB2312"/>
          <w:sz w:val="28"/>
          <w:szCs w:val="28"/>
          <w:lang w:val="en-US" w:eastAsia="zh-CN"/>
        </w:rPr>
        <w:t>639.94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9.81</w:t>
      </w:r>
      <w:r>
        <w:rPr>
          <w:rFonts w:hint="eastAsia" w:ascii="仿宋_GB2312" w:eastAsia="仿宋_GB2312"/>
          <w:sz w:val="28"/>
          <w:szCs w:val="28"/>
        </w:rPr>
        <w:t>%；卫生健康支出</w:t>
      </w:r>
      <w:r>
        <w:rPr>
          <w:rFonts w:hint="eastAsia" w:ascii="仿宋_GB2312" w:eastAsia="仿宋_GB2312"/>
          <w:sz w:val="28"/>
          <w:szCs w:val="28"/>
          <w:lang w:val="en-US" w:eastAsia="zh-CN"/>
        </w:rPr>
        <w:t>402.64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6.17</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5477.44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83.98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4.50万元，2024年度</w:t>
      </w:r>
      <w:r>
        <w:rPr>
          <w:rFonts w:hint="eastAsia" w:ascii="仿宋_GB2312" w:eastAsia="仿宋_GB2312"/>
          <w:sz w:val="28"/>
          <w:szCs w:val="28"/>
        </w:rPr>
        <w:t>决算</w:t>
      </w:r>
      <w:r>
        <w:rPr>
          <w:rFonts w:hint="eastAsia" w:ascii="仿宋_GB2312" w:eastAsia="仿宋_GB2312"/>
          <w:sz w:val="28"/>
          <w:szCs w:val="28"/>
          <w:lang w:val="en-US" w:eastAsia="zh-CN"/>
        </w:rPr>
        <w:t>2.38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52.89%。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w:t>
      </w:r>
      <w:r>
        <w:rPr>
          <w:rFonts w:hint="eastAsia" w:ascii="仿宋_GB2312" w:eastAsia="仿宋_GB2312"/>
          <w:sz w:val="28"/>
          <w:szCs w:val="28"/>
          <w:lang w:val="en-US" w:eastAsia="zh-CN"/>
        </w:rPr>
        <w:t>2024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4.50万元，2024年度</w:t>
      </w:r>
      <w:r>
        <w:rPr>
          <w:rFonts w:hint="eastAsia" w:ascii="仿宋_GB2312" w:eastAsia="仿宋_GB2312"/>
          <w:sz w:val="28"/>
          <w:szCs w:val="28"/>
        </w:rPr>
        <w:t>决算</w:t>
      </w:r>
      <w:r>
        <w:rPr>
          <w:rFonts w:hint="eastAsia" w:ascii="仿宋_GB2312" w:eastAsia="仿宋_GB2312"/>
          <w:sz w:val="28"/>
          <w:szCs w:val="28"/>
          <w:lang w:val="en-US" w:eastAsia="zh-CN"/>
        </w:rPr>
        <w:t>2.38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52.89%。</w:t>
      </w:r>
      <w:r>
        <w:rPr>
          <w:rFonts w:hint="eastAsia" w:ascii="仿宋_GB2312" w:eastAsia="仿宋_GB2312"/>
          <w:sz w:val="28"/>
          <w:szCs w:val="28"/>
        </w:rPr>
        <w:t>主要原因：</w:t>
      </w:r>
      <w:r>
        <w:rPr>
          <w:rFonts w:hint="eastAsia" w:ascii="仿宋_GB2312" w:eastAsia="仿宋_GB2312"/>
          <w:sz w:val="28"/>
          <w:szCs w:val="28"/>
          <w:lang w:eastAsia="zh-CN"/>
        </w:rPr>
        <w:t>落实政府过紧日子要求，严控培训支出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w:t>
      </w:r>
      <w:r>
        <w:rPr>
          <w:rFonts w:hint="eastAsia" w:ascii="仿宋_GB2312" w:eastAsia="仿宋_GB2312"/>
          <w:sz w:val="28"/>
          <w:szCs w:val="28"/>
          <w:lang w:val="en-US" w:eastAsia="zh-CN"/>
        </w:rPr>
        <w:t>2024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660.05万元，2024年度</w:t>
      </w:r>
      <w:r>
        <w:rPr>
          <w:rFonts w:hint="eastAsia" w:ascii="仿宋_GB2312" w:eastAsia="仿宋_GB2312"/>
          <w:sz w:val="28"/>
          <w:szCs w:val="28"/>
        </w:rPr>
        <w:t>决算</w:t>
      </w:r>
      <w:r>
        <w:rPr>
          <w:rFonts w:hint="eastAsia" w:ascii="仿宋_GB2312" w:eastAsia="仿宋_GB2312"/>
          <w:sz w:val="28"/>
          <w:szCs w:val="28"/>
          <w:lang w:val="en-US" w:eastAsia="zh-CN"/>
        </w:rPr>
        <w:t>639.94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96.95%。</w:t>
      </w:r>
      <w:r>
        <w:rPr>
          <w:rFonts w:hint="eastAsia" w:ascii="仿宋_GB2312" w:eastAsia="仿宋_GB2312"/>
          <w:sz w:val="28"/>
          <w:szCs w:val="28"/>
        </w:rPr>
        <w:t>其中：</w:t>
      </w:r>
    </w:p>
    <w:p>
      <w:pPr>
        <w:spacing w:line="580" w:lineRule="exact"/>
        <w:ind w:firstLine="560" w:firstLineChars="200"/>
        <w:rPr>
          <w:rFonts w:hint="eastAsia" w:ascii="仿宋_GB2312" w:eastAsia="仿宋_GB2312"/>
          <w:color w:val="FF0000"/>
          <w:sz w:val="28"/>
          <w:szCs w:val="28"/>
        </w:rPr>
      </w:pPr>
      <w:r>
        <w:rPr>
          <w:rFonts w:hint="eastAsia" w:ascii="仿宋_GB2312" w:eastAsia="仿宋_GB2312"/>
          <w:sz w:val="28"/>
          <w:szCs w:val="28"/>
        </w:rPr>
        <w:t>“行政事业单位养老支出”（款）</w:t>
      </w:r>
      <w:r>
        <w:rPr>
          <w:rFonts w:hint="eastAsia" w:ascii="仿宋_GB2312" w:eastAsia="仿宋_GB2312"/>
          <w:sz w:val="28"/>
          <w:szCs w:val="28"/>
          <w:lang w:val="en-US" w:eastAsia="zh-CN"/>
        </w:rPr>
        <w:t>2024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660.05万元，2024年度</w:t>
      </w:r>
      <w:r>
        <w:rPr>
          <w:rFonts w:hint="eastAsia" w:ascii="仿宋_GB2312" w:eastAsia="仿宋_GB2312"/>
          <w:sz w:val="28"/>
          <w:szCs w:val="28"/>
        </w:rPr>
        <w:t>决算</w:t>
      </w:r>
      <w:r>
        <w:rPr>
          <w:rFonts w:hint="eastAsia" w:ascii="仿宋_GB2312" w:eastAsia="仿宋_GB2312"/>
          <w:sz w:val="28"/>
          <w:szCs w:val="28"/>
          <w:lang w:val="en-US" w:eastAsia="zh-CN"/>
        </w:rPr>
        <w:t>639.94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96.95%。</w:t>
      </w:r>
      <w:r>
        <w:rPr>
          <w:rFonts w:hint="eastAsia" w:ascii="仿宋_GB2312" w:eastAsia="仿宋_GB2312"/>
          <w:sz w:val="28"/>
          <w:szCs w:val="28"/>
        </w:rPr>
        <w:t>主要原因：</w:t>
      </w:r>
      <w:r>
        <w:rPr>
          <w:rFonts w:hint="eastAsia" w:ascii="仿宋_GB2312" w:eastAsia="仿宋_GB2312"/>
          <w:sz w:val="28"/>
          <w:szCs w:val="28"/>
          <w:lang w:eastAsia="zh-CN"/>
        </w:rPr>
        <w:t>人员退休及调出导致社保支出与年初预计相比减少</w:t>
      </w:r>
      <w:r>
        <w:rPr>
          <w:rFonts w:hint="eastAsia" w:ascii="仿宋_GB2312" w:eastAsia="仿宋_GB2312"/>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3、“卫生健康支出”(类)</w:t>
      </w:r>
      <w:r>
        <w:rPr>
          <w:rFonts w:hint="eastAsia" w:ascii="仿宋_GB2312" w:eastAsia="仿宋_GB2312"/>
          <w:sz w:val="28"/>
          <w:szCs w:val="28"/>
          <w:lang w:val="en-US" w:eastAsia="zh-CN"/>
        </w:rPr>
        <w:t>2024</w:t>
      </w:r>
      <w:r>
        <w:rPr>
          <w:rFonts w:hint="eastAsia" w:ascii="仿宋_GB2312" w:eastAsia="仿宋_GB2312"/>
          <w:color w:val="auto"/>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404.16万元，2024年度</w:t>
      </w:r>
      <w:r>
        <w:rPr>
          <w:rFonts w:hint="eastAsia" w:ascii="仿宋_GB2312" w:eastAsia="仿宋_GB2312"/>
          <w:color w:val="auto"/>
          <w:sz w:val="28"/>
          <w:szCs w:val="28"/>
        </w:rPr>
        <w:t>决算</w:t>
      </w:r>
      <w:r>
        <w:rPr>
          <w:rFonts w:hint="eastAsia" w:ascii="仿宋_GB2312" w:eastAsia="仿宋_GB2312"/>
          <w:color w:val="auto"/>
          <w:sz w:val="28"/>
          <w:szCs w:val="28"/>
          <w:lang w:val="en-US" w:eastAsia="zh-CN"/>
        </w:rPr>
        <w:t>402.64</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99.62%。</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“行政事业单位医疗”（款）</w:t>
      </w:r>
      <w:r>
        <w:rPr>
          <w:rFonts w:hint="eastAsia" w:ascii="仿宋_GB2312" w:eastAsia="仿宋_GB2312"/>
          <w:sz w:val="28"/>
          <w:szCs w:val="28"/>
          <w:lang w:val="en-US" w:eastAsia="zh-CN"/>
        </w:rPr>
        <w:t>2024</w:t>
      </w:r>
      <w:r>
        <w:rPr>
          <w:rFonts w:hint="eastAsia" w:ascii="仿宋_GB2312" w:eastAsia="仿宋_GB2312"/>
          <w:color w:val="auto"/>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404.16万元，2024年度</w:t>
      </w:r>
      <w:r>
        <w:rPr>
          <w:rFonts w:hint="eastAsia" w:ascii="仿宋_GB2312" w:eastAsia="仿宋_GB2312"/>
          <w:color w:val="auto"/>
          <w:sz w:val="28"/>
          <w:szCs w:val="28"/>
        </w:rPr>
        <w:t>决算</w:t>
      </w:r>
      <w:r>
        <w:rPr>
          <w:rFonts w:hint="eastAsia" w:ascii="仿宋_GB2312" w:eastAsia="仿宋_GB2312"/>
          <w:color w:val="auto"/>
          <w:sz w:val="28"/>
          <w:szCs w:val="28"/>
          <w:lang w:val="en-US" w:eastAsia="zh-CN"/>
        </w:rPr>
        <w:t>402.64</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99.62%。</w:t>
      </w:r>
      <w:r>
        <w:rPr>
          <w:rFonts w:hint="eastAsia" w:ascii="仿宋_GB2312" w:hAnsi="仿宋_GB2312" w:eastAsia="仿宋_GB2312" w:cs="仿宋_GB2312"/>
          <w:color w:val="auto"/>
          <w:sz w:val="28"/>
          <w:szCs w:val="28"/>
        </w:rPr>
        <w:t>主要原因：</w:t>
      </w:r>
      <w:r>
        <w:rPr>
          <w:rFonts w:hint="eastAsia" w:ascii="仿宋_GB2312" w:eastAsia="仿宋_GB2312"/>
          <w:sz w:val="28"/>
          <w:szCs w:val="28"/>
          <w:lang w:eastAsia="zh-CN"/>
        </w:rPr>
        <w:t>人员退休及调出导致社保支出与年初预计相比减少</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4、“自然资源海洋气象等支出”(类)</w:t>
      </w:r>
      <w:r>
        <w:rPr>
          <w:rFonts w:hint="eastAsia" w:ascii="仿宋_GB2312" w:eastAsia="仿宋_GB2312"/>
          <w:sz w:val="28"/>
          <w:szCs w:val="28"/>
          <w:lang w:val="en-US" w:eastAsia="zh-CN"/>
        </w:rPr>
        <w:t>2024</w:t>
      </w:r>
      <w:r>
        <w:rPr>
          <w:rFonts w:hint="eastAsia" w:ascii="仿宋_GB2312" w:eastAsia="仿宋_GB2312"/>
          <w:color w:val="auto"/>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5506.25万元，2024年度</w:t>
      </w:r>
      <w:r>
        <w:rPr>
          <w:rFonts w:hint="eastAsia" w:ascii="仿宋_GB2312" w:eastAsia="仿宋_GB2312"/>
          <w:color w:val="auto"/>
          <w:sz w:val="28"/>
          <w:szCs w:val="28"/>
        </w:rPr>
        <w:t>决算</w:t>
      </w:r>
      <w:r>
        <w:rPr>
          <w:rFonts w:hint="eastAsia" w:ascii="仿宋_GB2312" w:eastAsia="仿宋_GB2312"/>
          <w:color w:val="auto"/>
          <w:sz w:val="28"/>
          <w:szCs w:val="28"/>
          <w:lang w:val="en-US" w:eastAsia="zh-CN"/>
        </w:rPr>
        <w:t>5477.44</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99.48%。</w:t>
      </w:r>
      <w:r>
        <w:rPr>
          <w:rFonts w:hint="eastAsia" w:ascii="仿宋_GB2312" w:eastAsia="仿宋_GB2312"/>
          <w:color w:val="auto"/>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color w:val="auto"/>
          <w:sz w:val="28"/>
          <w:szCs w:val="28"/>
        </w:rPr>
        <w:t>“自然资源事务”（款）</w:t>
      </w:r>
      <w:r>
        <w:rPr>
          <w:rFonts w:hint="eastAsia" w:ascii="仿宋_GB2312" w:eastAsia="仿宋_GB2312"/>
          <w:sz w:val="28"/>
          <w:szCs w:val="28"/>
          <w:lang w:val="en-US" w:eastAsia="zh-CN"/>
        </w:rPr>
        <w:t>2024</w:t>
      </w:r>
      <w:r>
        <w:rPr>
          <w:rFonts w:hint="eastAsia" w:ascii="仿宋_GB2312" w:eastAsia="仿宋_GB2312"/>
          <w:color w:val="auto"/>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5506.25万元，2024年度</w:t>
      </w:r>
      <w:r>
        <w:rPr>
          <w:rFonts w:hint="eastAsia" w:ascii="仿宋_GB2312" w:eastAsia="仿宋_GB2312"/>
          <w:color w:val="auto"/>
          <w:sz w:val="28"/>
          <w:szCs w:val="28"/>
        </w:rPr>
        <w:t>决算</w:t>
      </w:r>
      <w:r>
        <w:rPr>
          <w:rFonts w:hint="eastAsia" w:ascii="仿宋_GB2312" w:eastAsia="仿宋_GB2312"/>
          <w:color w:val="auto"/>
          <w:sz w:val="28"/>
          <w:szCs w:val="28"/>
          <w:lang w:val="en-US" w:eastAsia="zh-CN"/>
        </w:rPr>
        <w:t>5477.44</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99.48%。</w:t>
      </w:r>
      <w:r>
        <w:rPr>
          <w:rFonts w:hint="eastAsia" w:ascii="仿宋_GB2312" w:eastAsia="仿宋_GB2312"/>
          <w:color w:val="auto"/>
          <w:sz w:val="28"/>
          <w:szCs w:val="28"/>
        </w:rPr>
        <w:t>主要原因：</w:t>
      </w:r>
      <w:r>
        <w:rPr>
          <w:rFonts w:hint="eastAsia" w:ascii="仿宋_GB2312" w:eastAsia="仿宋_GB2312"/>
          <w:sz w:val="28"/>
          <w:szCs w:val="28"/>
          <w:lang w:eastAsia="zh-CN"/>
        </w:rPr>
        <w:t>人员退休及调出导致人员经费支出与年初预计相比减少</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15.6</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15.60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15.60万元，2024年度</w:t>
      </w:r>
      <w:r>
        <w:rPr>
          <w:rFonts w:hint="eastAsia" w:ascii="仿宋_GB2312" w:eastAsia="仿宋_GB2312"/>
          <w:sz w:val="28"/>
          <w:szCs w:val="28"/>
        </w:rPr>
        <w:t>决算</w:t>
      </w:r>
      <w:r>
        <w:rPr>
          <w:rFonts w:hint="eastAsia" w:ascii="仿宋_GB2312" w:eastAsia="仿宋_GB2312"/>
          <w:sz w:val="28"/>
          <w:szCs w:val="28"/>
          <w:lang w:val="en-US" w:eastAsia="zh-CN"/>
        </w:rPr>
        <w:t>15.60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15.60万元，2024年度</w:t>
      </w:r>
      <w:r>
        <w:rPr>
          <w:rFonts w:hint="eastAsia" w:ascii="仿宋_GB2312" w:eastAsia="仿宋_GB2312"/>
          <w:sz w:val="28"/>
          <w:szCs w:val="28"/>
          <w:lang w:eastAsia="zh-CN"/>
        </w:rPr>
        <w:t>决算</w:t>
      </w:r>
      <w:r>
        <w:rPr>
          <w:rFonts w:hint="eastAsia" w:ascii="仿宋_GB2312" w:eastAsia="仿宋_GB2312"/>
          <w:sz w:val="28"/>
          <w:szCs w:val="28"/>
          <w:lang w:val="en-US" w:eastAsia="zh-CN"/>
        </w:rPr>
        <w:t>15.60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p>
    <w:p>
      <w:pPr>
        <w:spacing w:line="580" w:lineRule="exact"/>
        <w:ind w:left="0" w:leftChars="0"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left="0" w:leftChars="0"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left="0" w:leftChars="0" w:firstLine="560" w:firstLineChars="200"/>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828" w:firstLineChars="2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5704.78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7.06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11.4</w:t>
      </w:r>
      <w:r>
        <w:rPr>
          <w:rFonts w:hint="eastAsia" w:ascii="仿宋_GB2312" w:eastAsia="仿宋_GB2312"/>
          <w:sz w:val="28"/>
          <w:szCs w:val="28"/>
        </w:rPr>
        <w:t>万元减少</w:t>
      </w:r>
      <w:r>
        <w:rPr>
          <w:rFonts w:ascii="仿宋_GB2312" w:eastAsia="仿宋_GB2312"/>
          <w:sz w:val="28"/>
          <w:szCs w:val="28"/>
        </w:rPr>
        <w:t>4.34</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rPr>
        <w:t>1.因公出国（境）费用。本单位无此项经费</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2.公务接待费。本单位无此项经费。</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7.06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11.4</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ascii="仿宋_GB2312" w:eastAsia="仿宋_GB2312"/>
          <w:sz w:val="28"/>
          <w:szCs w:val="28"/>
        </w:rPr>
        <w:t>4.34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7.06</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落实政府过紧日子要求，严控公务用车运维费用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8</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609.94</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70.52</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rPr>
        <w:t>原因：</w:t>
      </w:r>
      <w:r>
        <w:rPr>
          <w:rFonts w:hint="eastAsia" w:ascii="仿宋_GB2312" w:eastAsia="仿宋_GB2312"/>
          <w:sz w:val="28"/>
          <w:szCs w:val="28"/>
          <w:lang w:eastAsia="zh-CN"/>
        </w:rPr>
        <w:t>主要为人数增加导致办公经费增加，资产成新率降低导致维修费上涨。</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933.69</w:t>
      </w:r>
      <w:r>
        <w:rPr>
          <w:rFonts w:hint="eastAsia" w:ascii="仿宋_GB2312" w:eastAsia="仿宋_GB2312"/>
          <w:sz w:val="28"/>
          <w:szCs w:val="28"/>
        </w:rPr>
        <w:t>万元，其中：政府采购货物支出</w:t>
      </w:r>
      <w:r>
        <w:rPr>
          <w:rFonts w:ascii="仿宋_GB2312" w:eastAsia="仿宋_GB2312"/>
          <w:sz w:val="28"/>
          <w:szCs w:val="28"/>
        </w:rPr>
        <w:t>22.3</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911.39</w:t>
      </w:r>
      <w:r>
        <w:rPr>
          <w:rFonts w:hint="eastAsia" w:ascii="仿宋_GB2312" w:eastAsia="仿宋_GB2312"/>
          <w:sz w:val="28"/>
          <w:szCs w:val="28"/>
        </w:rPr>
        <w:t>万元。授予中小企业合同金额</w:t>
      </w:r>
      <w:r>
        <w:rPr>
          <w:rFonts w:ascii="仿宋_GB2312" w:eastAsia="仿宋_GB2312"/>
          <w:sz w:val="28"/>
          <w:szCs w:val="28"/>
        </w:rPr>
        <w:t>588.84</w:t>
      </w:r>
      <w:r>
        <w:rPr>
          <w:rFonts w:hint="eastAsia" w:ascii="仿宋_GB2312" w:eastAsia="仿宋_GB2312"/>
          <w:sz w:val="28"/>
          <w:szCs w:val="28"/>
        </w:rPr>
        <w:t>万元，占政府采购支出总额的</w:t>
      </w:r>
      <w:r>
        <w:rPr>
          <w:rFonts w:hint="eastAsia" w:ascii="仿宋_GB2312" w:eastAsia="仿宋_GB2312"/>
          <w:sz w:val="28"/>
          <w:szCs w:val="28"/>
          <w:lang w:eastAsia="zh-CN"/>
        </w:rPr>
        <w:t>63.07</w:t>
      </w:r>
      <w:r>
        <w:rPr>
          <w:rFonts w:hint="eastAsia" w:ascii="仿宋_GB2312" w:eastAsia="仿宋_GB2312"/>
          <w:sz w:val="28"/>
          <w:szCs w:val="28"/>
        </w:rPr>
        <w:t>%，其中：授予小微企业合同金额</w:t>
      </w:r>
      <w:r>
        <w:rPr>
          <w:rFonts w:ascii="仿宋_GB2312" w:eastAsia="仿宋_GB2312"/>
          <w:sz w:val="28"/>
          <w:szCs w:val="28"/>
        </w:rPr>
        <w:t>361.24</w:t>
      </w:r>
      <w:r>
        <w:rPr>
          <w:rFonts w:hint="eastAsia" w:ascii="仿宋_GB2312" w:eastAsia="仿宋_GB2312"/>
          <w:sz w:val="28"/>
          <w:szCs w:val="28"/>
        </w:rPr>
        <w:t>万元，占政府采购支出总额的</w:t>
      </w:r>
      <w:r>
        <w:rPr>
          <w:rFonts w:ascii="仿宋_GB2312" w:eastAsia="仿宋_GB2312"/>
          <w:sz w:val="28"/>
          <w:szCs w:val="28"/>
        </w:rPr>
        <w:t>38.69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12月31日，北京市规划和自然资源委员会东城分局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8</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政府购买服务决算1312.28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left="0" w:leftChars="0"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left="0" w:leftChars="0"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left="0" w:leftChars="0"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7.自然资源海洋气象等支出（类）自然资源事务（款）一般行政管理事务（项）：</w:t>
      </w:r>
      <w:r>
        <w:rPr>
          <w:rFonts w:hint="eastAsia" w:ascii="仿宋_GB2312" w:eastAsia="仿宋_GB2312"/>
          <w:color w:val="auto"/>
          <w:sz w:val="28"/>
          <w:szCs w:val="28"/>
        </w:rPr>
        <w:t>反映行政单位（包括实行公务员管理的事业单位）未单独设置顶级科目的其他项目支出。</w:t>
      </w:r>
    </w:p>
    <w:p>
      <w:pPr>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w:t>
      </w:r>
      <w:r>
        <w:rPr>
          <w:rFonts w:ascii="仿宋_GB2312" w:eastAsia="仿宋_GB2312"/>
          <w:sz w:val="28"/>
          <w:szCs w:val="28"/>
        </w:rPr>
        <w:t>.</w:t>
      </w:r>
      <w:r>
        <w:rPr>
          <w:rFonts w:hint="eastAsia" w:ascii="仿宋_GB2312" w:eastAsia="仿宋_GB2312"/>
          <w:color w:val="auto"/>
          <w:sz w:val="28"/>
          <w:szCs w:val="28"/>
          <w:lang w:val="en-US" w:eastAsia="zh-CN"/>
        </w:rPr>
        <w:t>教育支出（类）进修及培训（款）培训支出（项）</w:t>
      </w:r>
      <w:r>
        <w:rPr>
          <w:rFonts w:ascii="仿宋_GB2312" w:eastAsia="仿宋_GB2312"/>
          <w:sz w:val="28"/>
          <w:szCs w:val="28"/>
        </w:rPr>
        <w:t>：</w:t>
      </w:r>
      <w:r>
        <w:rPr>
          <w:rFonts w:hint="eastAsia" w:ascii="仿宋_GB2312" w:eastAsia="仿宋_GB2312"/>
          <w:sz w:val="28"/>
          <w:szCs w:val="28"/>
          <w:lang w:eastAsia="zh-CN"/>
        </w:rPr>
        <w:t>反映各部门安排的用于培训的支出。教育部门的师资培训，党校、行政学院等专业</w:t>
      </w:r>
      <w:r>
        <w:rPr>
          <w:rFonts w:hint="eastAsia" w:ascii="仿宋_GB2312" w:eastAsia="仿宋_GB2312"/>
          <w:sz w:val="28"/>
          <w:szCs w:val="28"/>
          <w:lang w:val="en-US" w:eastAsia="zh-CN"/>
        </w:rPr>
        <w:t>干部教育机构的支出，以及退役士兵、转业士官的培训支出，不在本科目反映。</w:t>
      </w:r>
    </w:p>
    <w:p>
      <w:pPr>
        <w:ind w:left="0" w:leftChars="0"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ascii="仿宋_GB2312" w:eastAsia="仿宋_GB2312"/>
          <w:sz w:val="28"/>
          <w:szCs w:val="28"/>
        </w:rPr>
        <w:t>.</w:t>
      </w:r>
      <w:r>
        <w:rPr>
          <w:rFonts w:hint="eastAsia" w:ascii="仿宋_GB2312" w:eastAsia="仿宋_GB2312"/>
          <w:color w:val="auto"/>
          <w:sz w:val="28"/>
          <w:szCs w:val="28"/>
          <w:lang w:val="en-US" w:eastAsia="zh-CN"/>
        </w:rPr>
        <w:t>社会保障和就业支出（类）行政事业单位养老支出（款）行政单位离退休（项）</w:t>
      </w:r>
      <w:r>
        <w:rPr>
          <w:rFonts w:ascii="仿宋_GB2312" w:eastAsia="仿宋_GB2312"/>
          <w:sz w:val="28"/>
          <w:szCs w:val="28"/>
        </w:rPr>
        <w:t>：</w:t>
      </w:r>
      <w:r>
        <w:rPr>
          <w:rFonts w:hint="eastAsia" w:ascii="仿宋_GB2312" w:eastAsia="仿宋_GB2312"/>
          <w:sz w:val="28"/>
          <w:szCs w:val="28"/>
          <w:lang w:eastAsia="zh-CN"/>
        </w:rPr>
        <w:t>反映行政单位（包括实行公务员管理的事业单位）开支的离退休经费。</w:t>
      </w:r>
    </w:p>
    <w:p>
      <w:pPr>
        <w:ind w:left="0" w:leftChars="0"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10</w:t>
      </w:r>
      <w:r>
        <w:rPr>
          <w:rFonts w:ascii="仿宋_GB2312" w:eastAsia="仿宋_GB2312"/>
          <w:sz w:val="28"/>
          <w:szCs w:val="28"/>
        </w:rPr>
        <w:t>.</w:t>
      </w:r>
      <w:r>
        <w:rPr>
          <w:rFonts w:hint="eastAsia" w:ascii="仿宋_GB2312" w:eastAsia="仿宋_GB2312"/>
          <w:color w:val="auto"/>
          <w:sz w:val="28"/>
          <w:szCs w:val="28"/>
          <w:lang w:val="en-US" w:eastAsia="zh-CN"/>
        </w:rPr>
        <w:t>社会保障和就业支出（类）行政事业单位养老支出（款）事业单位离退休（项）</w:t>
      </w:r>
      <w:r>
        <w:rPr>
          <w:rFonts w:ascii="仿宋_GB2312" w:eastAsia="仿宋_GB2312"/>
          <w:sz w:val="28"/>
          <w:szCs w:val="28"/>
        </w:rPr>
        <w:t>：</w:t>
      </w:r>
      <w:r>
        <w:rPr>
          <w:rFonts w:hint="eastAsia" w:ascii="仿宋_GB2312" w:eastAsia="仿宋_GB2312"/>
          <w:sz w:val="28"/>
          <w:szCs w:val="28"/>
          <w:lang w:eastAsia="zh-CN"/>
        </w:rPr>
        <w:t>反映事业单位开支的离退休经费。</w:t>
      </w:r>
    </w:p>
    <w:p>
      <w:pPr>
        <w:ind w:left="0" w:leftChars="0"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11</w:t>
      </w:r>
      <w:r>
        <w:rPr>
          <w:rFonts w:ascii="仿宋_GB2312" w:eastAsia="仿宋_GB2312"/>
          <w:sz w:val="28"/>
          <w:szCs w:val="28"/>
        </w:rPr>
        <w:t>.</w:t>
      </w:r>
      <w:r>
        <w:rPr>
          <w:rFonts w:hint="eastAsia" w:ascii="仿宋_GB2312" w:eastAsia="仿宋_GB2312"/>
          <w:color w:val="auto"/>
          <w:sz w:val="28"/>
          <w:szCs w:val="28"/>
          <w:lang w:val="en-US" w:eastAsia="zh-CN"/>
        </w:rPr>
        <w:t>社会保障和就业支出（类）行政事业单位养老支出（款）机关事业单位基本养老保险缴费支出（项）</w:t>
      </w:r>
      <w:r>
        <w:rPr>
          <w:rFonts w:ascii="仿宋_GB2312" w:eastAsia="仿宋_GB2312"/>
          <w:sz w:val="28"/>
          <w:szCs w:val="28"/>
        </w:rPr>
        <w:t>：</w:t>
      </w:r>
      <w:r>
        <w:rPr>
          <w:rFonts w:hint="eastAsia" w:ascii="仿宋_GB2312" w:eastAsia="仿宋_GB2312"/>
          <w:sz w:val="28"/>
          <w:szCs w:val="28"/>
          <w:lang w:eastAsia="zh-CN"/>
        </w:rPr>
        <w:t>反映机关事业单位实施养老保险制度由单位缴纳的基本养老保险费支出。</w:t>
      </w:r>
    </w:p>
    <w:p>
      <w:pPr>
        <w:ind w:left="0" w:leftChars="0"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12</w:t>
      </w:r>
      <w:r>
        <w:rPr>
          <w:rFonts w:ascii="仿宋_GB2312" w:eastAsia="仿宋_GB2312"/>
          <w:sz w:val="28"/>
          <w:szCs w:val="28"/>
        </w:rPr>
        <w:t>.</w:t>
      </w:r>
      <w:r>
        <w:rPr>
          <w:rFonts w:hint="eastAsia" w:ascii="仿宋_GB2312" w:eastAsia="仿宋_GB2312"/>
          <w:color w:val="auto"/>
          <w:sz w:val="28"/>
          <w:szCs w:val="28"/>
          <w:lang w:val="en-US" w:eastAsia="zh-CN"/>
        </w:rPr>
        <w:t>社会保障和就业支出（类）行政事业单位养老支出（款）机关事业单位职业年金缴费支出（项）</w:t>
      </w:r>
      <w:r>
        <w:rPr>
          <w:rFonts w:ascii="仿宋_GB2312" w:eastAsia="仿宋_GB2312"/>
          <w:sz w:val="28"/>
          <w:szCs w:val="28"/>
        </w:rPr>
        <w:t>：</w:t>
      </w:r>
      <w:r>
        <w:rPr>
          <w:rFonts w:hint="eastAsia" w:ascii="仿宋_GB2312" w:eastAsia="仿宋_GB2312"/>
          <w:sz w:val="28"/>
          <w:szCs w:val="28"/>
          <w:lang w:eastAsia="zh-CN"/>
        </w:rPr>
        <w:t>反映机关事业单位实施养老保险制度由单位实际缴纳的职业年金支出（含职业年金补记支出）。</w:t>
      </w:r>
    </w:p>
    <w:p>
      <w:pPr>
        <w:ind w:left="0" w:leftChars="0"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13</w:t>
      </w:r>
      <w:r>
        <w:rPr>
          <w:rFonts w:ascii="仿宋_GB2312" w:eastAsia="仿宋_GB2312"/>
          <w:sz w:val="28"/>
          <w:szCs w:val="28"/>
        </w:rPr>
        <w:t>.</w:t>
      </w:r>
      <w:r>
        <w:rPr>
          <w:rFonts w:hint="eastAsia" w:ascii="仿宋_GB2312" w:eastAsia="仿宋_GB2312"/>
          <w:color w:val="auto"/>
          <w:sz w:val="28"/>
          <w:szCs w:val="28"/>
          <w:lang w:val="en-US" w:eastAsia="zh-CN"/>
        </w:rPr>
        <w:t>卫生健康支出（类）行政事业单位医疗（款）行政单位医疗（项）</w:t>
      </w:r>
      <w:r>
        <w:rPr>
          <w:rFonts w:ascii="仿宋_GB2312" w:eastAsia="仿宋_GB2312"/>
          <w:sz w:val="28"/>
          <w:szCs w:val="28"/>
        </w:rPr>
        <w:t>：</w:t>
      </w:r>
      <w:r>
        <w:rPr>
          <w:rFonts w:hint="eastAsia" w:ascii="仿宋_GB2312" w:eastAsia="仿宋_GB2312"/>
          <w:sz w:val="28"/>
          <w:szCs w:val="28"/>
          <w:lang w:eastAsia="zh-CN"/>
        </w:rPr>
        <w:t>反映财政部门安排的行政单位（包括实行公务员管理的事业单位）基本医疗保险缴费经费，未参加医疗保险的行政单位的公费医疗经费，按国家规定享受离休人员、红军老战士待遇人员的医疗经费。</w:t>
      </w:r>
    </w:p>
    <w:p>
      <w:pPr>
        <w:ind w:left="0" w:leftChars="0"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14</w:t>
      </w:r>
      <w:r>
        <w:rPr>
          <w:rFonts w:ascii="仿宋_GB2312" w:eastAsia="仿宋_GB2312"/>
          <w:sz w:val="28"/>
          <w:szCs w:val="28"/>
        </w:rPr>
        <w:t>.</w:t>
      </w:r>
      <w:r>
        <w:rPr>
          <w:rFonts w:hint="eastAsia" w:ascii="仿宋_GB2312" w:eastAsia="仿宋_GB2312"/>
          <w:color w:val="auto"/>
          <w:sz w:val="28"/>
          <w:szCs w:val="28"/>
          <w:lang w:val="en-US" w:eastAsia="zh-CN"/>
        </w:rPr>
        <w:t>卫生健康支出（类）行政事业单位医疗（款）事业单位医疗（项）</w:t>
      </w:r>
      <w:r>
        <w:rPr>
          <w:rFonts w:ascii="仿宋_GB2312" w:eastAsia="仿宋_GB2312"/>
          <w:sz w:val="28"/>
          <w:szCs w:val="28"/>
        </w:rPr>
        <w:t>：</w:t>
      </w:r>
      <w:r>
        <w:rPr>
          <w:rFonts w:hint="eastAsia" w:ascii="仿宋_GB2312" w:eastAsia="仿宋_GB2312"/>
          <w:sz w:val="28"/>
          <w:szCs w:val="28"/>
          <w:lang w:eastAsia="zh-CN"/>
        </w:rPr>
        <w:t>反映财政部门安排的事业单位的公费医疗经费，按国家规定享受离休人员待遇的医疗经费。</w:t>
      </w:r>
    </w:p>
    <w:p>
      <w:pPr>
        <w:ind w:left="0" w:leftChars="0"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15.自然资源海洋气象等支出（类）自然资源事务（款）行政运行（项）：</w:t>
      </w:r>
      <w:r>
        <w:rPr>
          <w:rFonts w:hint="eastAsia" w:ascii="仿宋_GB2312" w:eastAsia="仿宋_GB2312"/>
          <w:color w:val="auto"/>
          <w:sz w:val="28"/>
          <w:szCs w:val="28"/>
        </w:rPr>
        <w:t>反映行政单位（包括实行公务员管理的事业单位）</w:t>
      </w:r>
      <w:r>
        <w:rPr>
          <w:rFonts w:hint="eastAsia" w:ascii="仿宋_GB2312" w:eastAsia="仿宋_GB2312"/>
          <w:color w:val="auto"/>
          <w:sz w:val="28"/>
          <w:szCs w:val="28"/>
          <w:lang w:eastAsia="zh-CN"/>
        </w:rPr>
        <w:t>的基本支出。</w:t>
      </w:r>
    </w:p>
    <w:p>
      <w:pPr>
        <w:ind w:left="0" w:leftChars="0"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16.自然资源海洋气象等支出（类）自然资源事务（款）自然资源规划及管理（项）：</w:t>
      </w:r>
      <w:r>
        <w:rPr>
          <w:rFonts w:hint="eastAsia" w:ascii="仿宋_GB2312" w:eastAsia="仿宋_GB2312"/>
          <w:color w:val="auto"/>
          <w:sz w:val="28"/>
          <w:szCs w:val="28"/>
        </w:rPr>
        <w:t>反映</w:t>
      </w:r>
      <w:r>
        <w:rPr>
          <w:rFonts w:hint="eastAsia" w:ascii="仿宋_GB2312" w:eastAsia="仿宋_GB2312"/>
          <w:color w:val="auto"/>
          <w:sz w:val="28"/>
          <w:szCs w:val="28"/>
          <w:lang w:eastAsia="zh-CN"/>
        </w:rPr>
        <w:t>用于国土空间规划、国土空间开发适宜性评价等方面的支出。</w:t>
      </w:r>
    </w:p>
    <w:p>
      <w:pPr>
        <w:ind w:left="0" w:leftChars="0"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17.自然资源海洋气象等支出（类）自然资源事务（款）事业运行（项）：</w:t>
      </w:r>
      <w:r>
        <w:rPr>
          <w:rFonts w:hint="eastAsia" w:ascii="仿宋_GB2312" w:eastAsia="仿宋_GB2312"/>
          <w:color w:val="auto"/>
          <w:sz w:val="28"/>
          <w:szCs w:val="28"/>
        </w:rPr>
        <w:t>反映</w:t>
      </w:r>
      <w:r>
        <w:rPr>
          <w:rFonts w:hint="eastAsia" w:ascii="仿宋_GB2312" w:eastAsia="仿宋_GB2312"/>
          <w:color w:val="auto"/>
          <w:sz w:val="28"/>
          <w:szCs w:val="28"/>
          <w:lang w:eastAsia="zh-CN"/>
        </w:rPr>
        <w:t>事业</w:t>
      </w:r>
      <w:r>
        <w:rPr>
          <w:rFonts w:hint="eastAsia" w:ascii="仿宋_GB2312" w:eastAsia="仿宋_GB2312"/>
          <w:color w:val="auto"/>
          <w:sz w:val="28"/>
          <w:szCs w:val="28"/>
        </w:rPr>
        <w:t>单位</w:t>
      </w:r>
      <w:r>
        <w:rPr>
          <w:rFonts w:hint="eastAsia" w:ascii="仿宋_GB2312" w:eastAsia="仿宋_GB2312"/>
          <w:color w:val="auto"/>
          <w:sz w:val="28"/>
          <w:szCs w:val="28"/>
          <w:lang w:eastAsia="zh-CN"/>
        </w:rPr>
        <w:t>的基本支出，不包括行政单位</w:t>
      </w:r>
      <w:r>
        <w:rPr>
          <w:rFonts w:hint="eastAsia" w:ascii="仿宋_GB2312" w:eastAsia="仿宋_GB2312"/>
          <w:color w:val="auto"/>
          <w:sz w:val="28"/>
          <w:szCs w:val="28"/>
        </w:rPr>
        <w:t>（包括实行公务员管理的事业单位）</w:t>
      </w:r>
      <w:r>
        <w:rPr>
          <w:rFonts w:hint="eastAsia" w:ascii="仿宋_GB2312" w:eastAsia="仿宋_GB2312"/>
          <w:color w:val="auto"/>
          <w:sz w:val="28"/>
          <w:szCs w:val="28"/>
          <w:lang w:eastAsia="zh-CN"/>
        </w:rPr>
        <w:t>后勤服务中心、医务室等附属事业单位。</w:t>
      </w:r>
    </w:p>
    <w:p>
      <w:pPr>
        <w:ind w:left="0" w:leftChars="0"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18.自然资源海洋气象等支出（类）自然资源事务（款）其他自然资源事务支出（项）：</w:t>
      </w:r>
      <w:r>
        <w:rPr>
          <w:rFonts w:hint="eastAsia" w:ascii="仿宋_GB2312" w:eastAsia="仿宋_GB2312"/>
          <w:color w:val="auto"/>
          <w:sz w:val="28"/>
          <w:szCs w:val="28"/>
        </w:rPr>
        <w:t>反映</w:t>
      </w:r>
      <w:r>
        <w:rPr>
          <w:rFonts w:hint="eastAsia" w:ascii="仿宋_GB2312" w:eastAsia="仿宋_GB2312"/>
          <w:color w:val="auto"/>
          <w:sz w:val="28"/>
          <w:szCs w:val="28"/>
          <w:lang w:eastAsia="zh-CN"/>
        </w:rPr>
        <w:t>除上述项目以外其他用于自然资源事务方面的支出。</w:t>
      </w:r>
    </w:p>
    <w:p>
      <w:pPr>
        <w:ind w:left="0" w:leftChars="0" w:firstLine="560" w:firstLineChars="200"/>
        <w:rPr>
          <w:rFonts w:hint="eastAsia" w:ascii="仿宋_GB2312" w:eastAsia="仿宋_GB2312"/>
          <w:sz w:val="28"/>
          <w:szCs w:val="28"/>
          <w:lang w:eastAsia="zh-CN"/>
        </w:rPr>
      </w:pPr>
      <w:r>
        <w:rPr>
          <w:rFonts w:hint="eastAsia" w:ascii="仿宋_GB2312" w:eastAsia="仿宋_GB2312"/>
          <w:color w:val="auto"/>
          <w:sz w:val="28"/>
          <w:szCs w:val="28"/>
          <w:lang w:val="en-US" w:eastAsia="zh-CN"/>
        </w:rPr>
        <w:t>19.城乡社区支出（类）国有土地使用权出让收入安排的支出（款）土地出让业务支出（项）：</w:t>
      </w:r>
      <w:r>
        <w:rPr>
          <w:rFonts w:hint="eastAsia" w:ascii="仿宋_GB2312" w:eastAsia="仿宋_GB2312"/>
          <w:color w:val="auto"/>
          <w:sz w:val="28"/>
          <w:szCs w:val="28"/>
        </w:rPr>
        <w:t>反映</w:t>
      </w:r>
      <w:r>
        <w:rPr>
          <w:rFonts w:hint="eastAsia" w:ascii="仿宋_GB2312" w:eastAsia="仿宋_GB2312"/>
          <w:color w:val="auto"/>
          <w:sz w:val="28"/>
          <w:szCs w:val="28"/>
          <w:lang w:eastAsia="zh-CN"/>
        </w:rPr>
        <w:t>土地出让收入用于土地出让业务费用的开支。</w:t>
      </w:r>
    </w:p>
    <w:p>
      <w:pPr>
        <w:ind w:left="0" w:leftChars="0" w:firstLine="560" w:firstLineChars="200"/>
        <w:rPr>
          <w:rFonts w:hint="eastAsia" w:ascii="仿宋_GB2312" w:eastAsia="仿宋_GB2312"/>
          <w:sz w:val="28"/>
          <w:szCs w:val="28"/>
          <w:lang w:eastAsia="zh-CN"/>
        </w:rPr>
      </w:pPr>
      <w:r>
        <w:rPr>
          <w:rFonts w:hint="eastAsia" w:ascii="仿宋_GB2312" w:eastAsia="仿宋_GB2312"/>
          <w:color w:val="auto"/>
          <w:sz w:val="28"/>
          <w:szCs w:val="28"/>
          <w:lang w:val="en-US" w:eastAsia="zh-CN"/>
        </w:rPr>
        <w:t>20.城乡社区支出（类）国有土地使用权出让收入安排的支出（款）土地开发支出（项）：</w:t>
      </w:r>
      <w:r>
        <w:rPr>
          <w:rFonts w:hint="eastAsia" w:ascii="仿宋_GB2312" w:eastAsia="仿宋_GB2312"/>
          <w:color w:val="auto"/>
          <w:sz w:val="28"/>
          <w:szCs w:val="28"/>
        </w:rPr>
        <w:t>反映</w:t>
      </w:r>
      <w:r>
        <w:rPr>
          <w:rFonts w:hint="eastAsia" w:ascii="仿宋_GB2312" w:eastAsia="仿宋_GB2312"/>
          <w:color w:val="auto"/>
          <w:sz w:val="28"/>
          <w:szCs w:val="28"/>
          <w:lang w:eastAsia="zh-CN"/>
        </w:rPr>
        <w:t>新疆生产建设兵团和地方政府用于前期土地开发性支出以及与前期土地开发相关的费用等支出。</w:t>
      </w:r>
    </w:p>
    <w:p>
      <w:pPr>
        <w:ind w:left="0" w:leftChars="0" w:firstLine="560" w:firstLineChars="200"/>
        <w:jc w:val="both"/>
        <w:rPr>
          <w:rFonts w:hint="eastAsia" w:ascii="黑体" w:eastAsia="黑体"/>
          <w:sz w:val="32"/>
          <w:szCs w:val="32"/>
          <w:lang w:val="en-US" w:eastAsia="zh-CN"/>
        </w:rPr>
      </w:pPr>
      <w:r>
        <w:rPr>
          <w:rFonts w:hint="eastAsia" w:ascii="仿宋_GB2312" w:eastAsia="仿宋_GB2312"/>
          <w:color w:val="auto"/>
          <w:sz w:val="28"/>
          <w:szCs w:val="28"/>
          <w:lang w:val="en-US" w:eastAsia="zh-CN"/>
        </w:rPr>
        <w:t>21.住房保障支出（类）保障性安居工程支出（款）老旧小区改造（项）：</w:t>
      </w:r>
      <w:r>
        <w:rPr>
          <w:rFonts w:hint="eastAsia" w:ascii="仿宋_GB2312" w:eastAsia="仿宋_GB2312"/>
          <w:color w:val="auto"/>
          <w:sz w:val="28"/>
          <w:szCs w:val="28"/>
        </w:rPr>
        <w:t>反映</w:t>
      </w:r>
      <w:r>
        <w:rPr>
          <w:rFonts w:hint="eastAsia" w:ascii="仿宋_GB2312" w:eastAsia="仿宋_GB2312"/>
          <w:color w:val="auto"/>
          <w:sz w:val="28"/>
          <w:szCs w:val="28"/>
          <w:lang w:eastAsia="zh-CN"/>
        </w:rPr>
        <w:t>用于老旧小区改造方面的支出。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仿宋_GB2312" w:eastAsia="仿宋_GB2312"/>
          <w:color w:val="auto"/>
          <w:sz w:val="28"/>
          <w:szCs w:val="28"/>
          <w:lang w:val="en-US" w:eastAsia="zh-CN"/>
        </w:rPr>
        <w:t>项目支出绩效自评表（详见附件2）</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7B7142C"/>
    <w:rsid w:val="0BA148CA"/>
    <w:rsid w:val="0C1165C4"/>
    <w:rsid w:val="0D6D544B"/>
    <w:rsid w:val="0DD136FE"/>
    <w:rsid w:val="0F8E2C57"/>
    <w:rsid w:val="103A4BD2"/>
    <w:rsid w:val="1059665E"/>
    <w:rsid w:val="10AC13BA"/>
    <w:rsid w:val="145A6C1B"/>
    <w:rsid w:val="14B73493"/>
    <w:rsid w:val="163F7F7F"/>
    <w:rsid w:val="166D2A03"/>
    <w:rsid w:val="167A2FF9"/>
    <w:rsid w:val="18581C69"/>
    <w:rsid w:val="18EA490E"/>
    <w:rsid w:val="1AEC0734"/>
    <w:rsid w:val="1DEF20B0"/>
    <w:rsid w:val="206338E4"/>
    <w:rsid w:val="214243FA"/>
    <w:rsid w:val="21AD613C"/>
    <w:rsid w:val="22467189"/>
    <w:rsid w:val="257A14F5"/>
    <w:rsid w:val="26586B93"/>
    <w:rsid w:val="27196C26"/>
    <w:rsid w:val="29EF086F"/>
    <w:rsid w:val="2DD01D4A"/>
    <w:rsid w:val="2EFFE297"/>
    <w:rsid w:val="301437CA"/>
    <w:rsid w:val="349D1F0A"/>
    <w:rsid w:val="34DD0473"/>
    <w:rsid w:val="34E768EE"/>
    <w:rsid w:val="3C684897"/>
    <w:rsid w:val="3C7D55B4"/>
    <w:rsid w:val="3D8329BE"/>
    <w:rsid w:val="3E533421"/>
    <w:rsid w:val="40A2287E"/>
    <w:rsid w:val="433E495C"/>
    <w:rsid w:val="464B23AE"/>
    <w:rsid w:val="489F2FD7"/>
    <w:rsid w:val="48DC78DC"/>
    <w:rsid w:val="4AC27CB3"/>
    <w:rsid w:val="4BF72BEF"/>
    <w:rsid w:val="4FA90297"/>
    <w:rsid w:val="4FC41A43"/>
    <w:rsid w:val="51DB3C59"/>
    <w:rsid w:val="550C0952"/>
    <w:rsid w:val="55762E42"/>
    <w:rsid w:val="57A7B272"/>
    <w:rsid w:val="58470068"/>
    <w:rsid w:val="58747CAC"/>
    <w:rsid w:val="5A1720F9"/>
    <w:rsid w:val="5B9C37C2"/>
    <w:rsid w:val="5BA7C654"/>
    <w:rsid w:val="5D306FC8"/>
    <w:rsid w:val="5DBB4DAC"/>
    <w:rsid w:val="60A54109"/>
    <w:rsid w:val="612867CF"/>
    <w:rsid w:val="61D01CDF"/>
    <w:rsid w:val="62C42E82"/>
    <w:rsid w:val="64037D09"/>
    <w:rsid w:val="64C0607C"/>
    <w:rsid w:val="65756C86"/>
    <w:rsid w:val="674D385B"/>
    <w:rsid w:val="676F09E1"/>
    <w:rsid w:val="67902B07"/>
    <w:rsid w:val="71793A80"/>
    <w:rsid w:val="7357290B"/>
    <w:rsid w:val="738A184E"/>
    <w:rsid w:val="74153F1C"/>
    <w:rsid w:val="746A707F"/>
    <w:rsid w:val="798524E4"/>
    <w:rsid w:val="7A7F1C49"/>
    <w:rsid w:val="7A836FAB"/>
    <w:rsid w:val="7A92322A"/>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样式2"/>
    <w:basedOn w:val="1"/>
    <w:qFormat/>
    <w:uiPriority w:val="0"/>
    <w:pPr>
      <w:tabs>
        <w:tab w:val="center" w:pos="6979"/>
      </w:tabs>
      <w:ind w:firstLine="640" w:firstLineChars="200"/>
    </w:pPr>
    <w:rPr>
      <w:rFonts w:ascii="仿宋_GB2312" w:eastAsia="仿宋_GB2312"/>
      <w:b/>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6568.03</c:v>
                </c:pt>
                <c:pt idx="1">
                  <c:v>0</c:v>
                </c:pt>
                <c:pt idx="2">
                  <c:v>0</c:v>
                </c:pt>
                <c:pt idx="3">
                  <c:v>0</c:v>
                </c:pt>
                <c:pt idx="4">
                  <c:v>0</c:v>
                </c:pt>
                <c:pt idx="5">
                  <c:v>1170.09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5717.21</c:v>
                </c:pt>
                <c:pt idx="1">
                  <c:v>2007.92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10</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2025-08-27T06:35:00Z</cp:lastPrinted>
  <dcterms:modified xsi:type="dcterms:W3CDTF">2025-09-05T06:05:37Z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