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1.机构设置。根据中共北京市规划和自然资源委员会党组关于印发《北京市规划和自然资源标准化中心职能配置、内设机构和人员编制规定》的通知精神，我中心设立5个科室，分别是综合办公室、研究室、编制一科、编制二科、管理科。</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 xml:space="preserve">2.主要职责。根据市编办《中共北京市委机构编制委员会关于市规划自然资源系统所属事业单位改革有关事项的批复》（京编委〔2021〕123号）文件精神，我中心职责为承担本市国土空间规划、自然资源管理、勘察设计和测绘等标准基础研究、立项编制、审查报批、宣传培训等事务性工作。 </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1164.4</w:t>
      </w:r>
      <w:r>
        <w:rPr>
          <w:rFonts w:hint="eastAsia" w:ascii="仿宋_GB2312" w:eastAsia="仿宋_GB2312"/>
          <w:sz w:val="28"/>
          <w:szCs w:val="28"/>
          <w:lang w:val="en-US" w:eastAsia="zh-CN"/>
        </w:rPr>
        <w:t>0</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减少126.27万元，下降9.78%。</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1164.31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减少126.36万元，下降9.79%</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1164.25</w:t>
      </w:r>
      <w:r>
        <w:rPr>
          <w:rFonts w:hint="eastAsia" w:ascii="仿宋_GB2312" w:eastAsia="仿宋_GB2312"/>
          <w:sz w:val="28"/>
          <w:szCs w:val="28"/>
        </w:rPr>
        <w:t>万元，占收入合计的</w:t>
      </w:r>
      <w:r>
        <w:rPr>
          <w:rFonts w:hint="eastAsia" w:ascii="仿宋_GB2312" w:eastAsia="仿宋_GB2312"/>
          <w:sz w:val="28"/>
          <w:szCs w:val="28"/>
          <w:lang w:eastAsia="zh-CN"/>
        </w:rPr>
        <w:t>99.99%。</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1119.25</w:t>
      </w:r>
      <w:r>
        <w:rPr>
          <w:rFonts w:hint="eastAsia" w:ascii="仿宋_GB2312" w:eastAsia="仿宋_GB2312"/>
          <w:sz w:val="28"/>
          <w:szCs w:val="28"/>
        </w:rPr>
        <w:t>万元，占收入合计的</w:t>
      </w:r>
      <w:r>
        <w:rPr>
          <w:rFonts w:hint="eastAsia" w:ascii="仿宋_GB2312" w:eastAsia="仿宋_GB2312"/>
          <w:sz w:val="28"/>
          <w:szCs w:val="28"/>
          <w:lang w:eastAsia="zh-CN"/>
        </w:rPr>
        <w:t>96.13</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45</w:t>
      </w:r>
      <w:r>
        <w:rPr>
          <w:rFonts w:hint="eastAsia" w:ascii="仿宋_GB2312" w:eastAsia="仿宋_GB2312"/>
          <w:sz w:val="28"/>
          <w:szCs w:val="28"/>
        </w:rPr>
        <w:t>万元，占收入合计的</w:t>
      </w:r>
      <w:r>
        <w:rPr>
          <w:rFonts w:hint="eastAsia" w:ascii="仿宋_GB2312" w:eastAsia="仿宋_GB2312"/>
          <w:sz w:val="28"/>
          <w:szCs w:val="28"/>
          <w:lang w:eastAsia="zh-CN"/>
        </w:rPr>
        <w:t>3.86</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rPr>
        <w:t>6.</w:t>
      </w:r>
      <w:r>
        <w:rPr>
          <w:rFonts w:hint="eastAsia" w:ascii="仿宋_GB2312" w:eastAsia="仿宋_GB2312"/>
          <w:sz w:val="28"/>
          <w:szCs w:val="28"/>
          <w:highlight w:val="none"/>
        </w:rPr>
        <w:t>其他收入</w:t>
      </w:r>
      <w:r>
        <w:rPr>
          <w:rFonts w:ascii="仿宋_GB2312" w:eastAsia="仿宋_GB2312"/>
          <w:sz w:val="28"/>
          <w:szCs w:val="28"/>
          <w:highlight w:val="none"/>
        </w:rPr>
        <w:t>0.06</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0.01</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1130.53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减少152.37万元，下降11.88%，其中：基本支出</w:t>
      </w:r>
      <w:r>
        <w:rPr>
          <w:rFonts w:ascii="仿宋_GB2312" w:eastAsia="仿宋_GB2312"/>
          <w:sz w:val="28"/>
          <w:szCs w:val="28"/>
        </w:rPr>
        <w:t>589.11</w:t>
      </w:r>
      <w:r>
        <w:rPr>
          <w:rFonts w:hint="eastAsia" w:ascii="仿宋_GB2312" w:eastAsia="仿宋_GB2312"/>
          <w:sz w:val="28"/>
          <w:szCs w:val="28"/>
        </w:rPr>
        <w:t>万元，占支出合计的</w:t>
      </w:r>
      <w:r>
        <w:rPr>
          <w:rFonts w:hint="eastAsia" w:ascii="仿宋_GB2312" w:eastAsia="仿宋_GB2312"/>
          <w:sz w:val="28"/>
          <w:szCs w:val="28"/>
          <w:lang w:eastAsia="zh-CN"/>
        </w:rPr>
        <w:t>52.11</w:t>
      </w:r>
      <w:r>
        <w:rPr>
          <w:rFonts w:hint="eastAsia" w:ascii="仿宋_GB2312" w:eastAsia="仿宋_GB2312"/>
          <w:sz w:val="28"/>
          <w:szCs w:val="28"/>
        </w:rPr>
        <w:t>%；项目支出</w:t>
      </w:r>
      <w:r>
        <w:rPr>
          <w:rFonts w:ascii="仿宋_GB2312" w:eastAsia="仿宋_GB2312"/>
          <w:sz w:val="28"/>
          <w:szCs w:val="28"/>
        </w:rPr>
        <w:t>541.42</w:t>
      </w:r>
      <w:r>
        <w:rPr>
          <w:rFonts w:hint="eastAsia" w:ascii="仿宋_GB2312" w:eastAsia="仿宋_GB2312"/>
          <w:sz w:val="28"/>
          <w:szCs w:val="28"/>
        </w:rPr>
        <w:t>万元，占支出合计的</w:t>
      </w:r>
      <w:r>
        <w:rPr>
          <w:rFonts w:hint="eastAsia" w:ascii="仿宋_GB2312" w:eastAsia="仿宋_GB2312"/>
          <w:sz w:val="28"/>
          <w:szCs w:val="28"/>
          <w:lang w:eastAsia="zh-CN"/>
        </w:rPr>
        <w:t>47.89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1164.25</w:t>
      </w:r>
      <w:r>
        <w:rPr>
          <w:rFonts w:hint="eastAsia" w:ascii="仿宋_GB2312" w:eastAsia="仿宋_GB2312"/>
          <w:sz w:val="28"/>
          <w:szCs w:val="28"/>
        </w:rPr>
        <w:t>万元，比上年减少126.33万元，下降9.79%。主要原因：加强预算绩效管理，减少项目预算。</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1085.44</w:t>
      </w:r>
      <w:r>
        <w:rPr>
          <w:rFonts w:hint="eastAsia" w:ascii="仿宋_GB2312" w:eastAsia="仿宋_GB2312"/>
          <w:sz w:val="28"/>
          <w:szCs w:val="28"/>
        </w:rPr>
        <w:t>万元，主要用于以下方面（按大类）：社会保障和就业支出66.37万元，占本年财政拨款支出6.11%；卫生健康支出41.66万元，占本年财政拨款支出3.84%；自然资源海洋气象等支出977.41万元，占本年财政拨款支出90.05%。</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64.34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年度决算66.37万元，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103.16</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64.34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66.37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103.16</w:t>
      </w:r>
      <w:r>
        <w:rPr>
          <w:rFonts w:hint="eastAsia" w:ascii="仿宋_GB2312" w:eastAsia="仿宋_GB2312"/>
          <w:sz w:val="28"/>
          <w:szCs w:val="28"/>
        </w:rPr>
        <w:t>%。主要原因：人员增资，社会保险费增加。。</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39.76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年度决算41.66万元，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104.78</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39.76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年度决算41.66万元，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104.78</w:t>
      </w:r>
      <w:r>
        <w:rPr>
          <w:rFonts w:hint="eastAsia" w:ascii="仿宋_GB2312" w:eastAsia="仿宋_GB2312"/>
          <w:sz w:val="28"/>
          <w:szCs w:val="28"/>
        </w:rPr>
        <w:t>%。主要原因：人员增资，社会保险费增加。</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、“自然资源海洋气象等支出”(类)202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927.37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977.41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105.40</w:t>
      </w:r>
      <w:r>
        <w:rPr>
          <w:rFonts w:hint="eastAsia" w:ascii="仿宋_GB2312" w:eastAsia="仿宋_GB2312"/>
          <w:sz w:val="28"/>
          <w:szCs w:val="28"/>
        </w:rPr>
        <w:t>%。其中：</w:t>
      </w:r>
    </w:p>
    <w:p>
      <w:pPr>
        <w:spacing w:line="580" w:lineRule="exact"/>
        <w:ind w:firstLine="560" w:firstLineChars="200"/>
      </w:pPr>
      <w:r>
        <w:rPr>
          <w:rFonts w:hint="eastAsia" w:ascii="仿宋_GB2312" w:eastAsia="仿宋_GB2312"/>
          <w:sz w:val="28"/>
          <w:szCs w:val="28"/>
        </w:rPr>
        <w:t>“自然资源事务”（款）202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927.37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977.41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105.40</w:t>
      </w:r>
      <w:r>
        <w:rPr>
          <w:rFonts w:hint="eastAsia" w:ascii="仿宋_GB2312" w:eastAsia="仿宋_GB2312"/>
          <w:sz w:val="28"/>
          <w:szCs w:val="28"/>
        </w:rPr>
        <w:t>%。主要原因：人员增资，社会保险费增加。</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45</w:t>
      </w:r>
      <w:r>
        <w:rPr>
          <w:rFonts w:hint="eastAsia" w:ascii="仿宋_GB2312" w:eastAsia="仿宋_GB2312"/>
          <w:sz w:val="28"/>
          <w:szCs w:val="28"/>
          <w:lang w:val="en-US" w:eastAsia="zh-CN"/>
        </w:rPr>
        <w:t>.00</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45.00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outlineLvl w:val="9"/>
        <w:rPr>
          <w:rFonts w:hint="eastAsia" w:ascii="仿宋_GB2312" w:eastAsia="仿宋_GB2312"/>
          <w:sz w:val="28"/>
          <w:szCs w:val="28"/>
        </w:rPr>
      </w:pPr>
      <w:r>
        <w:rPr>
          <w:rFonts w:hint="eastAsia" w:ascii="仿宋_GB2312" w:eastAsia="仿宋_GB2312"/>
          <w:sz w:val="28"/>
          <w:szCs w:val="28"/>
        </w:rPr>
        <w:t>“城乡社区支出”（类）202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45.00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45.00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“国有土地使用权出让收入安排的支出”（款）202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45.00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45.00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%。主要原因：按照年度预算执行。</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年度国有资本经营预算财政拨款收入总计0万元</w:t>
      </w:r>
      <w:bookmarkStart w:id="0" w:name="_GoBack"/>
      <w:bookmarkEnd w:id="0"/>
      <w:r>
        <w:rPr>
          <w:rFonts w:hint="eastAsia" w:ascii="仿宋_GB2312" w:eastAsia="仿宋_GB2312"/>
          <w:sz w:val="28"/>
          <w:szCs w:val="28"/>
        </w:rPr>
        <w:t>，国有资本经营预算财政拨款支出总计0万元。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589.11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本单位无此项经费</w:t>
      </w:r>
      <w:r>
        <w:rPr>
          <w:rFonts w:hint="eastAsia" w:ascii="仿宋_GB2312" w:eastAsia="仿宋_GB2312"/>
          <w:sz w:val="28"/>
          <w:szCs w:val="28"/>
        </w:rPr>
        <w:t>。</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36.25</w:t>
      </w:r>
      <w:r>
        <w:rPr>
          <w:rFonts w:hint="eastAsia" w:ascii="仿宋_GB2312" w:eastAsia="仿宋_GB2312"/>
          <w:sz w:val="28"/>
          <w:szCs w:val="28"/>
        </w:rPr>
        <w:t>万元，比上年增加</w:t>
      </w:r>
      <w:r>
        <w:rPr>
          <w:rFonts w:hint="eastAsia" w:ascii="仿宋_GB2312" w:eastAsia="仿宋_GB2312"/>
          <w:sz w:val="28"/>
          <w:szCs w:val="28"/>
          <w:lang w:val="en-US" w:eastAsia="zh-CN"/>
        </w:rPr>
        <w:t>8.85</w:t>
      </w:r>
      <w:r>
        <w:rPr>
          <w:rFonts w:hint="eastAsia" w:ascii="仿宋_GB2312" w:eastAsia="仿宋_GB2312"/>
          <w:sz w:val="28"/>
          <w:szCs w:val="28"/>
        </w:rPr>
        <w:t>万元，增加原因：设备维修、差旅等费用增加。</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6.74</w:t>
      </w:r>
      <w:r>
        <w:rPr>
          <w:rFonts w:hint="eastAsia" w:ascii="仿宋_GB2312" w:eastAsia="仿宋_GB2312"/>
          <w:sz w:val="28"/>
          <w:szCs w:val="28"/>
        </w:rPr>
        <w:t>万元，其中：政府采购货物支出</w:t>
      </w:r>
      <w:r>
        <w:rPr>
          <w:rFonts w:ascii="仿宋_GB2312" w:eastAsia="仿宋_GB2312"/>
          <w:sz w:val="28"/>
          <w:szCs w:val="28"/>
        </w:rPr>
        <w:t>6.74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0</w:t>
      </w:r>
      <w:r>
        <w:rPr>
          <w:rFonts w:hint="eastAsia" w:ascii="仿宋_GB2312" w:eastAsia="仿宋_GB2312"/>
          <w:sz w:val="28"/>
          <w:szCs w:val="28"/>
        </w:rPr>
        <w:t>万元。授予中小企业合同金额</w:t>
      </w:r>
      <w:r>
        <w:rPr>
          <w:rFonts w:ascii="仿宋_GB2312" w:eastAsia="仿宋_GB2312"/>
          <w:sz w:val="28"/>
          <w:szCs w:val="28"/>
        </w:rPr>
        <w:t>6.74</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6.74</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12月31日，北京市规划和自然资源标准化中心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本单位无此项支出。</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7.社会保障和就业支出（类）行政事业单位养老支出（款）行政单位离退休（项）：反映行政单位（包括实行公务员管理的事业单位）开支的离退休经费。</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8.社会保障和就业支出（类）行政事业单位养老支出（款）事业单位离退休（项）：反映事业单位开支的离退休经费。</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9.社会保障和就业支出（类）行政事业单位养老支出（款）机关事业单位基本养老保险缴费支出（项）：反映机关事业单位实施养老保险制度由单位缴纳的基本养老保险费支出。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10.社会保障和就业支出（类）行政事业单位养老支出（款）机关事业单位职业年金缴费支出（项）：反映机关事业单位实施养老保险制度由单位实际缴纳的职业年金支出（含职业年金补记支出）。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11.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12.自然资源海洋气象等支出（类）自然资源事务（款）行政运行（项）：反映行政单位（包括实行公务员管理的事业单位）的基本支出。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13.自然资源海洋气象等支出（类）自然资源事务（款）自然资源规划及管理（项）：反映用于国土空间规划、国土空间开发适宜性评价等方面的支出。</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14.自然资源海洋气象等支出（类）自然资源事务（款）其他自然资源事务支出（项）：反映除上述项目以外其他用于自然资源事务方面的支出。</w:t>
      </w:r>
    </w:p>
    <w:p>
      <w:pPr>
        <w:ind w:firstLine="560" w:firstLineChars="200"/>
        <w:rPr>
          <w:rFonts w:hint="eastAsia" w:ascii="仿宋_GB2312" w:hAnsi="宋体" w:eastAsia="仿宋_GB2312" w:cs="Times New Roman"/>
          <w:sz w:val="28"/>
          <w:szCs w:val="28"/>
        </w:rPr>
      </w:pPr>
      <w:r>
        <w:rPr>
          <w:rFonts w:hint="eastAsia" w:ascii="仿宋_GB2312" w:hAnsi="宋体" w:eastAsia="仿宋_GB2312" w:cs="Times New Roman"/>
          <w:sz w:val="28"/>
          <w:szCs w:val="28"/>
          <w:lang w:val="en-US" w:eastAsia="zh-CN"/>
        </w:rPr>
        <w:t>15.城乡社区支出（类）国有土地使用权出让收入安排的支出（款）农业农村生态环境支出（项）：反映土地出让收入用于农村人居环境整治、与农业农村直接相关的山水林田湖草生态保护修复等方面的支出。</w:t>
      </w: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pPr>
        <w:spacing w:line="4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自评表详见附件</w:t>
      </w:r>
      <w:r>
        <w:rPr>
          <w:rFonts w:hint="eastAsia" w:ascii="仿宋_GB2312" w:hAnsi="仿宋_GB2312" w:eastAsia="仿宋_GB2312" w:cs="仿宋_GB2312"/>
          <w:sz w:val="32"/>
          <w:szCs w:val="32"/>
          <w:lang w:val="en-US" w:eastAsia="zh-CN"/>
        </w:rPr>
        <w:t>2</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285C79"/>
    <w:rsid w:val="079004AC"/>
    <w:rsid w:val="0BA148CA"/>
    <w:rsid w:val="0C1165C4"/>
    <w:rsid w:val="0D6D544B"/>
    <w:rsid w:val="0DD136FE"/>
    <w:rsid w:val="0F8E2C57"/>
    <w:rsid w:val="1059665E"/>
    <w:rsid w:val="10AC13BA"/>
    <w:rsid w:val="145A6C1B"/>
    <w:rsid w:val="14B73493"/>
    <w:rsid w:val="167A2FF9"/>
    <w:rsid w:val="18581C69"/>
    <w:rsid w:val="1AEC0734"/>
    <w:rsid w:val="1DEF20B0"/>
    <w:rsid w:val="1DFB43EA"/>
    <w:rsid w:val="214243FA"/>
    <w:rsid w:val="21AD613C"/>
    <w:rsid w:val="22467189"/>
    <w:rsid w:val="257A14F5"/>
    <w:rsid w:val="27196C26"/>
    <w:rsid w:val="27C14519"/>
    <w:rsid w:val="29EF086F"/>
    <w:rsid w:val="2A6A0513"/>
    <w:rsid w:val="2EFFE297"/>
    <w:rsid w:val="301437CA"/>
    <w:rsid w:val="349D1F0A"/>
    <w:rsid w:val="34DD0473"/>
    <w:rsid w:val="36047138"/>
    <w:rsid w:val="3C684897"/>
    <w:rsid w:val="3D6A7D31"/>
    <w:rsid w:val="3E124751"/>
    <w:rsid w:val="433E495C"/>
    <w:rsid w:val="489F2FD7"/>
    <w:rsid w:val="4AC27CB3"/>
    <w:rsid w:val="4BF72BEF"/>
    <w:rsid w:val="4CD365C6"/>
    <w:rsid w:val="4FA90297"/>
    <w:rsid w:val="4FC41A43"/>
    <w:rsid w:val="507A608E"/>
    <w:rsid w:val="51DB3C59"/>
    <w:rsid w:val="52203109"/>
    <w:rsid w:val="550C0952"/>
    <w:rsid w:val="55762E42"/>
    <w:rsid w:val="57A7B272"/>
    <w:rsid w:val="58470068"/>
    <w:rsid w:val="58747CAC"/>
    <w:rsid w:val="5A1720F9"/>
    <w:rsid w:val="5B9C37C2"/>
    <w:rsid w:val="5BA7C654"/>
    <w:rsid w:val="5C70294C"/>
    <w:rsid w:val="60A54109"/>
    <w:rsid w:val="616922EF"/>
    <w:rsid w:val="61D01CDF"/>
    <w:rsid w:val="64C0607C"/>
    <w:rsid w:val="65756C86"/>
    <w:rsid w:val="658C1046"/>
    <w:rsid w:val="66FE4615"/>
    <w:rsid w:val="674D385B"/>
    <w:rsid w:val="676F09E1"/>
    <w:rsid w:val="70AF4923"/>
    <w:rsid w:val="71793A80"/>
    <w:rsid w:val="7357290B"/>
    <w:rsid w:val="7935D424"/>
    <w:rsid w:val="798524E4"/>
    <w:rsid w:val="7A7F1C49"/>
    <w:rsid w:val="7A83328A"/>
    <w:rsid w:val="7B5B7AE6"/>
    <w:rsid w:val="7B7B6628"/>
    <w:rsid w:val="7BA7071E"/>
    <w:rsid w:val="7BDF6DA8"/>
    <w:rsid w:val="7C3F7F7A"/>
    <w:rsid w:val="7C7EDC1A"/>
    <w:rsid w:val="7CCED98D"/>
    <w:rsid w:val="7D08410F"/>
    <w:rsid w:val="7DB96DED"/>
    <w:rsid w:val="7DD3AD81"/>
    <w:rsid w:val="7E42176C"/>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1164.25</c:v>
                </c:pt>
                <c:pt idx="1">
                  <c:v>0</c:v>
                </c:pt>
                <c:pt idx="2">
                  <c:v>0</c:v>
                </c:pt>
                <c:pt idx="3">
                  <c:v>0</c:v>
                </c:pt>
                <c:pt idx="4">
                  <c:v>0</c:v>
                </c:pt>
                <c:pt idx="5">
                  <c:v>0.06</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589.11</c:v>
                </c:pt>
                <c:pt idx="1">
                  <c:v>541.42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1080</TotalTime>
  <ScaleCrop>false</ScaleCrop>
  <LinksUpToDate>false</LinksUpToDate>
  <CharactersWithSpaces>5802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刘金</cp:lastModifiedBy>
  <cp:lastPrinted>2020-08-08T03:39:00Z</cp:lastPrinted>
  <dcterms:modified xsi:type="dcterms:W3CDTF">2025-09-01T02:18:33Z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