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spacing w:line="560" w:lineRule="exact"/>
        <w:ind w:firstLine="560" w:firstLineChars="200"/>
        <w:rPr>
          <w:rFonts w:hint="eastAsia" w:ascii="楷体_GB2312" w:eastAsia="楷体_GB2312"/>
          <w:color w:val="000000"/>
          <w:sz w:val="28"/>
          <w:szCs w:val="28"/>
          <w:u w:val="none"/>
        </w:rPr>
      </w:pPr>
      <w:r>
        <w:rPr>
          <w:rFonts w:hint="eastAsia" w:ascii="楷体_GB2312" w:eastAsia="楷体_GB2312"/>
          <w:color w:val="000000"/>
          <w:sz w:val="28"/>
          <w:szCs w:val="28"/>
          <w:u w:val="none"/>
        </w:rPr>
        <w:t>（一）本单位性质、职责等情况</w:t>
      </w:r>
    </w:p>
    <w:p>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北京市城市建设档案馆成立于1981年5月，是国家专业档案馆，由北京市规划和自然资源委员会归口领导，单位性质为公益一类事业单位。</w:t>
      </w:r>
    </w:p>
    <w:p>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北京市城市建设档案馆的主要职责：负责收集、汇交、整理、保管本市有关城市建设档案、地质资料等自然资源管理方面的档案资料，以及相关档案资料的编辑、研究、技术处理和利用工作；承担市规划自然资源委机关档案的收集、保管和利用等事务性工作。</w:t>
      </w:r>
    </w:p>
    <w:p>
      <w:pPr>
        <w:numPr>
          <w:ilvl w:val="0"/>
          <w:numId w:val="1"/>
        </w:numPr>
        <w:ind w:firstLine="560" w:firstLineChars="200"/>
        <w:rPr>
          <w:rFonts w:hint="eastAsia" w:ascii="楷体_GB2312" w:eastAsia="楷体_GB2312"/>
          <w:color w:val="000000"/>
          <w:sz w:val="28"/>
          <w:szCs w:val="28"/>
          <w:u w:val="none"/>
        </w:rPr>
      </w:pPr>
      <w:r>
        <w:rPr>
          <w:rFonts w:hint="eastAsia" w:ascii="楷体_GB2312" w:eastAsia="楷体_GB2312"/>
          <w:color w:val="000000"/>
          <w:sz w:val="28"/>
          <w:szCs w:val="28"/>
          <w:u w:val="none"/>
        </w:rPr>
        <w:t>机构设置情况</w:t>
      </w:r>
    </w:p>
    <w:p>
      <w:pPr>
        <w:numPr>
          <w:ilvl w:val="0"/>
          <w:numId w:val="0"/>
        </w:numPr>
        <w:ind w:firstLine="560" w:firstLineChars="200"/>
        <w:rPr>
          <w:rFonts w:hint="eastAsia"/>
          <w:sz w:val="28"/>
          <w:szCs w:val="28"/>
        </w:rPr>
      </w:pPr>
      <w:r>
        <w:rPr>
          <w:rFonts w:hint="eastAsia" w:ascii="仿宋_GB2312" w:eastAsia="仿宋_GB2312"/>
          <w:sz w:val="28"/>
          <w:szCs w:val="28"/>
          <w:highlight w:val="none"/>
        </w:rPr>
        <w:t>北京市城市建设档案馆下设14个科室：办公室、党建人事科、财务科、总务科、信息化室、建设工程档案指导接收室、建设工程档案利用室、档案保管室、建设工程声像档案管理室、规划和自然资源档案指导接收室、规划和自然资源档案保管利用室、地质资料管理室、技术处理室、综合业务室。</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6264.32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0.08</w:t>
      </w:r>
      <w:r>
        <w:rPr>
          <w:rFonts w:hint="eastAsia" w:ascii="仿宋_GB2312" w:eastAsia="仿宋_GB2312"/>
          <w:sz w:val="28"/>
          <w:szCs w:val="28"/>
        </w:rPr>
        <w:t>万元，</w:t>
      </w:r>
      <w:r>
        <w:rPr>
          <w:rFonts w:hint="eastAsia" w:ascii="仿宋_GB2312" w:eastAsia="仿宋_GB2312"/>
          <w:sz w:val="28"/>
          <w:szCs w:val="28"/>
          <w:lang w:eastAsia="zh-CN"/>
        </w:rPr>
        <w:t>与上年基本持平</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5964.23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103.72</w:t>
      </w:r>
      <w:r>
        <w:rPr>
          <w:rFonts w:hint="eastAsia" w:ascii="仿宋_GB2312" w:eastAsia="仿宋_GB2312"/>
          <w:sz w:val="28"/>
          <w:szCs w:val="28"/>
        </w:rPr>
        <w:t>万元，增长</w:t>
      </w:r>
      <w:r>
        <w:rPr>
          <w:rFonts w:hint="eastAsia" w:ascii="仿宋_GB2312" w:eastAsia="仿宋_GB2312"/>
          <w:sz w:val="28"/>
          <w:szCs w:val="28"/>
          <w:lang w:val="en-US" w:eastAsia="zh-CN"/>
        </w:rPr>
        <w:t>1.77</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5960.9</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eastAsia="zh-CN"/>
        </w:rPr>
        <w:t>99.94%。</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5960.9</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eastAsia="zh-CN"/>
        </w:rPr>
        <w:t>99.94</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3.33</w:t>
      </w:r>
      <w:r>
        <w:rPr>
          <w:rFonts w:hint="eastAsia" w:ascii="仿宋_GB2312" w:eastAsia="仿宋_GB2312"/>
          <w:sz w:val="28"/>
          <w:szCs w:val="28"/>
        </w:rPr>
        <w:t>万元，占收入合计的</w:t>
      </w:r>
      <w:r>
        <w:rPr>
          <w:rFonts w:hint="eastAsia" w:ascii="仿宋_GB2312" w:eastAsia="仿宋_GB2312"/>
          <w:sz w:val="28"/>
          <w:szCs w:val="28"/>
          <w:lang w:eastAsia="zh-CN"/>
        </w:rPr>
        <w:t>0.06</w:t>
      </w:r>
      <w:r>
        <w:rPr>
          <w:rFonts w:hint="eastAsia" w:ascii="仿宋_GB2312" w:eastAsia="仿宋_GB2312"/>
          <w:sz w:val="28"/>
          <w:szCs w:val="28"/>
        </w:rPr>
        <w:t>%。</w:t>
      </w:r>
    </w:p>
    <w:p>
      <w:pPr>
        <w:tabs>
          <w:tab w:val="center" w:pos="6979"/>
        </w:tabs>
        <w:spacing w:line="580" w:lineRule="exact"/>
        <w:ind w:firstLine="640" w:firstLineChars="20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114300" distR="114300">
            <wp:extent cx="3524885" cy="2182495"/>
            <wp:effectExtent l="4445" t="4445" r="13970" b="22860"/>
            <wp:docPr id="6"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5958.37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83.32</w:t>
      </w:r>
      <w:r>
        <w:rPr>
          <w:rFonts w:hint="eastAsia" w:ascii="仿宋_GB2312" w:eastAsia="仿宋_GB2312"/>
          <w:sz w:val="28"/>
          <w:szCs w:val="28"/>
        </w:rPr>
        <w:t>万元，增长</w:t>
      </w:r>
      <w:r>
        <w:rPr>
          <w:rFonts w:hint="eastAsia" w:ascii="仿宋_GB2312" w:eastAsia="仿宋_GB2312"/>
          <w:sz w:val="28"/>
          <w:szCs w:val="28"/>
          <w:lang w:val="en-US" w:eastAsia="zh-CN"/>
        </w:rPr>
        <w:t>1.42</w:t>
      </w:r>
      <w:r>
        <w:rPr>
          <w:rFonts w:hint="eastAsia" w:ascii="仿宋_GB2312" w:eastAsia="仿宋_GB2312"/>
          <w:sz w:val="28"/>
          <w:szCs w:val="28"/>
        </w:rPr>
        <w:t>%，其中：基本支出</w:t>
      </w:r>
      <w:r>
        <w:rPr>
          <w:rFonts w:ascii="仿宋_GB2312" w:eastAsia="仿宋_GB2312"/>
          <w:sz w:val="28"/>
          <w:szCs w:val="28"/>
        </w:rPr>
        <w:t>4498.99</w:t>
      </w:r>
      <w:r>
        <w:rPr>
          <w:rFonts w:hint="eastAsia" w:ascii="仿宋_GB2312" w:eastAsia="仿宋_GB2312"/>
          <w:sz w:val="28"/>
          <w:szCs w:val="28"/>
        </w:rPr>
        <w:t>万元，占支出合计的</w:t>
      </w:r>
      <w:r>
        <w:rPr>
          <w:rFonts w:hint="eastAsia" w:ascii="仿宋_GB2312" w:eastAsia="仿宋_GB2312"/>
          <w:sz w:val="28"/>
          <w:szCs w:val="28"/>
          <w:lang w:eastAsia="zh-CN"/>
        </w:rPr>
        <w:t>75.51</w:t>
      </w:r>
      <w:r>
        <w:rPr>
          <w:rFonts w:hint="eastAsia" w:ascii="仿宋_GB2312" w:eastAsia="仿宋_GB2312"/>
          <w:sz w:val="28"/>
          <w:szCs w:val="28"/>
        </w:rPr>
        <w:t>%；项目支出</w:t>
      </w:r>
      <w:r>
        <w:rPr>
          <w:rFonts w:ascii="仿宋_GB2312" w:eastAsia="仿宋_GB2312"/>
          <w:sz w:val="28"/>
          <w:szCs w:val="28"/>
        </w:rPr>
        <w:t>1459.38</w:t>
      </w:r>
      <w:r>
        <w:rPr>
          <w:rFonts w:hint="eastAsia" w:ascii="仿宋_GB2312" w:eastAsia="仿宋_GB2312"/>
          <w:sz w:val="28"/>
          <w:szCs w:val="28"/>
        </w:rPr>
        <w:t>万元，占支出合计的</w:t>
      </w:r>
      <w:r>
        <w:rPr>
          <w:rFonts w:hint="eastAsia" w:ascii="仿宋_GB2312" w:eastAsia="仿宋_GB2312"/>
          <w:sz w:val="28"/>
          <w:szCs w:val="28"/>
          <w:lang w:eastAsia="zh-CN"/>
        </w:rPr>
        <w:t>24.49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object>
          <v:shape id="_x0000_i1025" o:spt="75" alt="oleetimg_1749610407561080_264955904" type="#_x0000_t75" style="height:222.75pt;width:366.75pt;" o:ole="t" filled="f" o:preferrelative="t" stroked="f" coordsize="21600,21600">
            <v:path/>
            <v:fill on="f" focussize="0,0"/>
            <v:stroke on="f"/>
            <v:imagedata r:id="rId9" o:title="oleetimg_1749610407561080_264955904"/>
            <o:lock v:ext="edit" aspectratio="f"/>
            <w10:wrap type="none"/>
            <w10:anchorlock/>
          </v:shape>
          <o:OLEObject Type="Embed" ProgID="excel.sheet.8" ShapeID="_x0000_i1025" DrawAspect="Content" ObjectID="_1468075725" r:id="rId8">
            <o:LockedField>false</o:LockedField>
          </o:OLEObject>
        </w:objec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5960.9</w:t>
      </w:r>
      <w:r>
        <w:rPr>
          <w:rFonts w:hint="eastAsia" w:ascii="仿宋_GB2312" w:eastAsia="仿宋_GB2312"/>
          <w:sz w:val="28"/>
          <w:szCs w:val="28"/>
          <w:lang w:val="en-US" w:eastAsia="zh-CN"/>
        </w:rPr>
        <w:t>0</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106.58</w:t>
      </w:r>
      <w:r>
        <w:rPr>
          <w:rFonts w:hint="eastAsia" w:ascii="仿宋_GB2312" w:eastAsia="仿宋_GB2312"/>
          <w:sz w:val="28"/>
          <w:szCs w:val="28"/>
        </w:rPr>
        <w:t>万元，增长</w:t>
      </w:r>
      <w:r>
        <w:rPr>
          <w:rFonts w:hint="eastAsia" w:ascii="仿宋_GB2312" w:eastAsia="仿宋_GB2312"/>
          <w:sz w:val="28"/>
          <w:szCs w:val="28"/>
          <w:lang w:val="en-US" w:eastAsia="zh-CN"/>
        </w:rPr>
        <w:t>1.82</w:t>
      </w:r>
      <w:r>
        <w:rPr>
          <w:rFonts w:hint="eastAsia" w:ascii="仿宋_GB2312" w:eastAsia="仿宋_GB2312"/>
          <w:sz w:val="28"/>
          <w:szCs w:val="28"/>
        </w:rPr>
        <w:t>%。主要原因：</w:t>
      </w:r>
      <w:r>
        <w:rPr>
          <w:rFonts w:hint="eastAsia" w:ascii="仿宋_GB2312" w:hAnsi="Times New Roman" w:eastAsia="仿宋_GB2312" w:cs="Times New Roman"/>
          <w:sz w:val="28"/>
          <w:szCs w:val="28"/>
          <w:lang w:val="en-US" w:eastAsia="zh-CN"/>
        </w:rPr>
        <w:t>2024年</w:t>
      </w:r>
      <w:r>
        <w:rPr>
          <w:rFonts w:hint="eastAsia" w:ascii="仿宋_GB2312" w:eastAsia="仿宋_GB2312" w:cs="Times New Roman"/>
          <w:sz w:val="28"/>
          <w:szCs w:val="28"/>
          <w:lang w:val="en-US" w:eastAsia="zh-CN"/>
        </w:rPr>
        <w:t>新增</w:t>
      </w:r>
      <w:r>
        <w:rPr>
          <w:rFonts w:hint="eastAsia" w:ascii="仿宋_GB2312" w:hAnsi="Times New Roman" w:eastAsia="仿宋_GB2312" w:cs="Times New Roman"/>
          <w:sz w:val="28"/>
          <w:szCs w:val="28"/>
          <w:lang w:val="en-US" w:eastAsia="zh-CN"/>
        </w:rPr>
        <w:t>在职人员</w:t>
      </w:r>
      <w:r>
        <w:rPr>
          <w:rFonts w:hint="eastAsia" w:ascii="仿宋_GB2312" w:eastAsia="仿宋_GB2312" w:cs="Times New Roman"/>
          <w:sz w:val="28"/>
          <w:szCs w:val="28"/>
          <w:lang w:val="en-US" w:eastAsia="zh-CN"/>
        </w:rPr>
        <w:t>及去世职工</w:t>
      </w:r>
      <w:r>
        <w:rPr>
          <w:rFonts w:hint="eastAsia" w:ascii="仿宋_GB2312" w:hAnsi="Times New Roman" w:eastAsia="仿宋_GB2312" w:cs="Times New Roman"/>
          <w:sz w:val="28"/>
          <w:szCs w:val="28"/>
          <w:lang w:val="en-US" w:eastAsia="zh-CN"/>
        </w:rPr>
        <w:t>抚恤金支出。</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5872.8</w:t>
      </w:r>
      <w:r>
        <w:rPr>
          <w:rFonts w:hint="eastAsia" w:ascii="仿宋_GB2312" w:eastAsia="仿宋_GB2312"/>
          <w:sz w:val="28"/>
          <w:szCs w:val="28"/>
          <w:lang w:val="en-US" w:eastAsia="zh-CN"/>
        </w:rPr>
        <w:t>0</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w:t>
      </w:r>
      <w:r>
        <w:rPr>
          <w:rFonts w:hint="eastAsia" w:ascii="仿宋_GB2312" w:eastAsia="仿宋_GB2312"/>
          <w:sz w:val="28"/>
          <w:szCs w:val="28"/>
          <w:lang w:val="en-US" w:eastAsia="zh-CN"/>
        </w:rPr>
        <w:t>支出0.17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0.01</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534.30万元，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9.10</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261.09万元，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4.44</w:t>
      </w:r>
      <w:r>
        <w:rPr>
          <w:rFonts w:hint="eastAsia" w:ascii="仿宋_GB2312" w:eastAsia="仿宋_GB2312"/>
          <w:sz w:val="28"/>
          <w:szCs w:val="28"/>
        </w:rPr>
        <w:t>%</w:t>
      </w:r>
      <w:r>
        <w:rPr>
          <w:rFonts w:hint="eastAsia" w:ascii="仿宋_GB2312" w:eastAsia="仿宋_GB2312"/>
          <w:sz w:val="28"/>
          <w:szCs w:val="28"/>
          <w:lang w:eastAsia="zh-CN"/>
        </w:rPr>
        <w:t>；自然资源海洋气象等支出</w:t>
      </w:r>
      <w:r>
        <w:rPr>
          <w:rFonts w:hint="eastAsia" w:ascii="仿宋_GB2312" w:eastAsia="仿宋_GB2312"/>
          <w:sz w:val="28"/>
          <w:szCs w:val="28"/>
          <w:lang w:val="en-US" w:eastAsia="zh-CN"/>
        </w:rPr>
        <w:t>5077.24万元，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86.45</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rPr>
      </w:pPr>
      <w:r>
        <w:rPr>
          <w:rFonts w:hint="eastAsia" w:ascii="仿宋_GB2312" w:eastAsia="仿宋_GB2312"/>
          <w:sz w:val="28"/>
          <w:szCs w:val="28"/>
          <w:lang w:val="en-US" w:eastAsia="zh-CN"/>
        </w:rPr>
        <w:t>1</w:t>
      </w:r>
      <w:r>
        <w:rPr>
          <w:rFonts w:hint="eastAsia" w:ascii="仿宋_GB2312" w:eastAsia="仿宋_GB2312"/>
          <w:sz w:val="28"/>
          <w:szCs w:val="28"/>
        </w:rPr>
        <w:t>、“</w:t>
      </w:r>
      <w:r>
        <w:rPr>
          <w:rFonts w:hint="eastAsia" w:ascii="仿宋_GB2312" w:hAnsi="Times New Roman" w:eastAsia="仿宋_GB2312" w:cs="Times New Roman"/>
          <w:sz w:val="28"/>
          <w:szCs w:val="28"/>
          <w:lang w:eastAsia="zh-CN"/>
        </w:rPr>
        <w:t>教育</w:t>
      </w:r>
      <w:r>
        <w:rPr>
          <w:rFonts w:hint="eastAsia" w:ascii="仿宋_GB2312" w:hAnsi="Times New Roman" w:eastAsia="仿宋_GB2312" w:cs="Times New Roman"/>
          <w:sz w:val="28"/>
          <w:szCs w:val="28"/>
          <w:lang w:val="en-US" w:eastAsia="zh-CN"/>
        </w:rPr>
        <w:t>支出</w:t>
      </w:r>
      <w:r>
        <w:rPr>
          <w:rFonts w:hint="eastAsia" w:ascii="仿宋_GB2312" w:hAnsi="Times New Roman" w:eastAsia="仿宋_GB2312" w:cs="Times New Roman"/>
          <w:sz w:val="28"/>
          <w:szCs w:val="28"/>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0.17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5.96</w:t>
      </w:r>
      <w:r>
        <w:rPr>
          <w:rFonts w:hint="eastAsia" w:ascii="仿宋_GB2312" w:eastAsia="仿宋_GB2312"/>
          <w:sz w:val="28"/>
          <w:szCs w:val="28"/>
        </w:rPr>
        <w:t>%。</w:t>
      </w:r>
      <w:r>
        <w:rPr>
          <w:rFonts w:hint="eastAsia" w:ascii="仿宋_GB2312" w:hAnsi="Times New Roman" w:eastAsia="仿宋_GB2312" w:cs="Times New Roman"/>
          <w:sz w:val="28"/>
          <w:szCs w:val="28"/>
        </w:rPr>
        <w:t>其中：</w:t>
      </w:r>
    </w:p>
    <w:p>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eastAsia="zh-CN"/>
        </w:rPr>
        <w:t>进修及培训</w:t>
      </w:r>
      <w:r>
        <w:rPr>
          <w:rFonts w:hint="eastAsia" w:ascii="仿宋_GB2312" w:hAnsi="Times New Roman" w:eastAsia="仿宋_GB2312" w:cs="Times New Roman"/>
          <w:sz w:val="28"/>
          <w:szCs w:val="28"/>
        </w:rPr>
        <w:t>”（款）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0.17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5.96</w:t>
      </w:r>
      <w:r>
        <w:rPr>
          <w:rFonts w:hint="eastAsia" w:ascii="仿宋_GB2312" w:eastAsia="仿宋_GB2312"/>
          <w:sz w:val="28"/>
          <w:szCs w:val="28"/>
        </w:rPr>
        <w:t>%。</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sz w:val="28"/>
          <w:szCs w:val="28"/>
          <w:lang w:val="en-US" w:eastAsia="zh-CN"/>
        </w:rPr>
        <w:t>厉行勤俭节约要求，严格</w:t>
      </w:r>
      <w:r>
        <w:rPr>
          <w:rFonts w:hint="eastAsia" w:ascii="仿宋_GB2312" w:eastAsia="仿宋_GB2312" w:cs="Times New Roman"/>
          <w:sz w:val="28"/>
          <w:szCs w:val="28"/>
          <w:lang w:val="en-US" w:eastAsia="zh-CN"/>
        </w:rPr>
        <w:t>按照培训标准执行</w:t>
      </w:r>
      <w:r>
        <w:rPr>
          <w:rFonts w:hint="eastAsia" w:ascii="仿宋_GB2312" w:hAnsi="Times New Roman" w:eastAsia="仿宋_GB2312" w:cs="Times New Roman"/>
          <w:sz w:val="28"/>
          <w:szCs w:val="28"/>
        </w:rPr>
        <w:t>。</w:t>
      </w:r>
    </w:p>
    <w:p>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2、“社会保障和就业支出”(类)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486.29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534.30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109.87</w:t>
      </w:r>
      <w:r>
        <w:rPr>
          <w:rFonts w:hint="eastAsia" w:ascii="仿宋_GB2312" w:eastAsia="仿宋_GB2312"/>
          <w:sz w:val="28"/>
          <w:szCs w:val="28"/>
        </w:rPr>
        <w:t>%。</w:t>
      </w:r>
      <w:r>
        <w:rPr>
          <w:rFonts w:hint="eastAsia" w:ascii="仿宋_GB2312" w:hAnsi="Times New Roman" w:eastAsia="仿宋_GB2312" w:cs="Times New Roman"/>
          <w:sz w:val="28"/>
          <w:szCs w:val="28"/>
          <w:lang w:val="en-US" w:eastAsia="zh-CN"/>
        </w:rPr>
        <w:t>其中：</w:t>
      </w:r>
    </w:p>
    <w:p>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“行政事业单位养老支出”（款）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486.29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534.30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109.87</w:t>
      </w:r>
      <w:r>
        <w:rPr>
          <w:rFonts w:hint="eastAsia" w:ascii="仿宋_GB2312" w:eastAsia="仿宋_GB2312"/>
          <w:sz w:val="28"/>
          <w:szCs w:val="28"/>
        </w:rPr>
        <w:t>%。</w:t>
      </w:r>
      <w:r>
        <w:rPr>
          <w:rFonts w:hint="eastAsia" w:ascii="仿宋_GB2312" w:hAnsi="Times New Roman" w:eastAsia="仿宋_GB2312" w:cs="Times New Roman"/>
          <w:sz w:val="28"/>
          <w:szCs w:val="28"/>
          <w:lang w:val="en-US" w:eastAsia="zh-CN"/>
        </w:rPr>
        <w:t>主要原因：2024年</w:t>
      </w:r>
      <w:r>
        <w:rPr>
          <w:rFonts w:hint="eastAsia" w:ascii="仿宋_GB2312" w:eastAsia="仿宋_GB2312" w:cs="Times New Roman"/>
          <w:sz w:val="28"/>
          <w:szCs w:val="28"/>
          <w:lang w:val="en-US" w:eastAsia="zh-CN"/>
        </w:rPr>
        <w:t>新增</w:t>
      </w:r>
      <w:r>
        <w:rPr>
          <w:rFonts w:hint="eastAsia" w:ascii="仿宋_GB2312" w:hAnsi="Times New Roman" w:eastAsia="仿宋_GB2312" w:cs="Times New Roman"/>
          <w:sz w:val="28"/>
          <w:szCs w:val="28"/>
          <w:lang w:val="en-US" w:eastAsia="zh-CN"/>
        </w:rPr>
        <w:t>在职人员</w:t>
      </w:r>
      <w:r>
        <w:rPr>
          <w:rFonts w:hint="eastAsia" w:ascii="仿宋_GB2312" w:eastAsia="仿宋_GB2312" w:cs="Times New Roman"/>
          <w:sz w:val="28"/>
          <w:szCs w:val="28"/>
          <w:lang w:val="en-US" w:eastAsia="zh-CN"/>
        </w:rPr>
        <w:t>3人</w:t>
      </w:r>
      <w:r>
        <w:rPr>
          <w:rFonts w:hint="eastAsia" w:ascii="仿宋_GB2312" w:hAnsi="Times New Roman" w:eastAsia="仿宋_GB2312" w:cs="Times New Roman"/>
          <w:sz w:val="28"/>
          <w:szCs w:val="28"/>
          <w:lang w:val="en-US" w:eastAsia="zh-CN"/>
        </w:rPr>
        <w:t>。</w:t>
      </w:r>
    </w:p>
    <w:p>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3、“卫生健康支出”(类)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235.59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261.09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110.82</w:t>
      </w:r>
      <w:r>
        <w:rPr>
          <w:rFonts w:hint="eastAsia" w:ascii="仿宋_GB2312" w:eastAsia="仿宋_GB2312"/>
          <w:sz w:val="28"/>
          <w:szCs w:val="28"/>
        </w:rPr>
        <w:t>%。</w:t>
      </w:r>
      <w:r>
        <w:rPr>
          <w:rFonts w:hint="eastAsia" w:ascii="仿宋_GB2312" w:hAnsi="Times New Roman" w:eastAsia="仿宋_GB2312" w:cs="Times New Roman"/>
          <w:sz w:val="28"/>
          <w:szCs w:val="28"/>
          <w:lang w:val="en-US" w:eastAsia="zh-CN"/>
        </w:rPr>
        <w:t>其中：</w:t>
      </w:r>
    </w:p>
    <w:p>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“行政事业单位医疗”（款）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235.59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261.09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110.82</w:t>
      </w:r>
      <w:r>
        <w:rPr>
          <w:rFonts w:hint="eastAsia" w:ascii="仿宋_GB2312" w:eastAsia="仿宋_GB2312"/>
          <w:sz w:val="28"/>
          <w:szCs w:val="28"/>
        </w:rPr>
        <w:t>%。</w:t>
      </w:r>
      <w:r>
        <w:rPr>
          <w:rFonts w:hint="eastAsia" w:ascii="仿宋_GB2312" w:hAnsi="Times New Roman" w:eastAsia="仿宋_GB2312" w:cs="Times New Roman"/>
          <w:sz w:val="28"/>
          <w:szCs w:val="28"/>
          <w:lang w:val="en-US" w:eastAsia="zh-CN"/>
        </w:rPr>
        <w:t>主要原因：2024年</w:t>
      </w:r>
      <w:r>
        <w:rPr>
          <w:rFonts w:hint="eastAsia" w:ascii="仿宋_GB2312" w:eastAsia="仿宋_GB2312" w:cs="Times New Roman"/>
          <w:sz w:val="28"/>
          <w:szCs w:val="28"/>
          <w:lang w:val="en-US" w:eastAsia="zh-CN"/>
        </w:rPr>
        <w:t>新增</w:t>
      </w:r>
      <w:r>
        <w:rPr>
          <w:rFonts w:hint="eastAsia" w:ascii="仿宋_GB2312" w:hAnsi="Times New Roman" w:eastAsia="仿宋_GB2312" w:cs="Times New Roman"/>
          <w:sz w:val="28"/>
          <w:szCs w:val="28"/>
          <w:lang w:val="en-US" w:eastAsia="zh-CN"/>
        </w:rPr>
        <w:t>在职人员</w:t>
      </w:r>
      <w:r>
        <w:rPr>
          <w:rFonts w:hint="eastAsia" w:ascii="仿宋_GB2312" w:eastAsia="仿宋_GB2312" w:cs="Times New Roman"/>
          <w:sz w:val="28"/>
          <w:szCs w:val="28"/>
          <w:lang w:val="en-US" w:eastAsia="zh-CN"/>
        </w:rPr>
        <w:t>3人</w:t>
      </w:r>
      <w:r>
        <w:rPr>
          <w:rFonts w:hint="eastAsia" w:ascii="仿宋_GB2312" w:hAnsi="Times New Roman" w:eastAsia="仿宋_GB2312" w:cs="Times New Roman"/>
          <w:sz w:val="28"/>
          <w:szCs w:val="28"/>
          <w:lang w:val="en-US" w:eastAsia="zh-CN"/>
        </w:rPr>
        <w:t>。</w:t>
      </w:r>
    </w:p>
    <w:p>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4、“自然资源海洋气象等支出”(类)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5003.38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5077.24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101.48</w:t>
      </w:r>
      <w:r>
        <w:rPr>
          <w:rFonts w:hint="eastAsia" w:ascii="仿宋_GB2312" w:eastAsia="仿宋_GB2312"/>
          <w:sz w:val="28"/>
          <w:szCs w:val="28"/>
        </w:rPr>
        <w:t>%。</w:t>
      </w:r>
      <w:r>
        <w:rPr>
          <w:rFonts w:hint="eastAsia" w:ascii="仿宋_GB2312" w:hAnsi="Times New Roman" w:eastAsia="仿宋_GB2312" w:cs="Times New Roman"/>
          <w:sz w:val="28"/>
          <w:szCs w:val="28"/>
          <w:lang w:val="en-US" w:eastAsia="zh-CN"/>
        </w:rPr>
        <w:t>其中：</w:t>
      </w:r>
    </w:p>
    <w:p>
      <w:pPr>
        <w:autoSpaceDE w:val="0"/>
        <w:autoSpaceDN w:val="0"/>
        <w:adjustRightInd w:val="0"/>
        <w:spacing w:line="580" w:lineRule="exact"/>
        <w:ind w:firstLine="560" w:firstLineChars="200"/>
        <w:jc w:val="left"/>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“自然资源事务”（款）</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5003.38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5077.24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101.48</w:t>
      </w:r>
      <w:r>
        <w:rPr>
          <w:rFonts w:hint="eastAsia" w:ascii="仿宋_GB2312" w:eastAsia="仿宋_GB2312"/>
          <w:sz w:val="28"/>
          <w:szCs w:val="28"/>
        </w:rPr>
        <w:t>%。</w:t>
      </w:r>
      <w:r>
        <w:rPr>
          <w:rFonts w:hint="eastAsia" w:ascii="仿宋_GB2312" w:hAnsi="Times New Roman" w:eastAsia="仿宋_GB2312" w:cs="Times New Roman"/>
          <w:sz w:val="28"/>
          <w:szCs w:val="28"/>
          <w:lang w:val="en-US" w:eastAsia="zh-CN"/>
        </w:rPr>
        <w:t>主要原因：2024年</w:t>
      </w:r>
      <w:r>
        <w:rPr>
          <w:rFonts w:hint="eastAsia" w:ascii="仿宋_GB2312" w:eastAsia="仿宋_GB2312" w:cs="Times New Roman"/>
          <w:sz w:val="28"/>
          <w:szCs w:val="28"/>
          <w:lang w:val="en-US" w:eastAsia="zh-CN"/>
        </w:rPr>
        <w:t>新增</w:t>
      </w:r>
      <w:r>
        <w:rPr>
          <w:rFonts w:hint="eastAsia" w:ascii="仿宋_GB2312" w:hAnsi="Times New Roman" w:eastAsia="仿宋_GB2312" w:cs="Times New Roman"/>
          <w:sz w:val="28"/>
          <w:szCs w:val="28"/>
          <w:lang w:val="en-US" w:eastAsia="zh-CN"/>
        </w:rPr>
        <w:t>在职人员</w:t>
      </w:r>
      <w:r>
        <w:rPr>
          <w:rFonts w:hint="eastAsia" w:ascii="仿宋_GB2312" w:eastAsia="仿宋_GB2312" w:cs="Times New Roman"/>
          <w:sz w:val="28"/>
          <w:szCs w:val="28"/>
          <w:lang w:val="en-US" w:eastAsia="zh-CN"/>
        </w:rPr>
        <w:t>3人</w:t>
      </w:r>
      <w:r>
        <w:rPr>
          <w:rFonts w:hint="eastAsia" w:ascii="仿宋_GB2312" w:hAnsi="Times New Roman" w:eastAsia="仿宋_GB2312" w:cs="Times New Roman"/>
          <w:sz w:val="28"/>
          <w:szCs w:val="28"/>
          <w:lang w:val="en-US" w:eastAsia="zh-CN"/>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w:t>
      </w:r>
      <w:r>
        <w:rPr>
          <w:rFonts w:hint="eastAsia" w:ascii="仿宋_GB2312" w:eastAsia="仿宋_GB2312"/>
          <w:sz w:val="28"/>
          <w:szCs w:val="28"/>
          <w:lang w:eastAsia="zh-CN"/>
        </w:rPr>
        <w:t>本单位无此项经费。</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w:t>
      </w:r>
      <w:r>
        <w:rPr>
          <w:rFonts w:hint="eastAsia" w:ascii="仿宋_GB2312" w:eastAsia="仿宋_GB2312"/>
          <w:sz w:val="28"/>
          <w:szCs w:val="28"/>
          <w:lang w:eastAsia="zh-CN"/>
        </w:rPr>
        <w:t>本单位无此项经费。</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年度使用一般公共预算财政拨款安排基本支出</w:t>
      </w:r>
      <w:r>
        <w:rPr>
          <w:rFonts w:ascii="仿宋_GB2312" w:eastAsia="仿宋_GB2312"/>
          <w:sz w:val="28"/>
          <w:szCs w:val="28"/>
          <w:highlight w:val="none"/>
        </w:rPr>
        <w:t>4497.25</w:t>
      </w:r>
      <w:r>
        <w:rPr>
          <w:rFonts w:hint="eastAsia" w:ascii="仿宋_GB2312" w:eastAsia="仿宋_GB2312"/>
          <w:sz w:val="28"/>
          <w:szCs w:val="28"/>
          <w:highlight w:val="none"/>
        </w:rPr>
        <w:t>万元，使用政府性基金财政拨款安排基本支出</w:t>
      </w:r>
      <w:r>
        <w:rPr>
          <w:rFonts w:ascii="仿宋_GB2312" w:eastAsia="仿宋_GB2312"/>
          <w:sz w:val="28"/>
          <w:szCs w:val="28"/>
          <w:highlight w:val="none"/>
        </w:rPr>
        <w:t>0</w:t>
      </w:r>
      <w:r>
        <w:rPr>
          <w:rFonts w:hint="eastAsia" w:ascii="仿宋_GB2312" w:eastAsia="仿宋_GB2312"/>
          <w:sz w:val="28"/>
          <w:szCs w:val="28"/>
          <w:highlight w:val="none"/>
        </w:rPr>
        <w:t>万元，（1）工资福利支出包括基本工资</w:t>
      </w:r>
      <w:r>
        <w:rPr>
          <w:rFonts w:ascii="仿宋_GB2312" w:eastAsia="仿宋_GB2312"/>
          <w:sz w:val="28"/>
          <w:szCs w:val="28"/>
          <w:highlight w:val="none"/>
        </w:rPr>
        <w:t>、津贴补贴、奖金、伙食补助费、绩效工资、</w:t>
      </w:r>
      <w:r>
        <w:rPr>
          <w:rFonts w:hint="eastAsia" w:ascii="仿宋_GB2312" w:eastAsia="仿宋_GB2312"/>
          <w:sz w:val="28"/>
          <w:szCs w:val="28"/>
          <w:highlight w:val="none"/>
        </w:rPr>
        <w:t>其他</w:t>
      </w:r>
      <w:r>
        <w:rPr>
          <w:rFonts w:ascii="仿宋_GB2312" w:eastAsia="仿宋_GB2312"/>
          <w:sz w:val="28"/>
          <w:szCs w:val="28"/>
          <w:highlight w:val="none"/>
        </w:rPr>
        <w:t>社会保障缴费、其他工资福利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；（2）商品和服务支出包括</w:t>
      </w:r>
      <w:r>
        <w:rPr>
          <w:rFonts w:ascii="仿宋_GB2312" w:eastAsia="仿宋_GB2312"/>
          <w:sz w:val="28"/>
          <w:szCs w:val="28"/>
          <w:highlight w:val="none"/>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；（3）对个人和家庭补助支出包括</w:t>
      </w:r>
      <w:r>
        <w:rPr>
          <w:rFonts w:ascii="仿宋_GB2312" w:eastAsia="仿宋_GB2312"/>
          <w:sz w:val="28"/>
          <w:szCs w:val="28"/>
          <w:highlight w:val="none"/>
        </w:rPr>
        <w:t>离休费、退休费、抚恤金、生活补助、</w:t>
      </w:r>
      <w:r>
        <w:rPr>
          <w:rFonts w:hint="eastAsia" w:ascii="仿宋_GB2312" w:eastAsia="仿宋_GB2312"/>
          <w:sz w:val="28"/>
          <w:szCs w:val="28"/>
          <w:highlight w:val="none"/>
        </w:rPr>
        <w:t>救济费</w:t>
      </w:r>
      <w:r>
        <w:rPr>
          <w:rFonts w:ascii="仿宋_GB2312" w:eastAsia="仿宋_GB2312"/>
          <w:sz w:val="28"/>
          <w:szCs w:val="28"/>
          <w:highlight w:val="none"/>
        </w:rPr>
        <w:t>、医疗费</w:t>
      </w:r>
      <w:r>
        <w:rPr>
          <w:rFonts w:hint="eastAsia" w:ascii="仿宋_GB2312" w:eastAsia="仿宋_GB2312"/>
          <w:sz w:val="28"/>
          <w:szCs w:val="28"/>
          <w:highlight w:val="none"/>
        </w:rPr>
        <w:t>补助</w:t>
      </w:r>
      <w:r>
        <w:rPr>
          <w:rFonts w:ascii="仿宋_GB2312" w:eastAsia="仿宋_GB2312"/>
          <w:sz w:val="28"/>
          <w:szCs w:val="28"/>
          <w:highlight w:val="none"/>
        </w:rPr>
        <w:t>、助学金、奖励金</w:t>
      </w:r>
      <w:r>
        <w:rPr>
          <w:rFonts w:hint="eastAsia" w:ascii="仿宋_GB2312" w:eastAsia="仿宋_GB2312"/>
          <w:sz w:val="28"/>
          <w:szCs w:val="28"/>
          <w:highlight w:val="none"/>
        </w:rPr>
        <w:t>、</w:t>
      </w:r>
      <w:r>
        <w:rPr>
          <w:rFonts w:ascii="仿宋_GB2312" w:eastAsia="仿宋_GB2312"/>
          <w:sz w:val="28"/>
          <w:szCs w:val="28"/>
          <w:highlight w:val="none"/>
        </w:rPr>
        <w:t>其他对个人和家庭的补助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。（4）其他资本性支出包括</w:t>
      </w:r>
      <w:r>
        <w:rPr>
          <w:rFonts w:ascii="仿宋_GB2312" w:eastAsia="仿宋_GB2312"/>
          <w:sz w:val="28"/>
          <w:szCs w:val="28"/>
          <w:highlight w:val="none"/>
        </w:rPr>
        <w:t>办公设备购置、专用设备购置</w:t>
      </w:r>
      <w:r>
        <w:rPr>
          <w:rFonts w:hint="eastAsia" w:ascii="仿宋_GB2312" w:eastAsia="仿宋_GB2312"/>
          <w:sz w:val="28"/>
          <w:szCs w:val="28"/>
          <w:highlight w:val="none"/>
        </w:rPr>
        <w:t>等</w:t>
      </w:r>
      <w:r>
        <w:rPr>
          <w:rFonts w:ascii="仿宋_GB2312" w:eastAsia="仿宋_GB2312"/>
          <w:sz w:val="28"/>
          <w:szCs w:val="28"/>
          <w:highlight w:val="none"/>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1.98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5.57</w:t>
      </w:r>
      <w:r>
        <w:rPr>
          <w:rFonts w:hint="eastAsia" w:ascii="仿宋_GB2312" w:eastAsia="仿宋_GB2312"/>
          <w:sz w:val="28"/>
          <w:szCs w:val="28"/>
        </w:rPr>
        <w:t>万元减少</w:t>
      </w:r>
      <w:r>
        <w:rPr>
          <w:rFonts w:ascii="仿宋_GB2312" w:eastAsia="仿宋_GB2312"/>
          <w:sz w:val="28"/>
          <w:szCs w:val="28"/>
        </w:rPr>
        <w:t>3.59</w:t>
      </w:r>
      <w:r>
        <w:rPr>
          <w:rFonts w:hint="eastAsia" w:ascii="仿宋_GB2312" w:eastAsia="仿宋_GB2312"/>
          <w:sz w:val="28"/>
          <w:szCs w:val="28"/>
        </w:rPr>
        <w:t>万元。其中：</w:t>
      </w:r>
    </w:p>
    <w:p>
      <w:pPr>
        <w:numPr>
          <w:ilvl w:val="0"/>
          <w:numId w:val="2"/>
        </w:num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因公出国（境）费用。</w:t>
      </w:r>
      <w:r>
        <w:rPr>
          <w:rFonts w:hint="eastAsia" w:ascii="仿宋_GB2312" w:eastAsia="仿宋_GB2312"/>
          <w:sz w:val="28"/>
          <w:szCs w:val="28"/>
          <w:lang w:eastAsia="zh-CN"/>
        </w:rPr>
        <w:t>本</w:t>
      </w:r>
      <w:r>
        <w:rPr>
          <w:rFonts w:hint="eastAsia" w:ascii="仿宋_GB2312" w:eastAsia="仿宋_GB2312"/>
          <w:sz w:val="28"/>
          <w:szCs w:val="28"/>
          <w:lang w:val="en-US" w:eastAsia="zh-CN"/>
        </w:rPr>
        <w:t>年度</w:t>
      </w:r>
      <w:r>
        <w:rPr>
          <w:rFonts w:hint="eastAsia" w:ascii="仿宋_GB2312" w:eastAsia="仿宋_GB2312"/>
          <w:sz w:val="28"/>
          <w:szCs w:val="28"/>
          <w:lang w:eastAsia="zh-CN"/>
        </w:rPr>
        <w:t>无此项经费。</w:t>
      </w:r>
    </w:p>
    <w:p>
      <w:pPr>
        <w:numPr>
          <w:ilvl w:val="0"/>
          <w:numId w:val="2"/>
        </w:numPr>
        <w:spacing w:line="560" w:lineRule="exact"/>
        <w:ind w:firstLine="600"/>
        <w:rPr>
          <w:rFonts w:hint="eastAsia" w:ascii="仿宋_GB2312" w:eastAsia="仿宋_GB2312"/>
          <w:sz w:val="28"/>
          <w:szCs w:val="28"/>
        </w:rPr>
      </w:pPr>
      <w:r>
        <w:rPr>
          <w:rFonts w:hint="eastAsia" w:ascii="仿宋_GB2312" w:eastAsia="仿宋_GB2312"/>
          <w:sz w:val="28"/>
          <w:szCs w:val="28"/>
        </w:rPr>
        <w:t>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0.19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0.57</w:t>
      </w:r>
      <w:r>
        <w:rPr>
          <w:rFonts w:hint="eastAsia" w:ascii="仿宋_GB2312" w:eastAsia="仿宋_GB2312"/>
          <w:sz w:val="28"/>
          <w:szCs w:val="28"/>
        </w:rPr>
        <w:t>万元减少</w:t>
      </w:r>
      <w:r>
        <w:rPr>
          <w:rFonts w:ascii="仿宋_GB2312" w:eastAsia="仿宋_GB2312"/>
          <w:sz w:val="28"/>
          <w:szCs w:val="28"/>
        </w:rPr>
        <w:t>0.38</w:t>
      </w:r>
      <w:r>
        <w:rPr>
          <w:rFonts w:hint="eastAsia" w:ascii="仿宋_GB2312" w:eastAsia="仿宋_GB2312"/>
          <w:sz w:val="28"/>
          <w:szCs w:val="28"/>
        </w:rPr>
        <w:t>万元。主要原因：落实政府过紧日子要求，</w:t>
      </w:r>
      <w:r>
        <w:rPr>
          <w:rFonts w:hint="eastAsia" w:ascii="仿宋_GB2312" w:eastAsia="仿宋_GB2312"/>
          <w:sz w:val="28"/>
          <w:szCs w:val="28"/>
          <w:lang w:eastAsia="zh-CN"/>
        </w:rPr>
        <w:t>严格控制公务接待数量、规模和接待标准，公务接待费相应减少</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eastAsia="仿宋_GB2312"/>
          <w:sz w:val="28"/>
          <w:szCs w:val="28"/>
          <w:lang w:eastAsia="zh-CN"/>
        </w:rPr>
        <w:t>接待娄底档案局、深圳档案馆、衢州住建局来我馆调研交流和重庆城建档案馆来馆异地备份</w:t>
      </w:r>
      <w:r>
        <w:rPr>
          <w:rFonts w:hint="eastAsia" w:ascii="仿宋_GB2312" w:eastAsia="仿宋_GB2312"/>
          <w:sz w:val="28"/>
          <w:szCs w:val="28"/>
        </w:rPr>
        <w:t>。公务接待</w:t>
      </w:r>
      <w:r>
        <w:rPr>
          <w:rFonts w:hint="eastAsia" w:ascii="仿宋_GB2312" w:eastAsia="仿宋_GB2312"/>
          <w:sz w:val="28"/>
          <w:szCs w:val="28"/>
          <w:lang w:eastAsia="zh-CN"/>
        </w:rPr>
        <w:t>4</w:t>
      </w:r>
      <w:r>
        <w:rPr>
          <w:rFonts w:hint="eastAsia" w:ascii="仿宋_GB2312" w:eastAsia="仿宋_GB2312"/>
          <w:sz w:val="28"/>
          <w:szCs w:val="28"/>
        </w:rPr>
        <w:t>批次。</w:t>
      </w:r>
    </w:p>
    <w:p>
      <w:pPr>
        <w:numPr>
          <w:ilvl w:val="0"/>
          <w:numId w:val="2"/>
        </w:numPr>
        <w:spacing w:line="560" w:lineRule="exact"/>
        <w:ind w:left="0" w:leftChars="0" w:firstLine="600" w:firstLineChars="0"/>
        <w:rPr>
          <w:rFonts w:hint="eastAsia" w:ascii="仿宋_GB2312" w:eastAsia="仿宋_GB2312"/>
          <w:sz w:val="28"/>
          <w:szCs w:val="28"/>
        </w:rPr>
      </w:pPr>
      <w:r>
        <w:rPr>
          <w:rFonts w:hint="eastAsia" w:ascii="仿宋_GB2312" w:eastAsia="仿宋_GB2312"/>
          <w:sz w:val="28"/>
          <w:szCs w:val="28"/>
        </w:rPr>
        <w:t>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1.79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5</w:t>
      </w:r>
      <w:r>
        <w:rPr>
          <w:rFonts w:hint="eastAsia" w:ascii="仿宋_GB2312" w:eastAsia="仿宋_GB2312"/>
          <w:sz w:val="28"/>
          <w:szCs w:val="28"/>
        </w:rPr>
        <w:t>万元减少</w:t>
      </w:r>
      <w:r>
        <w:rPr>
          <w:rFonts w:ascii="仿宋_GB2312" w:eastAsia="仿宋_GB2312"/>
          <w:sz w:val="28"/>
          <w:szCs w:val="28"/>
        </w:rPr>
        <w:t>3.21</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1.79</w:t>
      </w:r>
      <w:r>
        <w:rPr>
          <w:rFonts w:hint="eastAsia" w:ascii="仿宋_GB2312" w:eastAsia="仿宋_GB2312"/>
          <w:sz w:val="28"/>
          <w:szCs w:val="28"/>
        </w:rPr>
        <w:t>万元，主要原因：</w:t>
      </w:r>
      <w:r>
        <w:rPr>
          <w:rFonts w:hint="eastAsia" w:ascii="仿宋_GB2312" w:eastAsia="仿宋_GB2312"/>
          <w:sz w:val="28"/>
          <w:szCs w:val="28"/>
          <w:lang w:eastAsia="zh-CN"/>
        </w:rPr>
        <w:t>我馆加强对公务用车使用的管理，公务车维修费相应减少</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5</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lang w:eastAsia="zh-CN"/>
        </w:rPr>
        <w:t>我单位不在机关运行经费统计</w:t>
      </w:r>
      <w:r>
        <w:rPr>
          <w:rFonts w:hint="eastAsia" w:ascii="仿宋_GB2312" w:eastAsia="仿宋_GB2312"/>
          <w:sz w:val="28"/>
          <w:szCs w:val="28"/>
          <w:highlight w:val="none"/>
          <w:lang w:val="en-US" w:eastAsia="zh-CN"/>
        </w:rPr>
        <w:t>范围</w:t>
      </w:r>
      <w:r>
        <w:rPr>
          <w:rFonts w:hint="eastAsia" w:ascii="仿宋_GB2312" w:eastAsia="仿宋_GB2312"/>
          <w:sz w:val="28"/>
          <w:szCs w:val="28"/>
          <w:highlight w:val="none"/>
          <w:lang w:eastAsia="zh-CN"/>
        </w:rPr>
        <w:t>之内</w:t>
      </w:r>
      <w:r>
        <w:rPr>
          <w:rFonts w:hint="eastAsia" w:ascii="仿宋_GB2312" w:eastAsia="仿宋_GB2312"/>
          <w:sz w:val="28"/>
          <w:szCs w:val="28"/>
          <w:highlight w:val="none"/>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1019.74</w:t>
      </w:r>
      <w:r>
        <w:rPr>
          <w:rFonts w:hint="eastAsia" w:ascii="仿宋_GB2312" w:eastAsia="仿宋_GB2312"/>
          <w:sz w:val="28"/>
          <w:szCs w:val="28"/>
        </w:rPr>
        <w:t>万元，其中：政府采购货物支出</w:t>
      </w:r>
      <w:r>
        <w:rPr>
          <w:rFonts w:ascii="仿宋_GB2312" w:eastAsia="仿宋_GB2312"/>
          <w:sz w:val="28"/>
          <w:szCs w:val="28"/>
        </w:rPr>
        <w:t>25.36</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994.38</w:t>
      </w:r>
      <w:r>
        <w:rPr>
          <w:rFonts w:hint="eastAsia" w:ascii="仿宋_GB2312" w:eastAsia="仿宋_GB2312"/>
          <w:sz w:val="28"/>
          <w:szCs w:val="28"/>
        </w:rPr>
        <w:t>万元。授予中小企业合同金额</w:t>
      </w:r>
      <w:r>
        <w:rPr>
          <w:rFonts w:ascii="仿宋_GB2312" w:eastAsia="仿宋_GB2312"/>
          <w:sz w:val="28"/>
          <w:szCs w:val="28"/>
        </w:rPr>
        <w:t>628.16</w:t>
      </w:r>
      <w:r>
        <w:rPr>
          <w:rFonts w:hint="eastAsia" w:ascii="仿宋_GB2312" w:eastAsia="仿宋_GB2312"/>
          <w:sz w:val="28"/>
          <w:szCs w:val="28"/>
        </w:rPr>
        <w:t>万元，占政府采购支出总额的</w:t>
      </w:r>
      <w:r>
        <w:rPr>
          <w:rFonts w:hint="eastAsia" w:ascii="仿宋_GB2312" w:eastAsia="仿宋_GB2312"/>
          <w:sz w:val="28"/>
          <w:szCs w:val="28"/>
          <w:lang w:eastAsia="zh-CN"/>
        </w:rPr>
        <w:t>61.6</w:t>
      </w:r>
      <w:r>
        <w:rPr>
          <w:rFonts w:hint="eastAsia" w:ascii="仿宋_GB2312" w:eastAsia="仿宋_GB2312"/>
          <w:sz w:val="28"/>
          <w:szCs w:val="28"/>
          <w:lang w:val="en-US" w:eastAsia="zh-CN"/>
        </w:rPr>
        <w:t>0</w:t>
      </w:r>
      <w:r>
        <w:rPr>
          <w:rFonts w:hint="eastAsia" w:ascii="仿宋_GB2312" w:eastAsia="仿宋_GB2312"/>
          <w:sz w:val="28"/>
          <w:szCs w:val="28"/>
        </w:rPr>
        <w:t>%，其中：授予小微企业合同金额</w:t>
      </w:r>
      <w:r>
        <w:rPr>
          <w:rFonts w:ascii="仿宋_GB2312" w:eastAsia="仿宋_GB2312"/>
          <w:sz w:val="28"/>
          <w:szCs w:val="28"/>
        </w:rPr>
        <w:t>628.16</w:t>
      </w:r>
      <w:r>
        <w:rPr>
          <w:rFonts w:hint="eastAsia" w:ascii="仿宋_GB2312" w:eastAsia="仿宋_GB2312"/>
          <w:sz w:val="28"/>
          <w:szCs w:val="28"/>
        </w:rPr>
        <w:t>万元，占政府采购支出总额的</w:t>
      </w:r>
      <w:r>
        <w:rPr>
          <w:rFonts w:ascii="仿宋_GB2312" w:eastAsia="仿宋_GB2312"/>
          <w:sz w:val="28"/>
          <w:szCs w:val="28"/>
        </w:rPr>
        <w:t>61.6</w:t>
      </w:r>
      <w:r>
        <w:rPr>
          <w:rFonts w:hint="eastAsia" w:ascii="仿宋_GB2312" w:eastAsia="仿宋_GB2312"/>
          <w:sz w:val="28"/>
          <w:szCs w:val="28"/>
          <w:lang w:val="en-US" w:eastAsia="zh-CN"/>
        </w:rPr>
        <w:t>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12月31日，北京市城市建设档案馆</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5</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60" w:firstLineChars="200"/>
        <w:rPr>
          <w:rFonts w:hint="eastAsia"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w:t>
      </w:r>
      <w:r>
        <w:rPr>
          <w:rFonts w:hint="eastAsia" w:ascii="仿宋_GB2312" w:eastAsia="仿宋_GB2312"/>
          <w:sz w:val="28"/>
          <w:szCs w:val="28"/>
          <w:lang w:eastAsia="zh-CN"/>
        </w:rPr>
        <w:t>本单位无此项经费。</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7.</w:t>
      </w:r>
      <w:r>
        <w:rPr>
          <w:rFonts w:hint="eastAsia" w:ascii="仿宋_GB2312" w:hAnsi="Times New Roman" w:eastAsia="仿宋_GB2312" w:cs="Times New Roman"/>
          <w:sz w:val="28"/>
          <w:szCs w:val="28"/>
          <w:lang w:eastAsia="zh-CN"/>
        </w:rPr>
        <w:t>教育支出（类）进修及培训（款）培训支出（项）：反映各部门安排的用于培训的支出。教育部门的师资培训，党校、行政学院等专业干部教育机构的支出，以及退役士兵、转业士兵的培训支出，不在本科目反映。</w:t>
      </w:r>
    </w:p>
    <w:p>
      <w:pPr>
        <w:ind w:firstLine="560" w:firstLineChars="20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8、</w:t>
      </w:r>
      <w:r>
        <w:rPr>
          <w:rFonts w:hint="eastAsia" w:ascii="仿宋_GB2312" w:hAnsi="Times New Roman" w:eastAsia="仿宋_GB2312" w:cs="Times New Roman"/>
          <w:sz w:val="28"/>
          <w:szCs w:val="28"/>
          <w:lang w:eastAsia="zh-CN"/>
        </w:rPr>
        <w:t>社会保障和就业支出（类）行政事业单位养老支出（款）行政单位离退休（项）：反映行政单位（包括实行公务员管理的事业单位）开支的离退休经费。</w:t>
      </w:r>
    </w:p>
    <w:p>
      <w:pPr>
        <w:ind w:firstLine="560" w:firstLineChars="20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9</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eastAsia="zh-CN"/>
        </w:rPr>
        <w:t>社会保障和就业支出（类）行政事业单位养老支出（款）事业单位离退休（项）：反映事业单位开支的离退休经费。</w:t>
      </w:r>
    </w:p>
    <w:p>
      <w:pPr>
        <w:ind w:firstLine="560" w:firstLineChars="20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10.社会保障和就业支出（类）行政事业单位养老支出（款）机关事业单位基本养老保险缴费支出（项）：反映机关事业单位实施养老保险制度由单位缴纳的基本养老保险费支出。</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11.社会保障和就业支出（类）行政事业单位养老支出（款）机关事业单位职业年金缴费支出（项）：反映机关事业单位实施养老保险制度由单位实际缴纳的职业年金支出（含职业年金补记支出）。</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12.卫生健康支出（类）行政</w:t>
      </w:r>
      <w:r>
        <w:rPr>
          <w:rFonts w:hint="eastAsia" w:ascii="仿宋_GB2312" w:eastAsia="仿宋_GB2312" w:cs="Times New Roman"/>
          <w:sz w:val="28"/>
          <w:szCs w:val="28"/>
          <w:lang w:val="en-US" w:eastAsia="zh-CN"/>
        </w:rPr>
        <w:t>事业</w:t>
      </w:r>
      <w:r>
        <w:rPr>
          <w:rFonts w:hint="eastAsia" w:ascii="仿宋_GB2312" w:hAnsi="Times New Roman" w:eastAsia="仿宋_GB2312" w:cs="Times New Roman"/>
          <w:sz w:val="28"/>
          <w:szCs w:val="28"/>
          <w:lang w:val="en-US" w:eastAsia="zh-CN"/>
        </w:rPr>
        <w:t>单位医疗（款）事业单位医疗（项）：反映财政部门安排的事业单位基本医疗保险缴费经费，未参加医疗保险的事业单位的公费医疗经费，按国家规定享受离休人员待遇的医疗经费。</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val="en-US" w:eastAsia="zh-CN"/>
        </w:rPr>
        <w:t>.</w:t>
      </w:r>
      <w:r>
        <w:rPr>
          <w:rFonts w:hint="eastAsia" w:ascii="仿宋_GB2312" w:hAnsi="Times New Roman" w:eastAsia="仿宋_GB2312" w:cs="Times New Roman"/>
          <w:kern w:val="2"/>
          <w:sz w:val="28"/>
          <w:szCs w:val="28"/>
          <w:lang w:val="en-US" w:eastAsia="zh-CN" w:bidi="ar-SA"/>
        </w:rPr>
        <w:t>自然资源海洋气象等支出（类）自然资源事务（款）行政</w:t>
      </w:r>
      <w:r>
        <w:rPr>
          <w:rFonts w:hint="eastAsia" w:ascii="仿宋_GB2312" w:eastAsia="仿宋_GB2312" w:cs="Times New Roman"/>
          <w:kern w:val="2"/>
          <w:sz w:val="28"/>
          <w:szCs w:val="28"/>
          <w:lang w:val="en-US" w:eastAsia="zh-CN" w:bidi="ar-SA"/>
        </w:rPr>
        <w:t>运行</w:t>
      </w:r>
      <w:r>
        <w:rPr>
          <w:rFonts w:hint="eastAsia" w:ascii="仿宋_GB2312" w:hAnsi="Times New Roman" w:eastAsia="仿宋_GB2312" w:cs="Times New Roman"/>
          <w:kern w:val="2"/>
          <w:sz w:val="28"/>
          <w:szCs w:val="28"/>
          <w:lang w:val="en-US" w:eastAsia="zh-CN" w:bidi="ar-SA"/>
        </w:rPr>
        <w:t>（项）：反映行政单位（包括实行公务员管理的事业单位）的基本支出</w:t>
      </w:r>
      <w:r>
        <w:rPr>
          <w:rFonts w:hint="eastAsia" w:ascii="仿宋_GB2312" w:eastAsia="仿宋_GB2312" w:cs="Times New Roman"/>
          <w:kern w:val="2"/>
          <w:sz w:val="28"/>
          <w:szCs w:val="28"/>
          <w:lang w:val="en-US" w:eastAsia="zh-CN" w:bidi="ar-SA"/>
        </w:rPr>
        <w:t>。</w:t>
      </w:r>
    </w:p>
    <w:p>
      <w:pPr>
        <w:ind w:firstLine="560" w:firstLineChars="200"/>
        <w:rPr>
          <w:rFonts w:hint="eastAsia" w:ascii="仿宋_GB2312" w:hAnsi="Times New Roman" w:eastAsia="仿宋_GB2312" w:cs="Times New Roman"/>
          <w:sz w:val="28"/>
          <w:szCs w:val="28"/>
          <w:lang w:val="en-US" w:eastAsia="zh-CN"/>
        </w:rPr>
      </w:pPr>
      <w:r>
        <w:rPr>
          <w:rFonts w:hint="default" w:ascii="仿宋_GB2312" w:eastAsia="仿宋_GB2312" w:cs="Times New Roman"/>
          <w:sz w:val="28"/>
          <w:szCs w:val="28"/>
          <w:lang w:val="en" w:eastAsia="zh-CN"/>
        </w:rPr>
        <w:t>14.</w:t>
      </w:r>
      <w:r>
        <w:rPr>
          <w:rFonts w:hint="eastAsia" w:ascii="仿宋_GB2312" w:hAnsi="Times New Roman" w:eastAsia="仿宋_GB2312" w:cs="Times New Roman"/>
          <w:sz w:val="28"/>
          <w:szCs w:val="28"/>
          <w:lang w:val="en-US" w:eastAsia="zh-CN"/>
        </w:rPr>
        <w:t>自然资源海洋气象等支出（类）自然资源事务（款）一般行政管理事务（项）：反映行政单位（包括实行公务员管理的事业单位）未单独设置项级科目的其他项目支出。</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w:t>
      </w:r>
      <w:r>
        <w:rPr>
          <w:rFonts w:hint="default" w:ascii="仿宋_GB2312" w:eastAsia="仿宋_GB2312" w:cs="Times New Roman"/>
          <w:sz w:val="28"/>
          <w:szCs w:val="28"/>
          <w:lang w:val="en" w:eastAsia="zh-CN"/>
        </w:rPr>
        <w:t>5</w:t>
      </w:r>
      <w:r>
        <w:rPr>
          <w:rFonts w:hint="eastAsia" w:ascii="仿宋_GB2312" w:hAnsi="Times New Roman" w:eastAsia="仿宋_GB2312" w:cs="Times New Roman"/>
          <w:sz w:val="28"/>
          <w:szCs w:val="28"/>
          <w:lang w:val="en-US" w:eastAsia="zh-CN"/>
        </w:rPr>
        <w:t>.自然资源海洋气象等支出（类）自然资源事务（款）自然资源规划及管理（项）：反映用于国土空间规划、国土空间开发适宜性评价等方面的支出。</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w:t>
      </w:r>
      <w:r>
        <w:rPr>
          <w:rFonts w:hint="default" w:ascii="仿宋_GB2312" w:eastAsia="仿宋_GB2312" w:cs="Times New Roman"/>
          <w:sz w:val="28"/>
          <w:szCs w:val="28"/>
          <w:lang w:val="en" w:eastAsia="zh-CN"/>
        </w:rPr>
        <w:t>6</w:t>
      </w:r>
      <w:r>
        <w:rPr>
          <w:rFonts w:hint="eastAsia" w:ascii="仿宋_GB2312" w:hAnsi="Times New Roman" w:eastAsia="仿宋_GB2312" w:cs="Times New Roman"/>
          <w:sz w:val="28"/>
          <w:szCs w:val="28"/>
          <w:lang w:val="en-US" w:eastAsia="zh-CN"/>
        </w:rPr>
        <w:t>.自然资源海洋气象等支出（类）自然资源事务（款）事业运行（项）：反映事业单位的基本支出，不包括行政单位（包括实行公务员管理的事业单位）后勤服务中心、医务室等附属事业单位。</w:t>
      </w:r>
    </w:p>
    <w:p>
      <w:pPr>
        <w:ind w:firstLine="560" w:firstLineChars="200"/>
        <w:rPr>
          <w:rFonts w:ascii="宋体" w:hAnsi="宋体" w:cs="宋体"/>
          <w:b/>
          <w:bCs/>
          <w:kern w:val="0"/>
          <w:sz w:val="28"/>
          <w:szCs w:val="28"/>
        </w:rPr>
      </w:pPr>
      <w:r>
        <w:rPr>
          <w:rFonts w:hint="eastAsia" w:ascii="仿宋_GB2312" w:hAnsi="Times New Roman" w:eastAsia="仿宋_GB2312" w:cs="Times New Roman"/>
          <w:sz w:val="28"/>
          <w:szCs w:val="28"/>
          <w:lang w:val="en-US" w:eastAsia="zh-CN"/>
        </w:rPr>
        <w:t>1</w:t>
      </w:r>
      <w:r>
        <w:rPr>
          <w:rFonts w:hint="default" w:ascii="仿宋_GB2312" w:eastAsia="仿宋_GB2312" w:cs="Times New Roman"/>
          <w:sz w:val="28"/>
          <w:szCs w:val="28"/>
          <w:lang w:val="en" w:eastAsia="zh-CN"/>
        </w:rPr>
        <w:t>7</w:t>
      </w:r>
      <w:r>
        <w:rPr>
          <w:rFonts w:hint="eastAsia" w:ascii="仿宋_GB2312" w:hAnsi="Times New Roman" w:eastAsia="仿宋_GB2312" w:cs="Times New Roman"/>
          <w:sz w:val="28"/>
          <w:szCs w:val="28"/>
          <w:lang w:val="en-US" w:eastAsia="zh-CN"/>
        </w:rPr>
        <w:t>.自然资源海洋气象等支出（类）自然资源事务（款）其他自然资源事务支出（项）：反映除上述项目以外其他用于自然资源事务方面的支出。</w:t>
      </w:r>
    </w:p>
    <w:p>
      <w:pPr>
        <w:tabs>
          <w:tab w:val="center" w:pos="6979"/>
        </w:tabs>
        <w:spacing w:line="380" w:lineRule="exact"/>
        <w:jc w:val="center"/>
        <w:rPr>
          <w:rFonts w:ascii="宋体" w:hAnsi="宋体" w:cs="宋体"/>
          <w:b/>
          <w:bCs/>
          <w:kern w:val="0"/>
          <w:sz w:val="28"/>
          <w:szCs w:val="28"/>
        </w:rPr>
      </w:pPr>
    </w:p>
    <w:p>
      <w:pPr>
        <w:pStyle w:val="2"/>
        <w:rPr>
          <w:rFonts w:ascii="宋体" w:hAnsi="宋体" w:cs="宋体"/>
          <w:b/>
          <w:bCs/>
          <w:kern w:val="0"/>
          <w:sz w:val="28"/>
          <w:szCs w:val="28"/>
        </w:rPr>
      </w:pPr>
    </w:p>
    <w:p>
      <w:pPr>
        <w:rPr>
          <w:rFonts w:ascii="宋体" w:hAnsi="宋体" w:cs="宋体"/>
          <w:b/>
          <w:bCs/>
          <w:kern w:val="0"/>
          <w:sz w:val="28"/>
          <w:szCs w:val="28"/>
        </w:rPr>
      </w:pPr>
    </w:p>
    <w:p>
      <w:pPr>
        <w:pStyle w:val="2"/>
      </w:pPr>
      <w:bookmarkStart w:id="0" w:name="_GoBack"/>
      <w:bookmarkEnd w:id="0"/>
    </w:p>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r>
        <w:rPr>
          <w:rFonts w:hint="eastAsia" w:ascii="黑体" w:eastAsia="黑体"/>
          <w:sz w:val="28"/>
          <w:szCs w:val="28"/>
          <w:highlight w:val="none"/>
          <w:lang w:val="en-US" w:eastAsia="zh-CN"/>
        </w:rPr>
        <w:t>2</w:t>
      </w:r>
      <w:r>
        <w:rPr>
          <w:rFonts w:hint="eastAsia" w:ascii="黑体" w:eastAsia="黑体"/>
          <w:sz w:val="28"/>
          <w:szCs w:val="28"/>
          <w:highlight w:val="none"/>
          <w:lang w:eastAsia="zh-CN"/>
        </w:rPr>
        <w:t>）</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4E284B"/>
    <w:multiLevelType w:val="singleLevel"/>
    <w:tmpl w:val="AA4E284B"/>
    <w:lvl w:ilvl="0" w:tentative="0">
      <w:start w:val="1"/>
      <w:numFmt w:val="decimal"/>
      <w:lvlText w:val="%1."/>
      <w:lvlJc w:val="left"/>
      <w:pPr>
        <w:tabs>
          <w:tab w:val="left" w:pos="312"/>
        </w:tabs>
      </w:pPr>
    </w:lvl>
  </w:abstractNum>
  <w:abstractNum w:abstractNumId="1">
    <w:nsid w:val="E67FB35A"/>
    <w:multiLevelType w:val="singleLevel"/>
    <w:tmpl w:val="E67FB35A"/>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0FD5AA0"/>
    <w:rsid w:val="214243FA"/>
    <w:rsid w:val="21AD613C"/>
    <w:rsid w:val="22467189"/>
    <w:rsid w:val="257A14F5"/>
    <w:rsid w:val="27196C26"/>
    <w:rsid w:val="27B35009"/>
    <w:rsid w:val="29EF086F"/>
    <w:rsid w:val="2D872344"/>
    <w:rsid w:val="2EFFE297"/>
    <w:rsid w:val="2FE96629"/>
    <w:rsid w:val="301437CA"/>
    <w:rsid w:val="349D1F0A"/>
    <w:rsid w:val="34DD0473"/>
    <w:rsid w:val="3C684897"/>
    <w:rsid w:val="3CB906DC"/>
    <w:rsid w:val="433E495C"/>
    <w:rsid w:val="4775393C"/>
    <w:rsid w:val="489F2FD7"/>
    <w:rsid w:val="4AC27CB3"/>
    <w:rsid w:val="4BF72BEF"/>
    <w:rsid w:val="4FA90297"/>
    <w:rsid w:val="4FC41A43"/>
    <w:rsid w:val="51DB3C59"/>
    <w:rsid w:val="550C0952"/>
    <w:rsid w:val="55762E42"/>
    <w:rsid w:val="57A7B272"/>
    <w:rsid w:val="58470068"/>
    <w:rsid w:val="58747CAC"/>
    <w:rsid w:val="5A1720F9"/>
    <w:rsid w:val="5B9C37C2"/>
    <w:rsid w:val="5BA7C654"/>
    <w:rsid w:val="5E001FEA"/>
    <w:rsid w:val="60A54109"/>
    <w:rsid w:val="61D01CDF"/>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next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oleObject" Target="embeddings/oleObject1.bin"/><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F:\2024&#24180;\&#20915;&#31639;\&#20915;&#31639;&#20844;&#24320;\&#20915;&#31639;&#20844;&#24320;&#23545;&#27604;&#26126;&#3245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收入决算</a:t>
            </a:r>
          </a:p>
        </c:rich>
      </c:tx>
      <c:layout/>
      <c:overlay val="0"/>
      <c:spPr>
        <a:noFill/>
        <a:ln>
          <a:noFill/>
        </a:ln>
        <a:effectLst/>
      </c:spPr>
    </c:title>
    <c:autoTitleDeleted val="0"/>
    <c:plotArea>
      <c:layout/>
      <c:pieChart>
        <c:varyColors val="1"/>
        <c:ser>
          <c:idx val="0"/>
          <c:order val="0"/>
          <c:spPr>
            <a:solidFill>
              <a:schemeClr val="accent1"/>
            </a:solidFill>
          </c:spPr>
          <c:explosion val="0"/>
          <c:dPt>
            <c:idx val="0"/>
            <c:bubble3D val="0"/>
            <c:spPr>
              <a:solidFill>
                <a:schemeClr val="accent1"/>
              </a:solidFill>
              <a:ln w="19050">
                <a:solidFill>
                  <a:schemeClr val="lt1"/>
                </a:solidFill>
              </a:ln>
              <a:effectLst/>
            </c:spPr>
          </c:dPt>
          <c:dPt>
            <c:idx val="1"/>
            <c:bubble3D val="0"/>
            <c:spPr>
              <a:solidFill>
                <a:schemeClr val="accent1"/>
              </a:solidFill>
              <a:ln w="19050">
                <a:solidFill>
                  <a:schemeClr val="lt1"/>
                </a:solidFill>
              </a:ln>
              <a:effectLst/>
            </c:spPr>
          </c:dPt>
          <c:dPt>
            <c:idx val="2"/>
            <c:bubble3D val="0"/>
            <c:spPr>
              <a:solidFill>
                <a:schemeClr val="accent2"/>
              </a:solidFill>
              <a:ln w="19050">
                <a:solidFill>
                  <a:schemeClr val="lt1"/>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[决算公开对比明细.xlsx]Sheet1!$A$11:$A$13</c:f>
              <c:strCache>
                <c:ptCount val="3"/>
                <c:pt idx="0">
                  <c:v>本年收入</c:v>
                </c:pt>
                <c:pt idx="1">
                  <c:v>财政拨款收入</c:v>
                </c:pt>
                <c:pt idx="2">
                  <c:v>其他收入</c:v>
                </c:pt>
              </c:strCache>
            </c:strRef>
          </c:cat>
          <c:val>
            <c:numRef>
              <c:f>[决算公开对比明细.xlsx]Sheet1!$B$11:$B$13</c:f>
              <c:numCache>
                <c:formatCode>General</c:formatCode>
                <c:ptCount val="3"/>
                <c:pt idx="1">
                  <c:v>5960.9</c:v>
                </c:pt>
                <c:pt idx="2">
                  <c:v>3.33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egendEntry>
        <c:idx val="0"/>
        <c:delete val="1"/>
      </c:legendEntry>
      <c:layout/>
      <c:overlay val="0"/>
      <c:spPr>
        <a:solidFill>
          <a:schemeClr val="bg1"/>
        </a:solid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0</TotalTime>
  <ScaleCrop>false</ScaleCrop>
  <LinksUpToDate>false</LinksUpToDate>
  <CharactersWithSpaces>5802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2020-08-07T11:39:00Z</cp:lastPrinted>
  <dcterms:modified xsi:type="dcterms:W3CDTF">2025-09-05T02:53:34Z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