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spacing w:line="560" w:lineRule="exact"/>
        <w:ind w:firstLine="560" w:firstLineChars="200"/>
        <w:rPr>
          <w:rFonts w:hint="eastAsia" w:ascii="仿宋_GB2312" w:hAnsi="仿宋_GB2312" w:eastAsia="仿宋_GB2312" w:cs="仿宋_GB2312"/>
          <w:color w:val="000000"/>
          <w:sz w:val="28"/>
          <w:szCs w:val="32"/>
          <w:u w:val="none"/>
        </w:rPr>
      </w:pPr>
      <w:r>
        <w:rPr>
          <w:rFonts w:hint="eastAsia" w:ascii="仿宋_GB2312" w:hAnsi="仿宋_GB2312" w:eastAsia="仿宋_GB2312" w:cs="仿宋_GB2312"/>
          <w:color w:val="000000"/>
          <w:sz w:val="28"/>
          <w:szCs w:val="32"/>
          <w:u w:val="none"/>
        </w:rPr>
        <w:t>（一）本单位职责等情况</w:t>
      </w:r>
    </w:p>
    <w:p>
      <w:pPr>
        <w:tabs>
          <w:tab w:val="center" w:pos="6979"/>
        </w:tabs>
        <w:spacing w:line="580" w:lineRule="exact"/>
        <w:ind w:firstLine="570"/>
        <w:rPr>
          <w:rFonts w:hint="eastAsia" w:ascii="仿宋_GB2312" w:hAnsi="仿宋_GB2312" w:eastAsia="仿宋_GB2312" w:cs="仿宋_GB2312"/>
          <w:sz w:val="28"/>
        </w:rPr>
      </w:pPr>
      <w:r>
        <w:rPr>
          <w:rFonts w:hint="eastAsia" w:ascii="仿宋_GB2312" w:hAnsi="仿宋_GB2312" w:eastAsia="仿宋_GB2312" w:cs="仿宋_GB2312"/>
          <w:sz w:val="28"/>
          <w:szCs w:val="32"/>
          <w:lang w:eastAsia="zh-CN"/>
        </w:rPr>
        <w:t>根据京编办行</w:t>
      </w:r>
      <w:r>
        <w:rPr>
          <w:rFonts w:hint="eastAsia" w:ascii="仿宋_GB2312" w:hAnsi="仿宋_GB2312" w:eastAsia="仿宋_GB2312" w:cs="仿宋_GB2312"/>
          <w:sz w:val="28"/>
          <w:szCs w:val="32"/>
          <w:highlight w:val="none"/>
        </w:rPr>
        <w:t>[20</w:t>
      </w:r>
      <w:r>
        <w:rPr>
          <w:rFonts w:hint="eastAsia" w:ascii="仿宋_GB2312" w:hAnsi="仿宋_GB2312" w:eastAsia="仿宋_GB2312" w:cs="仿宋_GB2312"/>
          <w:sz w:val="28"/>
          <w:szCs w:val="32"/>
          <w:highlight w:val="none"/>
          <w:lang w:val="en-US" w:eastAsia="zh-CN"/>
        </w:rPr>
        <w:t>18</w:t>
      </w:r>
      <w:r>
        <w:rPr>
          <w:rFonts w:hint="eastAsia" w:ascii="仿宋_GB2312" w:hAnsi="仿宋_GB2312" w:eastAsia="仿宋_GB2312" w:cs="仿宋_GB2312"/>
          <w:sz w:val="28"/>
          <w:szCs w:val="32"/>
          <w:highlight w:val="none"/>
        </w:rPr>
        <w:t>]</w:t>
      </w:r>
      <w:r>
        <w:rPr>
          <w:rFonts w:hint="eastAsia" w:ascii="仿宋_GB2312" w:hAnsi="仿宋_GB2312" w:eastAsia="仿宋_GB2312" w:cs="仿宋_GB2312"/>
          <w:sz w:val="28"/>
          <w:szCs w:val="32"/>
          <w:highlight w:val="none"/>
          <w:lang w:val="en-US" w:eastAsia="zh-CN"/>
        </w:rPr>
        <w:t>30</w:t>
      </w:r>
      <w:r>
        <w:rPr>
          <w:rFonts w:hint="eastAsia" w:ascii="仿宋_GB2312" w:hAnsi="仿宋_GB2312" w:eastAsia="仿宋_GB2312" w:cs="仿宋_GB2312"/>
          <w:sz w:val="28"/>
          <w:szCs w:val="32"/>
          <w:highlight w:val="none"/>
        </w:rPr>
        <w:t>号</w:t>
      </w:r>
      <w:r>
        <w:rPr>
          <w:rFonts w:hint="eastAsia" w:ascii="仿宋_GB2312" w:hAnsi="仿宋_GB2312" w:eastAsia="仿宋_GB2312" w:cs="仿宋_GB2312"/>
          <w:sz w:val="28"/>
          <w:szCs w:val="32"/>
          <w:highlight w:val="none"/>
          <w:lang w:val="en-US" w:eastAsia="zh-CN"/>
        </w:rPr>
        <w:t>,</w:t>
      </w:r>
      <w:r>
        <w:rPr>
          <w:rFonts w:hint="eastAsia" w:ascii="仿宋_GB2312" w:hAnsi="仿宋_GB2312" w:eastAsia="仿宋_GB2312" w:cs="仿宋_GB2312"/>
          <w:sz w:val="28"/>
          <w:szCs w:val="32"/>
        </w:rPr>
        <w:t>北京市规划和</w:t>
      </w:r>
      <w:r>
        <w:rPr>
          <w:rFonts w:hint="eastAsia" w:ascii="仿宋_GB2312" w:hAnsi="仿宋_GB2312" w:eastAsia="仿宋_GB2312" w:cs="仿宋_GB2312"/>
          <w:sz w:val="28"/>
          <w:szCs w:val="32"/>
          <w:lang w:eastAsia="zh-CN"/>
        </w:rPr>
        <w:t>自然</w:t>
      </w:r>
      <w:r>
        <w:rPr>
          <w:rFonts w:hint="eastAsia" w:ascii="仿宋_GB2312" w:hAnsi="仿宋_GB2312" w:eastAsia="仿宋_GB2312" w:cs="仿宋_GB2312"/>
          <w:sz w:val="28"/>
          <w:szCs w:val="32"/>
        </w:rPr>
        <w:t>资源</w:t>
      </w:r>
      <w:r>
        <w:rPr>
          <w:rFonts w:hint="eastAsia" w:ascii="仿宋_GB2312" w:hAnsi="仿宋_GB2312" w:eastAsia="仿宋_GB2312" w:cs="仿宋_GB2312"/>
          <w:sz w:val="28"/>
          <w:szCs w:val="32"/>
          <w:lang w:eastAsia="zh-CN"/>
        </w:rPr>
        <w:t>执法总队为</w:t>
      </w:r>
      <w:r>
        <w:rPr>
          <w:rFonts w:hint="eastAsia" w:ascii="仿宋_GB2312" w:hAnsi="仿宋_GB2312" w:eastAsia="仿宋_GB2312" w:cs="仿宋_GB2312"/>
          <w:sz w:val="28"/>
          <w:szCs w:val="32"/>
        </w:rPr>
        <w:t>正处级行政执法机构</w:t>
      </w:r>
      <w:r>
        <w:rPr>
          <w:rFonts w:hint="eastAsia" w:ascii="仿宋_GB2312" w:hAnsi="仿宋_GB2312" w:eastAsia="仿宋_GB2312" w:cs="仿宋_GB2312"/>
          <w:sz w:val="28"/>
          <w:szCs w:val="32"/>
          <w:lang w:eastAsia="zh-CN"/>
        </w:rPr>
        <w:t>，</w:t>
      </w:r>
      <w:r>
        <w:rPr>
          <w:rFonts w:hint="eastAsia" w:ascii="仿宋_GB2312" w:hAnsi="仿宋_GB2312" w:eastAsia="仿宋_GB2312" w:cs="仿宋_GB2312"/>
          <w:sz w:val="28"/>
          <w:szCs w:val="32"/>
        </w:rPr>
        <w:t>负责集中行使法律、法规、规章规定应由省级规划、</w:t>
      </w:r>
      <w:r>
        <w:rPr>
          <w:rFonts w:hint="eastAsia" w:ascii="仿宋_GB2312" w:hAnsi="仿宋_GB2312" w:eastAsia="仿宋_GB2312" w:cs="仿宋_GB2312"/>
          <w:sz w:val="28"/>
          <w:szCs w:val="32"/>
          <w:lang w:eastAsia="zh-CN"/>
        </w:rPr>
        <w:t>自然</w:t>
      </w:r>
      <w:r>
        <w:rPr>
          <w:rFonts w:hint="eastAsia" w:ascii="仿宋_GB2312" w:hAnsi="仿宋_GB2312" w:eastAsia="仿宋_GB2312" w:cs="仿宋_GB2312"/>
          <w:sz w:val="28"/>
          <w:szCs w:val="32"/>
        </w:rPr>
        <w:t>管理部门行使的行政处罚职责以及执法检查职责，负责重大、复杂和跨区案件的查处工作，组织、指导、协调、考核各区规划</w:t>
      </w:r>
      <w:r>
        <w:rPr>
          <w:rFonts w:hint="eastAsia" w:ascii="仿宋_GB2312" w:hAnsi="仿宋_GB2312" w:eastAsia="仿宋_GB2312" w:cs="仿宋_GB2312"/>
          <w:sz w:val="28"/>
          <w:szCs w:val="32"/>
          <w:lang w:eastAsia="zh-CN"/>
        </w:rPr>
        <w:t>自然</w:t>
      </w:r>
      <w:r>
        <w:rPr>
          <w:rFonts w:hint="eastAsia" w:ascii="仿宋_GB2312" w:hAnsi="仿宋_GB2312" w:eastAsia="仿宋_GB2312" w:cs="仿宋_GB2312"/>
          <w:sz w:val="28"/>
          <w:szCs w:val="32"/>
        </w:rPr>
        <w:t>管理部门的行政执法工作</w:t>
      </w:r>
      <w:r>
        <w:rPr>
          <w:rFonts w:hint="eastAsia" w:ascii="仿宋_GB2312" w:hAnsi="仿宋_GB2312" w:eastAsia="仿宋_GB2312" w:cs="仿宋_GB2312"/>
          <w:sz w:val="28"/>
          <w:szCs w:val="32"/>
          <w:lang w:eastAsia="zh-CN"/>
        </w:rPr>
        <w:t>。</w:t>
      </w:r>
    </w:p>
    <w:p>
      <w:pPr>
        <w:numPr>
          <w:ilvl w:val="0"/>
          <w:numId w:val="1"/>
        </w:numPr>
        <w:tabs>
          <w:tab w:val="center" w:pos="6979"/>
        </w:tabs>
        <w:spacing w:line="580" w:lineRule="exact"/>
        <w:ind w:firstLine="560" w:firstLineChars="200"/>
        <w:rPr>
          <w:rFonts w:hint="eastAsia" w:ascii="仿宋_GB2312" w:hAnsi="仿宋_GB2312" w:eastAsia="仿宋_GB2312" w:cs="仿宋_GB2312"/>
          <w:color w:val="000000"/>
          <w:sz w:val="28"/>
          <w:szCs w:val="32"/>
          <w:u w:val="none"/>
        </w:rPr>
      </w:pPr>
      <w:r>
        <w:rPr>
          <w:rFonts w:hint="eastAsia" w:ascii="仿宋_GB2312" w:hAnsi="仿宋_GB2312" w:eastAsia="仿宋_GB2312" w:cs="仿宋_GB2312"/>
          <w:color w:val="000000"/>
          <w:sz w:val="28"/>
          <w:szCs w:val="32"/>
          <w:u w:val="none"/>
        </w:rPr>
        <w:t>机构设置情况</w:t>
      </w:r>
    </w:p>
    <w:p>
      <w:pPr>
        <w:numPr>
          <w:ilvl w:val="0"/>
          <w:numId w:val="0"/>
        </w:numPr>
        <w:tabs>
          <w:tab w:val="center" w:pos="6979"/>
        </w:tabs>
        <w:spacing w:line="580" w:lineRule="exact"/>
        <w:ind w:firstLine="560" w:firstLineChars="200"/>
        <w:rPr>
          <w:rFonts w:hint="eastAsia" w:ascii="仿宋_GB2312" w:hAnsi="仿宋_GB2312" w:eastAsia="仿宋_GB2312" w:cs="仿宋_GB2312"/>
          <w:sz w:val="28"/>
          <w:szCs w:val="32"/>
          <w:highlight w:val="none"/>
          <w:lang w:val="en-US"/>
        </w:rPr>
      </w:pPr>
      <w:r>
        <w:rPr>
          <w:rFonts w:hint="eastAsia" w:ascii="仿宋_GB2312" w:hAnsi="仿宋_GB2312" w:eastAsia="仿宋_GB2312" w:cs="仿宋_GB2312"/>
          <w:sz w:val="28"/>
          <w:szCs w:val="32"/>
          <w:lang w:eastAsia="zh-CN"/>
        </w:rPr>
        <w:t>下设</w:t>
      </w:r>
      <w:r>
        <w:rPr>
          <w:rFonts w:hint="eastAsia" w:ascii="仿宋_GB2312" w:hAnsi="仿宋_GB2312" w:eastAsia="仿宋_GB2312" w:cs="仿宋_GB2312"/>
          <w:sz w:val="28"/>
          <w:szCs w:val="32"/>
          <w:lang w:val="en-US" w:eastAsia="zh-CN"/>
        </w:rPr>
        <w:t>14个科室分别为:办公室、党群工作室、政策法规室、信息科技室、督查督办室、规划和自然资源执法一室、规划和自然资源执法二室、规划和自然资源执法三室、规划和自然资源执法四室、规划和自然资源执法五室、地质和矿产资源执法室、勘察设计和测绘地理信息执法室、市政交通执法室、信访和信息公开室</w:t>
      </w:r>
      <w:r>
        <w:rPr>
          <w:rFonts w:hint="eastAsia" w:ascii="仿宋_GB2312" w:hAnsi="仿宋_GB2312" w:eastAsia="仿宋_GB2312" w:cs="仿宋_GB2312"/>
          <w:sz w:val="28"/>
          <w:szCs w:val="32"/>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4371.14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421.30</w:t>
      </w:r>
      <w:r>
        <w:rPr>
          <w:rFonts w:hint="eastAsia" w:ascii="仿宋_GB2312" w:eastAsia="仿宋_GB2312"/>
          <w:sz w:val="28"/>
          <w:szCs w:val="28"/>
        </w:rPr>
        <w:t>万元，增长</w:t>
      </w:r>
      <w:r>
        <w:rPr>
          <w:rFonts w:hint="eastAsia" w:ascii="仿宋_GB2312" w:eastAsia="仿宋_GB2312"/>
          <w:sz w:val="28"/>
          <w:szCs w:val="28"/>
          <w:lang w:val="en-US" w:eastAsia="zh-CN"/>
        </w:rPr>
        <w:t>10.67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pStyle w:val="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4362.55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415.70</w:t>
      </w:r>
      <w:r>
        <w:rPr>
          <w:rFonts w:hint="eastAsia" w:ascii="仿宋_GB2312" w:eastAsia="仿宋_GB2312"/>
          <w:sz w:val="28"/>
          <w:szCs w:val="28"/>
        </w:rPr>
        <w:t>万元，增长</w:t>
      </w:r>
      <w:r>
        <w:rPr>
          <w:rFonts w:hint="eastAsia" w:ascii="仿宋_GB2312" w:eastAsia="仿宋_GB2312"/>
          <w:sz w:val="28"/>
          <w:szCs w:val="28"/>
          <w:lang w:val="en-US" w:eastAsia="zh-CN"/>
        </w:rPr>
        <w:t>10.53</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4361.83</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4361.83</w:t>
      </w:r>
      <w:r>
        <w:rPr>
          <w:rFonts w:hint="eastAsia" w:ascii="仿宋_GB2312" w:eastAsia="仿宋_GB2312"/>
          <w:sz w:val="28"/>
          <w:szCs w:val="28"/>
        </w:rPr>
        <w:t>万元，占收入合计的</w:t>
      </w:r>
      <w:r>
        <w:rPr>
          <w:rFonts w:hint="eastAsia" w:ascii="仿宋_GB2312" w:eastAsia="仿宋_GB2312"/>
          <w:sz w:val="28"/>
          <w:szCs w:val="28"/>
          <w:lang w:eastAsia="zh-CN"/>
        </w:rPr>
        <w:t>99.98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0.72</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2"/>
        <w:ind w:firstLine="420"/>
        <w:jc w:val="center"/>
        <w:rPr>
          <w:color w:val="C0504D" w:themeColor="accent2"/>
          <w14:textFill>
            <w14:solidFill>
              <w14:schemeClr w14:val="accent2"/>
            </w14:solidFill>
          </w14:textFill>
        </w:rPr>
      </w:pPr>
      <w:r>
        <w:drawing>
          <wp:inline distT="0" distB="0" distL="0" distR="0">
            <wp:extent cx="4112260" cy="2585085"/>
            <wp:effectExtent l="4445" t="4445" r="17145" b="2032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4335.72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449.54</w:t>
      </w:r>
      <w:r>
        <w:rPr>
          <w:rFonts w:hint="eastAsia" w:ascii="仿宋_GB2312" w:eastAsia="仿宋_GB2312"/>
          <w:sz w:val="28"/>
          <w:szCs w:val="28"/>
        </w:rPr>
        <w:t>万元，增长</w:t>
      </w:r>
      <w:r>
        <w:rPr>
          <w:rFonts w:hint="eastAsia" w:ascii="仿宋_GB2312" w:eastAsia="仿宋_GB2312"/>
          <w:sz w:val="28"/>
          <w:szCs w:val="28"/>
          <w:lang w:val="en-US" w:eastAsia="zh-CN"/>
        </w:rPr>
        <w:t>11.57</w:t>
      </w:r>
      <w:r>
        <w:rPr>
          <w:rFonts w:hint="eastAsia" w:ascii="仿宋_GB2312" w:eastAsia="仿宋_GB2312"/>
          <w:sz w:val="28"/>
          <w:szCs w:val="28"/>
        </w:rPr>
        <w:t>%，，其中：基本支出</w:t>
      </w:r>
      <w:r>
        <w:rPr>
          <w:rFonts w:ascii="仿宋_GB2312" w:eastAsia="仿宋_GB2312"/>
          <w:sz w:val="28"/>
          <w:szCs w:val="28"/>
        </w:rPr>
        <w:t>3707.96</w:t>
      </w:r>
      <w:r>
        <w:rPr>
          <w:rFonts w:hint="eastAsia" w:ascii="仿宋_GB2312" w:eastAsia="仿宋_GB2312"/>
          <w:sz w:val="28"/>
          <w:szCs w:val="28"/>
        </w:rPr>
        <w:t>万元，占支出合计的</w:t>
      </w:r>
      <w:r>
        <w:rPr>
          <w:rFonts w:hint="eastAsia" w:ascii="仿宋_GB2312" w:eastAsia="仿宋_GB2312"/>
          <w:sz w:val="28"/>
          <w:szCs w:val="28"/>
          <w:lang w:eastAsia="zh-CN"/>
        </w:rPr>
        <w:t>85.52</w:t>
      </w:r>
      <w:r>
        <w:rPr>
          <w:rFonts w:hint="eastAsia" w:ascii="仿宋_GB2312" w:eastAsia="仿宋_GB2312"/>
          <w:sz w:val="28"/>
          <w:szCs w:val="28"/>
        </w:rPr>
        <w:t>%；项目支出</w:t>
      </w:r>
      <w:r>
        <w:rPr>
          <w:rFonts w:ascii="仿宋_GB2312" w:eastAsia="仿宋_GB2312"/>
          <w:sz w:val="28"/>
          <w:szCs w:val="28"/>
        </w:rPr>
        <w:t>627.76</w:t>
      </w:r>
      <w:r>
        <w:rPr>
          <w:rFonts w:hint="eastAsia" w:ascii="仿宋_GB2312" w:eastAsia="仿宋_GB2312"/>
          <w:sz w:val="28"/>
          <w:szCs w:val="28"/>
        </w:rPr>
        <w:t>万元，占支出合计的</w:t>
      </w:r>
      <w:r>
        <w:rPr>
          <w:rFonts w:hint="eastAsia" w:ascii="仿宋_GB2312" w:eastAsia="仿宋_GB2312"/>
          <w:sz w:val="28"/>
          <w:szCs w:val="28"/>
          <w:lang w:eastAsia="zh-CN"/>
        </w:rPr>
        <w:t>14.48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napToGrid w:val="0"/>
        <w:spacing w:line="520" w:lineRule="exact"/>
        <w:ind w:firstLine="560" w:firstLineChars="200"/>
        <w:rPr>
          <w:rFonts w:hint="eastAsia" w:ascii="仿宋_GB2312" w:hAnsi="仿宋_GB2312" w:eastAsia="仿宋_GB2312" w:cs="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4369.15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423.24</w:t>
      </w:r>
      <w:r>
        <w:rPr>
          <w:rFonts w:hint="eastAsia" w:ascii="仿宋_GB2312" w:eastAsia="仿宋_GB2312"/>
          <w:sz w:val="28"/>
          <w:szCs w:val="28"/>
        </w:rPr>
        <w:t>万元，增长</w:t>
      </w:r>
      <w:r>
        <w:rPr>
          <w:rFonts w:hint="eastAsia" w:ascii="仿宋_GB2312" w:eastAsia="仿宋_GB2312"/>
          <w:sz w:val="28"/>
          <w:szCs w:val="28"/>
          <w:lang w:val="en-US" w:eastAsia="zh-CN"/>
        </w:rPr>
        <w:t>10.73%</w:t>
      </w:r>
      <w:r>
        <w:rPr>
          <w:rFonts w:hint="eastAsia" w:ascii="仿宋_GB2312" w:eastAsia="仿宋_GB2312"/>
          <w:sz w:val="28"/>
          <w:szCs w:val="28"/>
        </w:rPr>
        <w:t>。主要原因：</w:t>
      </w:r>
      <w:r>
        <w:rPr>
          <w:rFonts w:hint="eastAsia" w:ascii="仿宋_GB2312" w:eastAsia="仿宋_GB2312"/>
          <w:sz w:val="28"/>
          <w:szCs w:val="28"/>
          <w:lang w:val="en-US" w:eastAsia="zh-CN"/>
        </w:rPr>
        <w:t>1.</w:t>
      </w:r>
      <w:r>
        <w:rPr>
          <w:rFonts w:hint="eastAsia" w:ascii="仿宋_GB2312" w:hAnsi="仿宋_GB2312" w:eastAsia="仿宋_GB2312" w:cs="仿宋_GB2312"/>
          <w:sz w:val="28"/>
          <w:szCs w:val="32"/>
          <w:highlight w:val="none"/>
          <w:u w:val="none"/>
          <w:lang w:val="en-US" w:eastAsia="zh-CN"/>
        </w:rPr>
        <w:t>我单位</w:t>
      </w:r>
      <w:r>
        <w:rPr>
          <w:rFonts w:hint="eastAsia" w:ascii="仿宋_GB2312" w:hAnsi="仿宋_GB2312" w:eastAsia="仿宋_GB2312" w:cs="仿宋_GB2312"/>
          <w:sz w:val="28"/>
          <w:szCs w:val="32"/>
          <w:lang w:eastAsia="zh-CN"/>
        </w:rPr>
        <w:t>新增人员影响工资费用、社保缴费、及公用经费的增加；</w:t>
      </w:r>
      <w:r>
        <w:rPr>
          <w:rFonts w:hint="eastAsia" w:ascii="仿宋_GB2312" w:hAnsi="仿宋_GB2312" w:eastAsia="仿宋_GB2312" w:cs="仿宋_GB2312"/>
          <w:sz w:val="28"/>
          <w:szCs w:val="32"/>
          <w:lang w:val="en-US" w:eastAsia="zh-CN"/>
        </w:rPr>
        <w:t>2.</w:t>
      </w:r>
      <w:r>
        <w:rPr>
          <w:rFonts w:hint="eastAsia" w:ascii="仿宋_GB2312" w:hAnsi="仿宋_GB2312" w:eastAsia="仿宋_GB2312" w:cs="仿宋_GB2312"/>
          <w:sz w:val="28"/>
          <w:lang w:val="en-US" w:eastAsia="zh-CN"/>
        </w:rPr>
        <w:t>2024年度新增“</w:t>
      </w:r>
      <w:r>
        <w:rPr>
          <w:rFonts w:hint="eastAsia" w:ascii="仿宋_GB2312" w:hAnsi="仿宋_GB2312" w:eastAsia="仿宋_GB2312" w:cs="仿宋_GB2312"/>
          <w:sz w:val="28"/>
        </w:rPr>
        <w:t>矿产执法无人机巡查服务项目</w:t>
      </w:r>
      <w:r>
        <w:rPr>
          <w:rFonts w:hint="eastAsia" w:ascii="仿宋_GB2312" w:hAnsi="仿宋_GB2312" w:eastAsia="仿宋_GB2312" w:cs="仿宋_GB2312"/>
          <w:sz w:val="28"/>
          <w:lang w:eastAsia="zh-CN"/>
        </w:rPr>
        <w:t>”及“北京市规划和自然资源执法技术服务项目”项目因执法工作的进一步开展</w:t>
      </w:r>
      <w:r>
        <w:rPr>
          <w:rFonts w:hint="eastAsia" w:ascii="仿宋_GB2312" w:hAnsi="仿宋_GB2312" w:eastAsia="仿宋_GB2312" w:cs="仿宋_GB2312"/>
          <w:sz w:val="28"/>
          <w:lang w:val="en-US" w:eastAsia="zh-CN"/>
        </w:rPr>
        <w:t>,项目经费</w:t>
      </w:r>
      <w:r>
        <w:rPr>
          <w:rFonts w:hint="eastAsia" w:ascii="仿宋_GB2312" w:hAnsi="仿宋_GB2312" w:eastAsia="仿宋_GB2312" w:cs="仿宋_GB2312"/>
          <w:sz w:val="28"/>
          <w:lang w:eastAsia="zh-CN"/>
        </w:rPr>
        <w:t>增加。</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4334.79</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教育支出</w:t>
      </w:r>
      <w:r>
        <w:rPr>
          <w:rFonts w:hint="eastAsia" w:ascii="仿宋_GB2312" w:eastAsia="仿宋_GB2312"/>
          <w:sz w:val="28"/>
          <w:szCs w:val="28"/>
        </w:rPr>
        <w:t>支出</w:t>
      </w:r>
      <w:r>
        <w:rPr>
          <w:rFonts w:hint="eastAsia" w:ascii="仿宋_GB2312" w:eastAsia="仿宋_GB2312"/>
          <w:sz w:val="28"/>
          <w:szCs w:val="28"/>
          <w:lang w:val="en-US" w:eastAsia="zh-CN"/>
        </w:rPr>
        <w:t>9.60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0.22</w:t>
      </w:r>
      <w:r>
        <w:rPr>
          <w:rFonts w:hint="eastAsia" w:ascii="仿宋_GB2312" w:eastAsia="仿宋_GB2312"/>
          <w:sz w:val="28"/>
          <w:szCs w:val="28"/>
        </w:rPr>
        <w:t>%；</w:t>
      </w:r>
      <w:r>
        <w:rPr>
          <w:rFonts w:hint="eastAsia" w:ascii="仿宋_GB2312" w:eastAsia="仿宋_GB2312"/>
          <w:sz w:val="28"/>
          <w:szCs w:val="28"/>
          <w:lang w:eastAsia="zh-CN"/>
        </w:rPr>
        <w:t>社会保障和就业</w:t>
      </w:r>
      <w:r>
        <w:rPr>
          <w:rFonts w:hint="eastAsia" w:ascii="仿宋_GB2312" w:eastAsia="仿宋_GB2312"/>
          <w:sz w:val="28"/>
          <w:szCs w:val="28"/>
        </w:rPr>
        <w:t>支出</w:t>
      </w:r>
      <w:r>
        <w:rPr>
          <w:rFonts w:hint="eastAsia" w:ascii="仿宋_GB2312" w:hAnsi="仿宋" w:eastAsia="仿宋_GB2312"/>
          <w:sz w:val="28"/>
          <w:szCs w:val="21"/>
          <w:highlight w:val="none"/>
          <w:u w:val="none"/>
          <w:lang w:val="en-US" w:eastAsia="zh-CN"/>
        </w:rPr>
        <w:t>403.60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9.31</w:t>
      </w: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rPr>
        <w:t>支出</w:t>
      </w:r>
      <w:r>
        <w:rPr>
          <w:rFonts w:hint="eastAsia" w:ascii="仿宋_GB2312" w:hAnsi="仿宋" w:eastAsia="仿宋_GB2312"/>
          <w:sz w:val="28"/>
          <w:szCs w:val="21"/>
          <w:highlight w:val="none"/>
          <w:u w:val="none"/>
          <w:lang w:val="en-US" w:eastAsia="zh-CN"/>
        </w:rPr>
        <w:t>265.02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6.11</w:t>
      </w:r>
      <w:r>
        <w:rPr>
          <w:rFonts w:hint="eastAsia" w:ascii="仿宋_GB2312" w:eastAsia="仿宋_GB2312"/>
          <w:sz w:val="28"/>
          <w:szCs w:val="28"/>
        </w:rPr>
        <w:t>%；</w:t>
      </w:r>
      <w:r>
        <w:rPr>
          <w:rFonts w:hint="eastAsia" w:ascii="仿宋_GB2312" w:eastAsia="仿宋_GB2312"/>
          <w:sz w:val="28"/>
          <w:szCs w:val="28"/>
          <w:lang w:eastAsia="zh-CN"/>
        </w:rPr>
        <w:t>自然资源海洋气候等</w:t>
      </w:r>
      <w:r>
        <w:rPr>
          <w:rFonts w:hint="eastAsia" w:ascii="仿宋_GB2312" w:eastAsia="仿宋_GB2312"/>
          <w:sz w:val="28"/>
          <w:szCs w:val="28"/>
        </w:rPr>
        <w:t>支出</w:t>
      </w:r>
      <w:r>
        <w:rPr>
          <w:rFonts w:hint="eastAsia" w:ascii="仿宋_GB2312" w:hAnsi="仿宋" w:eastAsia="仿宋_GB2312"/>
          <w:sz w:val="28"/>
          <w:szCs w:val="28"/>
          <w:highlight w:val="none"/>
          <w:u w:val="none"/>
          <w:lang w:val="en-US" w:eastAsia="zh-CN"/>
        </w:rPr>
        <w:t>3656.57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84.36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w:t>
      </w: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80</w:t>
      </w:r>
      <w:r>
        <w:rPr>
          <w:rFonts w:hint="eastAsia" w:ascii="仿宋_GB2312" w:eastAsia="仿宋_GB2312"/>
          <w:sz w:val="28"/>
          <w:szCs w:val="28"/>
        </w:rPr>
        <w:t>%。主要原因：</w:t>
      </w:r>
      <w:r>
        <w:rPr>
          <w:rFonts w:hint="eastAsia" w:ascii="仿宋_GB2312" w:eastAsia="仿宋_GB2312"/>
          <w:sz w:val="28"/>
          <w:szCs w:val="28"/>
          <w:lang w:eastAsia="zh-CN"/>
        </w:rPr>
        <w:t>根据通知精神</w:t>
      </w:r>
      <w:r>
        <w:rPr>
          <w:rFonts w:hint="eastAsia" w:ascii="仿宋_GB2312" w:eastAsia="仿宋_GB2312"/>
          <w:sz w:val="28"/>
          <w:szCs w:val="28"/>
          <w:lang w:val="en-US" w:eastAsia="zh-CN"/>
        </w:rPr>
        <w:t>压缩基本经费开支，减少了培训费支出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384.56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w:t>
      </w:r>
      <w:r>
        <w:rPr>
          <w:rFonts w:hint="default" w:ascii="仿宋_GB2312" w:eastAsia="仿宋_GB2312"/>
          <w:sz w:val="28"/>
          <w:szCs w:val="28"/>
          <w:lang w:val="en" w:eastAsia="zh-CN"/>
        </w:rPr>
        <w:t>4.95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384.56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403.6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w:t>
      </w:r>
      <w:r>
        <w:rPr>
          <w:rFonts w:hint="default" w:ascii="仿宋_GB2312" w:eastAsia="仿宋_GB2312"/>
          <w:sz w:val="28"/>
          <w:szCs w:val="28"/>
          <w:lang w:val="en" w:eastAsia="zh-CN"/>
        </w:rPr>
        <w:t>4.95</w:t>
      </w:r>
      <w:r>
        <w:rPr>
          <w:rFonts w:hint="eastAsia" w:ascii="仿宋_GB2312" w:eastAsia="仿宋_GB2312"/>
          <w:sz w:val="28"/>
          <w:szCs w:val="28"/>
        </w:rPr>
        <w:t>%。主要原因：</w:t>
      </w:r>
      <w:r>
        <w:rPr>
          <w:rFonts w:hint="eastAsia" w:ascii="仿宋_GB2312" w:eastAsia="仿宋_GB2312"/>
          <w:sz w:val="28"/>
          <w:szCs w:val="28"/>
          <w:lang w:eastAsia="zh-CN"/>
        </w:rPr>
        <w:t>因</w:t>
      </w:r>
      <w:r>
        <w:rPr>
          <w:rFonts w:hint="eastAsia" w:ascii="仿宋_GB2312" w:eastAsia="仿宋_GB2312"/>
          <w:sz w:val="28"/>
          <w:szCs w:val="28"/>
          <w:lang w:val="en-US" w:eastAsia="zh-CN"/>
        </w:rPr>
        <w:t>人员增加及7月起缴存基数调整，</w:t>
      </w:r>
      <w:r>
        <w:rPr>
          <w:rFonts w:hint="eastAsia" w:ascii="仿宋_GB2312" w:eastAsia="仿宋_GB2312"/>
          <w:b w:val="0"/>
          <w:bCs w:val="0"/>
          <w:sz w:val="28"/>
          <w:szCs w:val="28"/>
          <w:lang w:eastAsia="zh-CN"/>
        </w:rPr>
        <w:t>由单位实际缴纳的基本养老保险费、职业年金支出增加。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257.27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
        </w:rPr>
        <w:t>265.02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eastAsia="zh-CN"/>
        </w:rPr>
        <w:t>103.01</w:t>
      </w:r>
      <w:r>
        <w:rPr>
          <w:rFonts w:hint="eastAsia" w:ascii="仿宋_GB2312" w:eastAsia="仿宋_GB2312"/>
          <w:sz w:val="28"/>
          <w:szCs w:val="28"/>
        </w:rPr>
        <w:t>%。其中：</w:t>
      </w:r>
    </w:p>
    <w:p>
      <w:pPr>
        <w:pStyle w:val="2"/>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257.27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
        </w:rPr>
        <w:t>265.02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eastAsia="zh-CN"/>
        </w:rPr>
        <w:t>103.01</w:t>
      </w:r>
      <w:r>
        <w:rPr>
          <w:rFonts w:hint="eastAsia" w:ascii="仿宋_GB2312" w:eastAsia="仿宋_GB2312"/>
          <w:sz w:val="28"/>
          <w:szCs w:val="28"/>
        </w:rPr>
        <w:t>%。主要原因：</w:t>
      </w:r>
      <w:r>
        <w:rPr>
          <w:rFonts w:hint="eastAsia" w:ascii="仿宋_GB2312" w:eastAsia="仿宋_GB2312"/>
          <w:sz w:val="28"/>
          <w:szCs w:val="28"/>
          <w:lang w:eastAsia="zh-CN"/>
        </w:rPr>
        <w:t>因</w:t>
      </w:r>
      <w:r>
        <w:rPr>
          <w:rFonts w:hint="eastAsia" w:ascii="仿宋_GB2312" w:eastAsia="仿宋_GB2312"/>
          <w:sz w:val="28"/>
          <w:szCs w:val="28"/>
          <w:lang w:val="en-US" w:eastAsia="zh-CN"/>
        </w:rPr>
        <w:t>人员增加及7月起缴存基数调整，</w:t>
      </w:r>
      <w:r>
        <w:rPr>
          <w:rFonts w:hint="eastAsia" w:ascii="仿宋_GB2312" w:eastAsia="仿宋_GB2312"/>
          <w:b w:val="0"/>
          <w:bCs w:val="0"/>
          <w:sz w:val="28"/>
          <w:szCs w:val="28"/>
          <w:lang w:eastAsia="zh-CN"/>
        </w:rPr>
        <w:t>由单位实际缴纳的</w:t>
      </w:r>
      <w:r>
        <w:rPr>
          <w:rFonts w:hint="eastAsia" w:ascii="仿宋_GB2312" w:eastAsia="仿宋_GB2312"/>
          <w:sz w:val="28"/>
          <w:szCs w:val="28"/>
          <w:lang w:eastAsia="zh-CN"/>
        </w:rPr>
        <w:t>行政事业单位医疗支出</w:t>
      </w:r>
      <w:r>
        <w:rPr>
          <w:rFonts w:hint="eastAsia" w:ascii="仿宋_GB2312" w:eastAsia="仿宋_GB2312"/>
          <w:b w:val="0"/>
          <w:bCs w:val="0"/>
          <w:sz w:val="28"/>
          <w:szCs w:val="28"/>
          <w:lang w:eastAsia="zh-CN"/>
        </w:rPr>
        <w:t>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eastAsia="zh-CN"/>
        </w:rPr>
        <w:t>自然资源海洋气候等支出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3705.25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
        </w:rPr>
        <w:t>3656.57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101.33</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自然资源事务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default" w:ascii="仿宋_GB2312" w:eastAsia="仿宋_GB2312"/>
          <w:sz w:val="28"/>
          <w:szCs w:val="28"/>
          <w:lang w:val="en"/>
        </w:rPr>
        <w:t>3705.25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default" w:ascii="仿宋_GB2312" w:eastAsia="仿宋_GB2312"/>
          <w:sz w:val="28"/>
          <w:szCs w:val="28"/>
          <w:lang w:val="en"/>
        </w:rPr>
        <w:t>3656.57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default" w:ascii="仿宋_GB2312" w:eastAsia="仿宋_GB2312"/>
          <w:sz w:val="28"/>
          <w:szCs w:val="28"/>
          <w:lang w:val="en"/>
        </w:rPr>
        <w:t>101.33</w:t>
      </w:r>
      <w:r>
        <w:rPr>
          <w:rFonts w:hint="eastAsia" w:ascii="仿宋_GB2312" w:eastAsia="仿宋_GB2312"/>
          <w:sz w:val="28"/>
          <w:szCs w:val="28"/>
        </w:rPr>
        <w:t>%。主要原因：</w:t>
      </w:r>
      <w:r>
        <w:rPr>
          <w:rFonts w:hint="eastAsia" w:ascii="仿宋_GB2312" w:eastAsia="仿宋_GB2312"/>
          <w:sz w:val="28"/>
          <w:szCs w:val="28"/>
          <w:lang w:eastAsia="zh-CN"/>
        </w:rPr>
        <w:t>一是</w:t>
      </w:r>
      <w:r>
        <w:rPr>
          <w:rFonts w:hint="eastAsia" w:ascii="仿宋_GB2312" w:hAnsi="宋体" w:eastAsia="仿宋_GB2312" w:cs="仿宋_GB2312"/>
          <w:i w:val="0"/>
          <w:color w:val="000000"/>
          <w:kern w:val="0"/>
          <w:sz w:val="28"/>
          <w:szCs w:val="28"/>
          <w:u w:val="none"/>
          <w:lang w:val="en-US" w:eastAsia="zh-CN" w:bidi="ar"/>
        </w:rPr>
        <w:t>新增人员的原因影响人员工资奖金津贴的支出增加；二是1退休人员去世追加了抚恤金。</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numPr>
          <w:ilvl w:val="0"/>
          <w:numId w:val="0"/>
        </w:numPr>
        <w:spacing w:line="560" w:lineRule="exact"/>
        <w:ind w:firstLine="560" w:firstLineChars="200"/>
        <w:rPr>
          <w:rFonts w:hint="eastAsia" w:ascii="黑体" w:eastAsia="黑体"/>
          <w:b/>
          <w:sz w:val="28"/>
          <w:szCs w:val="28"/>
        </w:rPr>
      </w:pPr>
      <w:r>
        <w:rPr>
          <w:rFonts w:hint="eastAsia" w:ascii="仿宋_GB2312" w:eastAsia="仿宋_GB2312"/>
          <w:sz w:val="28"/>
          <w:szCs w:val="28"/>
          <w:lang w:eastAsia="zh-CN"/>
        </w:rPr>
        <w:t>本单位无此支出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w:t>
      </w:r>
      <w:r>
        <w:rPr>
          <w:rFonts w:hint="eastAsia" w:ascii="仿宋_GB2312" w:eastAsia="仿宋_GB2312"/>
          <w:sz w:val="28"/>
          <w:szCs w:val="28"/>
        </w:rPr>
        <w:t>收入总计0</w:t>
      </w:r>
      <w:r>
        <w:rPr>
          <w:rFonts w:hint="eastAsia" w:ascii="仿宋_GB2312" w:eastAsia="仿宋_GB2312"/>
          <w:sz w:val="28"/>
          <w:szCs w:val="28"/>
        </w:rPr>
        <w:t>万元，国有资本经营预算财政拨款</w:t>
      </w:r>
      <w:r>
        <w:rPr>
          <w:rFonts w:hint="eastAsia" w:ascii="仿宋_GB2312" w:eastAsia="仿宋_GB2312"/>
          <w:sz w:val="28"/>
          <w:szCs w:val="28"/>
        </w:rPr>
        <w:t>支出总计0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3707.96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ascii="仿宋_GB2312" w:eastAsia="仿宋_GB2312"/>
          <w:b/>
          <w:sz w:val="32"/>
          <w:szCs w:val="32"/>
        </w:rPr>
      </w:pPr>
    </w:p>
    <w:p>
      <w:pPr>
        <w:pStyle w:val="2"/>
        <w:rPr>
          <w:rFonts w:hint="eastAsia" w:ascii="仿宋_GB2312" w:eastAsia="仿宋_GB2312"/>
          <w:b/>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0.9</w:t>
      </w:r>
      <w:r>
        <w:rPr>
          <w:rFonts w:hint="eastAsia" w:ascii="仿宋_GB2312" w:eastAsia="仿宋_GB2312"/>
          <w:sz w:val="28"/>
          <w:szCs w:val="28"/>
        </w:rPr>
        <w:t>万元减少</w:t>
      </w:r>
      <w:r>
        <w:rPr>
          <w:rFonts w:ascii="仿宋_GB2312" w:eastAsia="仿宋_GB2312"/>
          <w:sz w:val="28"/>
          <w:szCs w:val="28"/>
        </w:rPr>
        <w:t>0.9</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0.9</w:t>
      </w:r>
      <w:r>
        <w:rPr>
          <w:rFonts w:hint="eastAsia" w:ascii="仿宋_GB2312" w:eastAsia="仿宋_GB2312"/>
          <w:sz w:val="28"/>
          <w:szCs w:val="28"/>
        </w:rPr>
        <w:t>万元减</w:t>
      </w:r>
      <w:r>
        <w:rPr>
          <w:rFonts w:hint="eastAsia" w:ascii="仿宋_GB2312" w:eastAsia="仿宋_GB2312"/>
          <w:sz w:val="28"/>
          <w:szCs w:val="28"/>
          <w:lang w:eastAsia="zh-CN"/>
        </w:rPr>
        <w:t>少</w:t>
      </w:r>
      <w:r>
        <w:rPr>
          <w:rFonts w:ascii="仿宋_GB2312" w:eastAsia="仿宋_GB2312"/>
          <w:sz w:val="28"/>
          <w:szCs w:val="28"/>
        </w:rPr>
        <w:t>0.9</w:t>
      </w:r>
      <w:r>
        <w:rPr>
          <w:rFonts w:hint="eastAsia" w:ascii="仿宋_GB2312" w:eastAsia="仿宋_GB2312"/>
          <w:sz w:val="28"/>
          <w:szCs w:val="28"/>
        </w:rPr>
        <w:t>万元。主要原因：</w:t>
      </w:r>
      <w:r>
        <w:rPr>
          <w:rFonts w:hint="eastAsia" w:ascii="仿宋_GB2312" w:eastAsia="仿宋_GB2312"/>
          <w:sz w:val="28"/>
          <w:szCs w:val="28"/>
          <w:lang w:val="en-US" w:eastAsia="zh-CN"/>
        </w:rPr>
        <w:t>2024年本单位此项无支出</w:t>
      </w:r>
      <w:r>
        <w:rPr>
          <w:rFonts w:hint="eastAsia" w:ascii="仿宋_GB2312" w:eastAsia="仿宋_GB2312"/>
          <w:sz w:val="28"/>
          <w:szCs w:val="28"/>
        </w:rPr>
        <w:t>。</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220.23</w:t>
      </w:r>
      <w:r>
        <w:rPr>
          <w:rFonts w:hint="eastAsia" w:ascii="仿宋_GB2312" w:eastAsia="仿宋_GB2312"/>
          <w:sz w:val="28"/>
          <w:szCs w:val="28"/>
        </w:rPr>
        <w:t>万元，比上年增加</w:t>
      </w:r>
      <w:r>
        <w:rPr>
          <w:rFonts w:hint="eastAsia" w:ascii="仿宋_GB2312" w:eastAsia="仿宋_GB2312"/>
          <w:sz w:val="28"/>
          <w:szCs w:val="28"/>
          <w:lang w:val="en-US" w:eastAsia="zh-CN"/>
        </w:rPr>
        <w:t>30.01</w:t>
      </w:r>
      <w:r>
        <w:rPr>
          <w:rFonts w:hint="eastAsia" w:ascii="仿宋_GB2312" w:eastAsia="仿宋_GB2312"/>
          <w:sz w:val="28"/>
          <w:szCs w:val="28"/>
        </w:rPr>
        <w:t>万元，增加原因：</w:t>
      </w:r>
      <w:r>
        <w:rPr>
          <w:rFonts w:hint="eastAsia" w:ascii="仿宋_GB2312" w:eastAsia="仿宋_GB2312"/>
          <w:sz w:val="28"/>
          <w:szCs w:val="28"/>
          <w:lang w:eastAsia="zh-CN"/>
        </w:rPr>
        <w:t>与上年相比支出变动较大的主要有</w:t>
      </w:r>
      <w:r>
        <w:rPr>
          <w:rFonts w:hint="eastAsia" w:ascii="仿宋_GB2312" w:eastAsia="仿宋_GB2312"/>
          <w:sz w:val="28"/>
          <w:szCs w:val="28"/>
          <w:lang w:val="en"/>
        </w:rPr>
        <w:t>1.</w:t>
      </w:r>
      <w:r>
        <w:rPr>
          <w:rFonts w:hint="eastAsia" w:ascii="仿宋_GB2312" w:eastAsia="仿宋_GB2312"/>
          <w:sz w:val="28"/>
          <w:szCs w:val="28"/>
        </w:rPr>
        <w:t>会议费支出</w:t>
      </w:r>
      <w:r>
        <w:rPr>
          <w:rFonts w:hint="eastAsia" w:ascii="仿宋_GB2312" w:eastAsia="仿宋_GB2312"/>
          <w:sz w:val="28"/>
          <w:szCs w:val="28"/>
          <w:lang w:val="en-US" w:eastAsia="zh-CN"/>
        </w:rPr>
        <w:t>10.92万元，</w:t>
      </w:r>
      <w:r>
        <w:rPr>
          <w:rFonts w:hint="eastAsia" w:ascii="仿宋_GB2312" w:eastAsia="仿宋_GB2312"/>
          <w:sz w:val="28"/>
          <w:szCs w:val="28"/>
        </w:rPr>
        <w:t>上年</w:t>
      </w:r>
      <w:r>
        <w:rPr>
          <w:rFonts w:hint="eastAsia" w:ascii="仿宋_GB2312" w:eastAsia="仿宋_GB2312"/>
          <w:sz w:val="28"/>
          <w:szCs w:val="28"/>
          <w:lang w:eastAsia="zh-CN"/>
        </w:rPr>
        <w:t>支出</w:t>
      </w:r>
      <w:r>
        <w:rPr>
          <w:rFonts w:hint="eastAsia" w:ascii="仿宋_GB2312" w:eastAsia="仿宋_GB2312"/>
          <w:sz w:val="28"/>
          <w:szCs w:val="28"/>
          <w:lang w:val="en-US" w:eastAsia="zh-CN"/>
        </w:rPr>
        <w:t>0</w:t>
      </w:r>
      <w:r>
        <w:rPr>
          <w:rFonts w:hint="eastAsia" w:ascii="仿宋_GB2312" w:eastAsia="仿宋_GB2312"/>
          <w:sz w:val="28"/>
          <w:szCs w:val="28"/>
        </w:rPr>
        <w:t>万元，比上年增</w:t>
      </w:r>
      <w:r>
        <w:rPr>
          <w:rFonts w:hint="eastAsia" w:ascii="仿宋_GB2312" w:eastAsia="仿宋_GB2312"/>
          <w:sz w:val="28"/>
          <w:szCs w:val="28"/>
          <w:lang w:eastAsia="zh-CN"/>
        </w:rPr>
        <w:t>加</w:t>
      </w:r>
      <w:r>
        <w:rPr>
          <w:rFonts w:hint="eastAsia" w:ascii="仿宋_GB2312" w:eastAsia="仿宋_GB2312"/>
          <w:sz w:val="28"/>
          <w:szCs w:val="28"/>
          <w:lang w:val="en-US" w:eastAsia="zh-CN"/>
        </w:rPr>
        <w:t>10.92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lang w:val="en-US" w:eastAsia="zh-CN"/>
        </w:rPr>
        <w:t>2024年召开“2024年市规划和自然资源执法系统案卷评查暨执法业务研讨会”</w:t>
      </w:r>
      <w:r>
        <w:rPr>
          <w:rFonts w:hint="eastAsia" w:ascii="仿宋_GB2312" w:eastAsia="仿宋_GB2312"/>
          <w:sz w:val="28"/>
          <w:szCs w:val="28"/>
          <w:lang w:val="en" w:eastAsia="zh-CN"/>
        </w:rPr>
        <w:t>;2.</w:t>
      </w:r>
      <w:r>
        <w:rPr>
          <w:rFonts w:hint="eastAsia" w:ascii="仿宋_GB2312" w:eastAsia="仿宋_GB2312"/>
          <w:sz w:val="28"/>
          <w:szCs w:val="28"/>
          <w:lang w:eastAsia="zh-CN"/>
        </w:rPr>
        <w:t>差旅费支出</w:t>
      </w:r>
      <w:r>
        <w:rPr>
          <w:rFonts w:hint="eastAsia" w:ascii="仿宋_GB2312" w:eastAsia="仿宋_GB2312"/>
          <w:sz w:val="28"/>
          <w:szCs w:val="28"/>
          <w:lang w:val="en-US" w:eastAsia="zh-CN"/>
        </w:rPr>
        <w:t>13.68万元比上年度11.33万元</w:t>
      </w:r>
      <w:r>
        <w:rPr>
          <w:rFonts w:hint="eastAsia" w:ascii="仿宋_GB2312" w:eastAsia="仿宋_GB2312"/>
          <w:sz w:val="28"/>
          <w:szCs w:val="28"/>
        </w:rPr>
        <w:t>,增</w:t>
      </w:r>
      <w:r>
        <w:rPr>
          <w:rFonts w:hint="eastAsia" w:ascii="仿宋_GB2312" w:eastAsia="仿宋_GB2312"/>
          <w:sz w:val="28"/>
          <w:szCs w:val="28"/>
          <w:lang w:eastAsia="zh-CN"/>
        </w:rPr>
        <w:t>加</w:t>
      </w:r>
      <w:r>
        <w:rPr>
          <w:rFonts w:hint="eastAsia" w:ascii="仿宋_GB2312" w:eastAsia="仿宋_GB2312"/>
          <w:sz w:val="28"/>
          <w:szCs w:val="28"/>
          <w:lang w:val="en-US" w:eastAsia="zh-CN"/>
        </w:rPr>
        <w:t>2.35万元</w:t>
      </w:r>
      <w:r>
        <w:rPr>
          <w:rFonts w:hint="eastAsia" w:ascii="仿宋_GB2312" w:eastAsia="仿宋_GB2312"/>
          <w:sz w:val="28"/>
          <w:szCs w:val="28"/>
          <w:lang w:val="en" w:eastAsia="zh-CN"/>
        </w:rPr>
        <w:t>,</w:t>
      </w:r>
      <w:r>
        <w:rPr>
          <w:rFonts w:hint="eastAsia" w:ascii="仿宋_GB2312" w:eastAsia="仿宋_GB2312"/>
          <w:sz w:val="28"/>
          <w:szCs w:val="28"/>
          <w:lang w:val="en-US" w:eastAsia="zh-CN"/>
        </w:rPr>
        <w:t>2024年执法总队根据领导批示，分批次参加了自然资源部组织的“自然资源执法业务培训”等发生的差旅费；外出会议、调研发生差旅费</w:t>
      </w:r>
      <w:r>
        <w:rPr>
          <w:rFonts w:hint="eastAsia" w:ascii="仿宋_GB2312" w:eastAsia="仿宋_GB2312"/>
          <w:sz w:val="28"/>
          <w:szCs w:val="28"/>
          <w:lang w:val="en" w:eastAsia="zh-CN"/>
        </w:rPr>
        <w:t>;3.</w:t>
      </w:r>
      <w:r>
        <w:rPr>
          <w:rFonts w:hint="eastAsia" w:ascii="仿宋_GB2312" w:eastAsia="仿宋_GB2312"/>
          <w:sz w:val="28"/>
          <w:szCs w:val="28"/>
          <w:lang w:eastAsia="zh-CN"/>
        </w:rPr>
        <w:t>本年培训费支出</w:t>
      </w:r>
      <w:r>
        <w:rPr>
          <w:rFonts w:hint="eastAsia" w:ascii="仿宋_GB2312" w:eastAsia="仿宋_GB2312"/>
          <w:sz w:val="28"/>
          <w:szCs w:val="28"/>
          <w:lang w:val="en-US" w:eastAsia="zh-CN"/>
        </w:rPr>
        <w:t>9.60万元比上年度3.48万元</w:t>
      </w:r>
      <w:r>
        <w:rPr>
          <w:rFonts w:hint="eastAsia" w:ascii="仿宋_GB2312" w:eastAsia="仿宋_GB2312"/>
          <w:sz w:val="28"/>
          <w:szCs w:val="28"/>
        </w:rPr>
        <w:t>同比增额</w:t>
      </w:r>
      <w:r>
        <w:rPr>
          <w:rFonts w:hint="eastAsia" w:ascii="仿宋_GB2312" w:eastAsia="仿宋_GB2312"/>
          <w:sz w:val="28"/>
          <w:szCs w:val="28"/>
          <w:lang w:val="en-US" w:eastAsia="zh-CN"/>
        </w:rPr>
        <w:t>6.12万元</w:t>
      </w:r>
      <w:r>
        <w:rPr>
          <w:rFonts w:hint="eastAsia" w:ascii="仿宋_GB2312" w:eastAsia="仿宋_GB2312"/>
          <w:sz w:val="28"/>
          <w:szCs w:val="28"/>
        </w:rPr>
        <w:t>。</w:t>
      </w:r>
      <w:r>
        <w:rPr>
          <w:rFonts w:hint="eastAsia" w:ascii="仿宋_GB2312" w:eastAsia="仿宋_GB2312"/>
          <w:sz w:val="28"/>
          <w:szCs w:val="28"/>
          <w:lang w:val="en-US" w:eastAsia="zh-CN"/>
        </w:rPr>
        <w:t>2024年执法总队根据领导批示，分批次参加了自然资源部组织的“自然资源执法业务培训”等</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470.78</w:t>
      </w:r>
      <w:r>
        <w:rPr>
          <w:rFonts w:hint="eastAsia" w:ascii="仿宋_GB2312" w:eastAsia="仿宋_GB2312"/>
          <w:sz w:val="28"/>
          <w:szCs w:val="28"/>
        </w:rPr>
        <w:t>万元，其中：政府采购货物支出</w:t>
      </w:r>
      <w:r>
        <w:rPr>
          <w:rFonts w:ascii="仿宋_GB2312" w:eastAsia="仿宋_GB2312"/>
          <w:sz w:val="28"/>
          <w:szCs w:val="28"/>
        </w:rPr>
        <w:t>10.67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460.11</w:t>
      </w:r>
      <w:r>
        <w:rPr>
          <w:rFonts w:hint="eastAsia" w:ascii="仿宋_GB2312" w:eastAsia="仿宋_GB2312"/>
          <w:sz w:val="28"/>
          <w:szCs w:val="28"/>
        </w:rPr>
        <w:t>万元。授予中小企业合同金额</w:t>
      </w:r>
      <w:r>
        <w:rPr>
          <w:rFonts w:ascii="仿宋_GB2312" w:eastAsia="仿宋_GB2312"/>
          <w:sz w:val="28"/>
          <w:szCs w:val="28"/>
        </w:rPr>
        <w:t>0.69</w:t>
      </w:r>
      <w:r>
        <w:rPr>
          <w:rFonts w:hint="eastAsia" w:ascii="仿宋_GB2312" w:eastAsia="仿宋_GB2312"/>
          <w:sz w:val="28"/>
          <w:szCs w:val="28"/>
        </w:rPr>
        <w:t>万元，占政府采购支出总额的</w:t>
      </w:r>
      <w:r>
        <w:rPr>
          <w:rFonts w:hint="eastAsia" w:ascii="仿宋_GB2312" w:eastAsia="仿宋_GB2312"/>
          <w:sz w:val="28"/>
          <w:szCs w:val="28"/>
          <w:lang w:eastAsia="zh-CN"/>
        </w:rPr>
        <w:t>0.15</w:t>
      </w:r>
      <w:r>
        <w:rPr>
          <w:rFonts w:hint="eastAsia" w:ascii="仿宋_GB2312" w:eastAsia="仿宋_GB2312"/>
          <w:sz w:val="28"/>
          <w:szCs w:val="28"/>
        </w:rPr>
        <w:t>%，其中：授予小微企业合同金额</w:t>
      </w:r>
      <w:r>
        <w:rPr>
          <w:rFonts w:ascii="仿宋_GB2312" w:eastAsia="仿宋_GB2312"/>
          <w:sz w:val="28"/>
          <w:szCs w:val="28"/>
        </w:rPr>
        <w:t>0.69</w:t>
      </w:r>
      <w:r>
        <w:rPr>
          <w:rFonts w:hint="eastAsia" w:ascii="仿宋_GB2312" w:eastAsia="仿宋_GB2312"/>
          <w:sz w:val="28"/>
          <w:szCs w:val="28"/>
        </w:rPr>
        <w:t>万元，占政府采购支出总额的</w:t>
      </w:r>
      <w:r>
        <w:rPr>
          <w:rFonts w:ascii="仿宋_GB2312" w:eastAsia="仿宋_GB2312"/>
          <w:sz w:val="28"/>
          <w:szCs w:val="28"/>
        </w:rPr>
        <w:t>0.15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12月31日，北京市规划和自然资源执法总队</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政府购买服务决算460.11</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b w:val="0"/>
          <w:bCs w:val="0"/>
          <w:sz w:val="28"/>
          <w:szCs w:val="28"/>
        </w:rPr>
      </w:pPr>
      <w:r>
        <w:rPr>
          <w:rFonts w:hint="eastAsia" w:ascii="仿宋_GB2312" w:eastAsia="仿宋_GB2312"/>
          <w:b w:val="0"/>
          <w:bCs w:val="0"/>
          <w:sz w:val="28"/>
          <w:szCs w:val="28"/>
        </w:rPr>
        <w:t>7.</w:t>
      </w:r>
      <w:r>
        <w:rPr>
          <w:rFonts w:hint="eastAsia" w:ascii="仿宋_GB2312" w:eastAsia="仿宋_GB2312"/>
          <w:b w:val="0"/>
          <w:bCs w:val="0"/>
          <w:sz w:val="28"/>
          <w:szCs w:val="28"/>
          <w:lang w:eastAsia="zh-CN"/>
        </w:rPr>
        <w:t>自然资源海洋气候等</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自然资源事务</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行政运行</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行政单位的基本支出</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b w:val="0"/>
          <w:bCs w:val="0"/>
          <w:sz w:val="28"/>
          <w:szCs w:val="28"/>
        </w:rPr>
      </w:pPr>
      <w:r>
        <w:rPr>
          <w:rFonts w:hint="eastAsia" w:ascii="仿宋_GB2312" w:eastAsia="仿宋_GB2312"/>
          <w:b w:val="0"/>
          <w:bCs w:val="0"/>
          <w:sz w:val="28"/>
          <w:szCs w:val="28"/>
          <w:lang w:val="en-US" w:eastAsia="zh-CN"/>
        </w:rPr>
        <w:t>8</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教育支出</w:t>
      </w:r>
      <w:r>
        <w:rPr>
          <w:rFonts w:hint="eastAsia" w:ascii="仿宋_GB2312" w:eastAsia="仿宋_GB2312"/>
          <w:b w:val="0"/>
          <w:bCs w:val="0"/>
          <w:sz w:val="28"/>
          <w:szCs w:val="28"/>
        </w:rPr>
        <w:t>（类）</w:t>
      </w:r>
      <w:r>
        <w:rPr>
          <w:rFonts w:hint="eastAsia" w:ascii="仿宋_GB2312" w:eastAsia="仿宋_GB2312"/>
          <w:b w:val="0"/>
          <w:bCs w:val="0"/>
          <w:sz w:val="28"/>
          <w:szCs w:val="28"/>
          <w:lang w:eastAsia="zh-CN"/>
        </w:rPr>
        <w:t>进修及培训</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培训支出</w:t>
      </w:r>
      <w:r>
        <w:rPr>
          <w:rFonts w:hint="eastAsia" w:ascii="仿宋_GB2312" w:eastAsia="仿宋_GB2312"/>
          <w:b w:val="0"/>
          <w:bCs w:val="0"/>
          <w:sz w:val="28"/>
          <w:szCs w:val="28"/>
        </w:rPr>
        <w:t>（项）：反映反映</w:t>
      </w:r>
      <w:r>
        <w:rPr>
          <w:rFonts w:hint="eastAsia" w:ascii="仿宋_GB2312" w:eastAsia="仿宋_GB2312"/>
          <w:b w:val="0"/>
          <w:bCs w:val="0"/>
          <w:sz w:val="28"/>
          <w:szCs w:val="28"/>
          <w:lang w:eastAsia="zh-CN"/>
        </w:rPr>
        <w:t>各部门安排的用于培训的支出</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b w:val="0"/>
          <w:bCs w:val="0"/>
          <w:sz w:val="28"/>
          <w:szCs w:val="28"/>
        </w:rPr>
      </w:pPr>
      <w:r>
        <w:rPr>
          <w:rFonts w:hint="eastAsia" w:ascii="仿宋_GB2312" w:eastAsia="仿宋_GB2312"/>
          <w:b w:val="0"/>
          <w:bCs w:val="0"/>
          <w:sz w:val="28"/>
          <w:szCs w:val="28"/>
          <w:lang w:val="en-US" w:eastAsia="zh-CN"/>
        </w:rPr>
        <w:t>9</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自然资源海洋气候等</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自然资源事务</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一般行政管理事务</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行政单位未单独设置项级科目的其他项目支出</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b w:val="0"/>
          <w:bCs w:val="0"/>
          <w:sz w:val="28"/>
          <w:szCs w:val="28"/>
        </w:rPr>
      </w:pPr>
      <w:r>
        <w:rPr>
          <w:rFonts w:hint="eastAsia" w:ascii="仿宋_GB2312" w:eastAsia="仿宋_GB2312"/>
          <w:b w:val="0"/>
          <w:bCs w:val="0"/>
          <w:sz w:val="28"/>
          <w:szCs w:val="28"/>
          <w:lang w:val="en-US" w:eastAsia="zh-CN"/>
        </w:rPr>
        <w:t>10</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自然资源海洋气候等</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自然资源事务</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其他转入资源事务支出</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上述项目业务洽谈用于转入资源事务方面的支出</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lang w:val="en-US" w:eastAsia="zh-CN"/>
        </w:rPr>
        <w:t>11</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卫生健康</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行政事业单位医疗</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行政单位医疗</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财政部门安排的行政单位基本养老保险费经费为参加养老保险的行政单位的公费医疗经费，安国家规定享受离休人员、红军老站士待遇人员的医疗经费</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lang w:val="en-US" w:eastAsia="zh-CN"/>
        </w:rPr>
        <w:t>12</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社会保障和就业</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行政单位离退休</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行政单位开支的离退休经费</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lang w:val="en-US" w:eastAsia="zh-CN"/>
        </w:rPr>
        <w:t>13</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社会保障和就业</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机关事业单位基本养老保险缴费支出</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机关事业单位实施养老保险制度由单位实际缴纳的基本养老保险费支出</w:t>
      </w:r>
      <w:r>
        <w:rPr>
          <w:rFonts w:hint="eastAsia" w:ascii="仿宋_GB2312" w:eastAsia="仿宋_GB2312"/>
          <w:b w:val="0"/>
          <w:bCs w:val="0"/>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b w:val="0"/>
          <w:bCs w:val="0"/>
          <w:sz w:val="28"/>
          <w:szCs w:val="28"/>
        </w:rPr>
      </w:pPr>
      <w:r>
        <w:rPr>
          <w:rFonts w:hint="eastAsia" w:ascii="仿宋_GB2312" w:eastAsia="仿宋_GB2312"/>
          <w:b w:val="0"/>
          <w:bCs w:val="0"/>
          <w:sz w:val="28"/>
          <w:szCs w:val="28"/>
          <w:lang w:val="en-US" w:eastAsia="zh-CN"/>
        </w:rPr>
        <w:t>14</w:t>
      </w:r>
      <w:r>
        <w:rPr>
          <w:rFonts w:hint="eastAsia" w:ascii="仿宋_GB2312" w:eastAsia="仿宋_GB2312"/>
          <w:b w:val="0"/>
          <w:bCs w:val="0"/>
          <w:sz w:val="28"/>
          <w:szCs w:val="28"/>
        </w:rPr>
        <w:t>.</w:t>
      </w:r>
      <w:r>
        <w:rPr>
          <w:rFonts w:hint="eastAsia" w:ascii="仿宋_GB2312" w:eastAsia="仿宋_GB2312"/>
          <w:b w:val="0"/>
          <w:bCs w:val="0"/>
          <w:sz w:val="28"/>
          <w:szCs w:val="28"/>
          <w:lang w:eastAsia="zh-CN"/>
        </w:rPr>
        <w:t>社会保障和就业</w:t>
      </w:r>
      <w:r>
        <w:rPr>
          <w:rFonts w:hint="eastAsia" w:ascii="仿宋_GB2312" w:eastAsia="仿宋_GB2312"/>
          <w:b w:val="0"/>
          <w:bCs w:val="0"/>
          <w:sz w:val="28"/>
          <w:szCs w:val="28"/>
        </w:rPr>
        <w:t>支出（类）</w:t>
      </w:r>
      <w:r>
        <w:rPr>
          <w:rFonts w:hint="eastAsia" w:ascii="仿宋_GB2312" w:eastAsia="仿宋_GB2312"/>
          <w:b w:val="0"/>
          <w:bCs w:val="0"/>
          <w:sz w:val="28"/>
          <w:szCs w:val="28"/>
          <w:lang w:eastAsia="zh-CN"/>
        </w:rPr>
        <w:t>行政事业单位养老支出</w:t>
      </w:r>
      <w:r>
        <w:rPr>
          <w:rFonts w:hint="eastAsia" w:ascii="仿宋_GB2312" w:eastAsia="仿宋_GB2312"/>
          <w:b w:val="0"/>
          <w:bCs w:val="0"/>
          <w:sz w:val="28"/>
          <w:szCs w:val="28"/>
        </w:rPr>
        <w:t>（款）</w:t>
      </w:r>
      <w:r>
        <w:rPr>
          <w:rFonts w:hint="eastAsia" w:ascii="仿宋_GB2312" w:eastAsia="仿宋_GB2312"/>
          <w:b w:val="0"/>
          <w:bCs w:val="0"/>
          <w:sz w:val="28"/>
          <w:szCs w:val="28"/>
          <w:lang w:eastAsia="zh-CN"/>
        </w:rPr>
        <w:t>机关事业单位职业年金缴费支出</w:t>
      </w:r>
      <w:r>
        <w:rPr>
          <w:rFonts w:hint="eastAsia" w:ascii="仿宋_GB2312" w:eastAsia="仿宋_GB2312"/>
          <w:b w:val="0"/>
          <w:bCs w:val="0"/>
          <w:sz w:val="28"/>
          <w:szCs w:val="28"/>
        </w:rPr>
        <w:t>（项）：反映</w:t>
      </w:r>
      <w:r>
        <w:rPr>
          <w:rFonts w:hint="eastAsia" w:ascii="仿宋_GB2312" w:eastAsia="仿宋_GB2312"/>
          <w:b w:val="0"/>
          <w:bCs w:val="0"/>
          <w:sz w:val="28"/>
          <w:szCs w:val="28"/>
          <w:lang w:eastAsia="zh-CN"/>
        </w:rPr>
        <w:t>机关事业单位实施养老保险制度由单位实际缴纳的职业年金支出</w:t>
      </w:r>
      <w:r>
        <w:rPr>
          <w:rFonts w:hint="eastAsia" w:ascii="仿宋_GB2312" w:eastAsia="仿宋_GB2312"/>
          <w:b w:val="0"/>
          <w:bCs w:val="0"/>
          <w:sz w:val="28"/>
          <w:szCs w:val="28"/>
          <w:lang w:val="en" w:eastAsia="zh-CN"/>
        </w:rPr>
        <w:t>（含职业年金补记支出）</w:t>
      </w:r>
      <w:r>
        <w:rPr>
          <w:rFonts w:hint="eastAsia" w:ascii="仿宋_GB2312" w:eastAsia="仿宋_GB2312"/>
          <w:b w:val="0"/>
          <w:bCs w:val="0"/>
          <w:sz w:val="28"/>
          <w:szCs w:val="28"/>
          <w:lang w:eastAsia="zh-CN"/>
        </w:rPr>
        <w:t>。</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pStyle w:val="2"/>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numPr>
          <w:numId w:val="0"/>
        </w:numPr>
        <w:rPr>
          <w:rFonts w:hint="eastAsia"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w:t>
      </w:r>
      <w:r>
        <w:rPr>
          <w:rFonts w:hint="eastAsia" w:ascii="黑体" w:eastAsia="黑体"/>
          <w:sz w:val="28"/>
          <w:szCs w:val="28"/>
          <w:lang w:val="en-US" w:eastAsia="zh-CN"/>
        </w:rPr>
        <w:t>详见</w:t>
      </w:r>
      <w:bookmarkStart w:id="0" w:name="_GoBack"/>
      <w:bookmarkEnd w:id="0"/>
      <w:r>
        <w:rPr>
          <w:rFonts w:hint="eastAsia" w:ascii="黑体" w:eastAsia="黑体"/>
          <w:sz w:val="28"/>
          <w:szCs w:val="28"/>
          <w:lang w:eastAsia="zh-CN"/>
        </w:rPr>
        <w:t>附件</w:t>
      </w:r>
      <w:r>
        <w:rPr>
          <w:rFonts w:hint="eastAsia" w:ascii="黑体" w:eastAsia="黑体"/>
          <w:sz w:val="28"/>
          <w:szCs w:val="28"/>
          <w:lang w:val="en-US" w:eastAsia="zh-CN"/>
        </w:rPr>
        <w:t>2</w:t>
      </w:r>
      <w:r>
        <w:rPr>
          <w:rFonts w:hint="eastAsia" w:ascii="黑体" w:eastAsia="黑体"/>
          <w:sz w:val="28"/>
          <w:szCs w:val="28"/>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7EC7A1"/>
    <w:multiLevelType w:val="singleLevel"/>
    <w:tmpl w:val="DA7EC7A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BDF9DF9"/>
    <w:rsid w:val="3C684897"/>
    <w:rsid w:val="419F13A5"/>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7CD8F7D"/>
    <w:rsid w:val="798524E4"/>
    <w:rsid w:val="7A7F1C49"/>
    <w:rsid w:val="7B5729BD"/>
    <w:rsid w:val="7B5B7AE6"/>
    <w:rsid w:val="7B7B6628"/>
    <w:rsid w:val="7BA7071E"/>
    <w:rsid w:val="7BDF6DA8"/>
    <w:rsid w:val="7C7EDC1A"/>
    <w:rsid w:val="7CCED98D"/>
    <w:rsid w:val="7D08410F"/>
    <w:rsid w:val="7DB96DED"/>
    <w:rsid w:val="7DD3AD81"/>
    <w:rsid w:val="7F7FE70F"/>
    <w:rsid w:val="7FFF772F"/>
    <w:rsid w:val="7FFFFBCE"/>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cap="all" spc="150" baseline="0">
                <a:solidFill>
                  <a:schemeClr val="tx1">
                    <a:lumMod val="50000"/>
                    <a:lumOff val="50000"/>
                  </a:schemeClr>
                </a:solidFill>
                <a:latin typeface="+mn-lt"/>
                <a:ea typeface="+mn-ea"/>
                <a:cs typeface="+mn-cs"/>
              </a:defRPr>
            </a:pPr>
            <a:r>
              <a:t>收入决算</a:t>
            </a:r>
          </a:p>
        </c:rich>
      </c:tx>
      <c:layout/>
      <c:overlay val="0"/>
      <c:spPr>
        <a:noFill/>
        <a:ln>
          <a:noFill/>
        </a:ln>
        <a:effectLst/>
      </c:spPr>
    </c:title>
    <c:autoTitleDeleted val="0"/>
    <c:plotArea>
      <c:layout/>
      <c:pieChart>
        <c:varyColors val="0"/>
        <c:ser>
          <c:idx val="0"/>
          <c:order val="0"/>
          <c:tx>
            <c:strRef>
              <c:f>Sheet1!$B$1</c:f>
              <c:strCache>
                <c:ptCount val="1"/>
                <c:pt idx="0">
                  <c:v>收入</c:v>
                </c:pt>
              </c:strCache>
            </c:strRef>
          </c:tx>
          <c:spPr>
            <a:solidFill>
              <a:schemeClr val="tx2">
                <a:lumMod val="60000"/>
                <a:lumOff val="40000"/>
              </a:schemeClr>
            </a:solidFill>
            <a:ln w="19050">
              <a:solidFill>
                <a:schemeClr val="lt1"/>
              </a:solidFill>
            </a:ln>
            <a:effectLst>
              <a:innerShdw blurRad="114300">
                <a:schemeClr val="accent1"/>
              </a:innerShdw>
            </a:effectLst>
          </c:spPr>
          <c:explosion val="0"/>
          <c:dPt>
            <c:idx val="1"/>
            <c:bubble3D val="0"/>
            <c:spPr>
              <a:solidFill>
                <a:schemeClr val="accent2"/>
              </a:solidFill>
              <a:ln w="19050">
                <a:solidFill>
                  <a:schemeClr val="lt1"/>
                </a:solidFill>
              </a:ln>
              <a:effectLst>
                <a:innerShdw blurRad="114300">
                  <a:schemeClr val="accent1"/>
                </a:innerShdw>
              </a:effectLst>
            </c:spPr>
          </c:dPt>
          <c:dLbls>
            <c:dLbl>
              <c:idx val="1"/>
              <c:layout>
                <c:manualLayout>
                  <c:x val="-0.0801591101197852"/>
                  <c:y val="0.051666467288451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4361.83</c:v>
                </c:pt>
                <c:pt idx="1">
                  <c:v>0.72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64983482774894"/>
          <c:y val="0.483774202345241"/>
          <c:w val="0.216139688532327"/>
          <c:h val="0.264521407144805"/>
        </c:manualLayout>
      </c:layout>
      <c:overlay val="0"/>
      <c:spPr>
        <a:solidFill>
          <a:schemeClr val="bg1"/>
        </a:solid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extLst>
                <c:ext xmlns:c15="http://schemas.microsoft.com/office/drawing/2012/chart" uri="{02D57815-91ED-43cb-92C2-25804820EDAC}">
                  <c15:fullRef>
                    <c15:sqref>Sheet0!$A$2:$A$3</c15:sqref>
                  </c15:fullRef>
                </c:ext>
              </c:extLst>
              <c:f>Sheet0!$A$2:$A$3</c:f>
              <c:strCache>
                <c:ptCount val="2"/>
                <c:pt idx="0">
                  <c:v>基本支出</c:v>
                </c:pt>
                <c:pt idx="1">
                  <c:v>项目支出</c:v>
                </c:pt>
              </c:strCache>
            </c:strRef>
          </c:cat>
          <c:val>
            <c:numRef>
              <c:extLst>
                <c:ext xmlns:c15="http://schemas.microsoft.com/office/drawing/2012/chart" uri="{02D57815-91ED-43cb-92C2-25804820EDAC}">
                  <c15:fullRef>
                    <c15:sqref>Sheet0!$B$2:$B$3</c15:sqref>
                  </c15:fullRef>
                </c:ext>
              </c:extLst>
              <c:f>Sheet0!$B$2:$B$3</c:f>
              <c:numCache>
                <c:formatCode>General</c:formatCode>
                <c:ptCount val="2"/>
                <c:pt idx="0">
                  <c:v>3707.96</c:v>
                </c:pt>
                <c:pt idx="1">
                  <c:v>627.76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acrossLinear" id="2">
  <a:schemeClr val="accent1"/>
  <a:schemeClr val="accent2"/>
  <a:schemeClr val="accent3"/>
  <a:schemeClr val="accent4"/>
  <a:schemeClr val="accent5"/>
  <a:schemeClr val="accent6"/>
</cs:colorStyle>
</file>

<file path=word/charts/style1.xml><?xml version="1.0" encoding="utf-8"?>
<cs:chartStyle xmlns:cs="http://schemas.microsoft.com/office/drawing/2012/chartStyle" xmlns:a="http://schemas.openxmlformats.org/drawingml/2006/main" id="252">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
  <cs:dataPoint3D>
    <cs:lnRef idx="0"/>
    <cs:fillRef idx="0">
      <cs:styleClr val="auto"/>
    </cs:fillRef>
    <cs:effectRef idx="0"/>
    <cs:fontRef idx="minor">
      <a:schemeClr val="dk1"/>
    </cs:fontRef>
    <cs:spPr>
      <a:pattFill prst="ltUpDiag">
        <a:fgClr>
          <a:schemeClr val="phClr"/>
        </a:fgClr>
        <a:bgClr>
          <a:schemeClr val="phClr">
            <a:lumMod val="20000"/>
            <a:lumOff val="80000"/>
          </a:schemeClr>
        </a:bgClr>
      </a:pattFill>
      <a:ln w="19050">
        <a:solidFill>
          <a:schemeClr val="lt1"/>
        </a:solidFill>
      </a:ln>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20</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刘金</cp:lastModifiedBy>
  <cp:lastPrinted>2020-08-08T03:39:00Z</cp:lastPrinted>
  <dcterms:modified xsi:type="dcterms:W3CDTF">2025-09-04T02:01:01Z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