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52"/>
          <w:szCs w:val="52"/>
        </w:rPr>
      </w:pPr>
    </w:p>
    <w:p>
      <w:pPr>
        <w:jc w:val="center"/>
        <w:rPr>
          <w:rFonts w:ascii="宋体" w:hAnsi="宋体" w:eastAsia="宋体" w:cs="宋体"/>
          <w:b/>
          <w:bCs/>
          <w:sz w:val="52"/>
          <w:szCs w:val="52"/>
        </w:rPr>
      </w:pPr>
    </w:p>
    <w:p>
      <w:pPr>
        <w:jc w:val="center"/>
        <w:rPr>
          <w:rFonts w:hint="eastAsia" w:ascii="宋体" w:hAnsi="宋体" w:eastAsia="宋体" w:cs="宋体"/>
          <w:b/>
          <w:sz w:val="52"/>
          <w:szCs w:val="52"/>
          <w:lang w:eastAsia="zh-CN"/>
        </w:rPr>
      </w:pPr>
      <w:r>
        <w:rPr>
          <w:rFonts w:hint="eastAsia" w:ascii="宋体" w:hAnsi="宋体" w:eastAsia="宋体" w:cs="宋体"/>
          <w:b/>
          <w:sz w:val="52"/>
          <w:szCs w:val="52"/>
          <w:lang w:val="en-US" w:eastAsia="zh-CN"/>
        </w:rPr>
        <w:t>自然灾害防治体系建设补助</w:t>
      </w:r>
      <w:r>
        <w:rPr>
          <w:rFonts w:hint="eastAsia" w:ascii="宋体" w:hAnsi="宋体" w:eastAsia="宋体" w:cs="宋体"/>
          <w:b/>
          <w:sz w:val="52"/>
          <w:szCs w:val="52"/>
          <w:lang w:eastAsia="zh-CN"/>
        </w:rPr>
        <w:t>资金</w:t>
      </w:r>
    </w:p>
    <w:p>
      <w:pPr>
        <w:jc w:val="center"/>
        <w:rPr>
          <w:rFonts w:ascii="宋体" w:hAnsi="宋体" w:eastAsia="宋体" w:cs="宋体"/>
          <w:b/>
          <w:sz w:val="52"/>
          <w:szCs w:val="52"/>
        </w:rPr>
      </w:pPr>
      <w:r>
        <w:rPr>
          <w:rFonts w:hint="eastAsia" w:ascii="宋体" w:hAnsi="宋体" w:eastAsia="宋体" w:cs="宋体"/>
          <w:b/>
          <w:sz w:val="52"/>
          <w:szCs w:val="52"/>
        </w:rPr>
        <w:t>202</w:t>
      </w:r>
      <w:r>
        <w:rPr>
          <w:rFonts w:hint="eastAsia" w:ascii="宋体" w:hAnsi="宋体" w:eastAsia="宋体" w:cs="宋体"/>
          <w:b/>
          <w:sz w:val="52"/>
          <w:szCs w:val="52"/>
          <w:lang w:val="en-US" w:eastAsia="zh-CN"/>
        </w:rPr>
        <w:t>4</w:t>
      </w:r>
      <w:r>
        <w:rPr>
          <w:rFonts w:hint="eastAsia" w:ascii="宋体" w:hAnsi="宋体" w:eastAsia="宋体" w:cs="宋体"/>
          <w:b/>
          <w:sz w:val="52"/>
          <w:szCs w:val="52"/>
        </w:rPr>
        <w:t>年度绩效自评报告</w:t>
      </w:r>
    </w:p>
    <w:p>
      <w:pPr>
        <w:jc w:val="center"/>
        <w:rPr>
          <w:rFonts w:ascii="黑体" w:hAnsi="黑体" w:eastAsia="黑体" w:cs="黑体"/>
          <w:sz w:val="72"/>
          <w:szCs w:val="72"/>
        </w:rPr>
      </w:pPr>
    </w:p>
    <w:p>
      <w:pPr>
        <w:jc w:val="center"/>
        <w:rPr>
          <w:rFonts w:hint="eastAsia" w:ascii="黑体" w:hAnsi="黑体" w:eastAsia="黑体" w:cs="黑体"/>
          <w:sz w:val="72"/>
          <w:szCs w:val="72"/>
          <w:lang w:eastAsia="zh-CN"/>
        </w:rPr>
      </w:pPr>
    </w:p>
    <w:p>
      <w:pPr>
        <w:jc w:val="center"/>
        <w:rPr>
          <w:rFonts w:ascii="黑体" w:hAnsi="黑体" w:eastAsia="黑体" w:cs="黑体"/>
          <w:sz w:val="72"/>
          <w:szCs w:val="72"/>
        </w:rPr>
      </w:pPr>
    </w:p>
    <w:p>
      <w:pPr>
        <w:rPr>
          <w:rFonts w:ascii="黑体" w:hAnsi="黑体" w:eastAsia="黑体" w:cs="黑体"/>
          <w:sz w:val="72"/>
          <w:szCs w:val="72"/>
        </w:rPr>
      </w:pPr>
    </w:p>
    <w:p>
      <w:pPr>
        <w:jc w:val="center"/>
        <w:rPr>
          <w:rFonts w:ascii="黑体" w:hAnsi="黑体" w:eastAsia="黑体" w:cs="黑体"/>
          <w:sz w:val="72"/>
          <w:szCs w:val="72"/>
        </w:rPr>
      </w:pPr>
    </w:p>
    <w:p>
      <w:pPr>
        <w:jc w:val="center"/>
        <w:rPr>
          <w:rFonts w:ascii="黑体" w:hAnsi="黑体" w:eastAsia="黑体" w:cs="黑体"/>
          <w:sz w:val="72"/>
          <w:szCs w:val="72"/>
        </w:rPr>
      </w:pPr>
    </w:p>
    <w:p>
      <w:pPr>
        <w:rPr>
          <w:rFonts w:ascii="黑体" w:hAnsi="黑体" w:eastAsia="黑体" w:cs="黑体"/>
          <w:sz w:val="72"/>
          <w:szCs w:val="72"/>
        </w:rPr>
      </w:pPr>
    </w:p>
    <w:p>
      <w:pPr>
        <w:jc w:val="center"/>
        <w:rPr>
          <w:rFonts w:hint="eastAsia" w:ascii="黑体" w:hAnsi="黑体" w:eastAsia="黑体" w:cs="黑体"/>
          <w:color w:val="000000" w:themeColor="text1"/>
          <w:sz w:val="72"/>
          <w:szCs w:val="72"/>
          <w:highlight w:val="none"/>
          <w:lang w:val="en-US" w:eastAsia="zh-CN"/>
          <w14:textFill>
            <w14:solidFill>
              <w14:schemeClr w14:val="tx1"/>
            </w14:solidFill>
          </w14:textFill>
        </w:rPr>
      </w:pPr>
      <w:r>
        <w:rPr>
          <w:rFonts w:hint="eastAsia" w:ascii="仿宋_GB2312" w:hAnsi="宋体" w:cs="宋体"/>
          <w:color w:val="000000" w:themeColor="text1"/>
          <w:sz w:val="36"/>
          <w:szCs w:val="36"/>
          <w:highlight w:val="none"/>
          <w:lang w:val="en-US" w:eastAsia="zh-CN"/>
          <w14:textFill>
            <w14:solidFill>
              <w14:schemeClr w14:val="tx1"/>
            </w14:solidFill>
          </w14:textFill>
        </w:rPr>
        <w:t>北京市财政局</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宋体" w:eastAsia="仿宋_GB2312" w:cs="宋体"/>
          <w:color w:val="000000" w:themeColor="text1"/>
          <w:sz w:val="36"/>
          <w:szCs w:val="36"/>
          <w:highlight w:val="none"/>
          <w:lang w:val="en-US" w:eastAsia="zh-CN"/>
          <w14:textFill>
            <w14:solidFill>
              <w14:schemeClr w14:val="tx1"/>
            </w14:solidFill>
          </w14:textFill>
        </w:rPr>
      </w:pPr>
      <w:r>
        <w:rPr>
          <w:rFonts w:hint="eastAsia" w:ascii="仿宋_GB2312" w:hAnsi="宋体" w:cs="宋体"/>
          <w:color w:val="000000" w:themeColor="text1"/>
          <w:sz w:val="36"/>
          <w:szCs w:val="36"/>
          <w:highlight w:val="none"/>
          <w14:textFill>
            <w14:solidFill>
              <w14:schemeClr w14:val="tx1"/>
            </w14:solidFill>
          </w14:textFill>
        </w:rPr>
        <w:t>北京市</w:t>
      </w:r>
      <w:r>
        <w:rPr>
          <w:rFonts w:hint="eastAsia" w:ascii="仿宋_GB2312" w:hAnsi="宋体" w:cs="宋体"/>
          <w:color w:val="000000" w:themeColor="text1"/>
          <w:sz w:val="36"/>
          <w:szCs w:val="36"/>
          <w:highlight w:val="none"/>
          <w:lang w:val="en-US" w:eastAsia="zh-CN"/>
          <w14:textFill>
            <w14:solidFill>
              <w14:schemeClr w14:val="tx1"/>
            </w14:solidFill>
          </w14:textFill>
        </w:rPr>
        <w:t>规划和自然资源委员会</w:t>
      </w:r>
    </w:p>
    <w:p>
      <w:pPr>
        <w:jc w:val="center"/>
        <w:rPr>
          <w:rFonts w:ascii="仿宋_GB2312" w:hAnsi="华文中宋"/>
          <w:bCs/>
          <w:sz w:val="36"/>
          <w:szCs w:val="36"/>
        </w:rPr>
      </w:pPr>
      <w:r>
        <w:rPr>
          <w:rFonts w:hint="eastAsia" w:ascii="仿宋_GB2312" w:hAnsi="宋体" w:cs="宋体"/>
          <w:sz w:val="36"/>
          <w:szCs w:val="36"/>
        </w:rPr>
        <w:t>二</w:t>
      </w:r>
      <w:r>
        <w:rPr>
          <w:rFonts w:hint="eastAsia" w:ascii="宋体" w:hAnsi="宋体" w:eastAsia="宋体" w:cs="宋体"/>
          <w:sz w:val="36"/>
          <w:szCs w:val="36"/>
        </w:rPr>
        <w:t>〇</w:t>
      </w:r>
      <w:r>
        <w:rPr>
          <w:rFonts w:hint="eastAsia" w:ascii="仿宋_GB2312" w:hAnsi="仿宋_GB2312" w:cs="仿宋_GB2312"/>
          <w:sz w:val="36"/>
          <w:szCs w:val="36"/>
        </w:rPr>
        <w:t>二</w:t>
      </w:r>
      <w:r>
        <w:rPr>
          <w:rFonts w:hint="eastAsia" w:ascii="仿宋_GB2312" w:hAnsi="仿宋_GB2312" w:cs="仿宋_GB2312"/>
          <w:sz w:val="36"/>
          <w:szCs w:val="36"/>
          <w:lang w:val="en-US" w:eastAsia="zh-CN"/>
        </w:rPr>
        <w:t>五</w:t>
      </w:r>
      <w:r>
        <w:rPr>
          <w:rFonts w:hint="eastAsia" w:ascii="仿宋_GB2312" w:hAnsi="仿宋_GB2312" w:cs="仿宋_GB2312"/>
          <w:sz w:val="36"/>
          <w:szCs w:val="36"/>
        </w:rPr>
        <w:t>年三</w:t>
      </w:r>
      <w:r>
        <w:rPr>
          <w:rFonts w:hint="eastAsia" w:ascii="仿宋_GB2312" w:hAnsi="宋体" w:cs="宋体"/>
          <w:sz w:val="36"/>
          <w:szCs w:val="36"/>
        </w:rPr>
        <w:t>月</w:t>
      </w:r>
    </w:p>
    <w:p>
      <w:pPr>
        <w:jc w:val="center"/>
        <w:rPr>
          <w:rFonts w:ascii="仿宋_GB2312" w:hAnsi="华文中宋"/>
          <w:bCs/>
          <w:sz w:val="36"/>
          <w:szCs w:val="44"/>
        </w:rPr>
      </w:pPr>
    </w:p>
    <w:p>
      <w:pPr>
        <w:jc w:val="center"/>
        <w:rPr>
          <w:rFonts w:ascii="仿宋_GB2312" w:hAnsi="华文中宋"/>
          <w:bCs/>
          <w:sz w:val="36"/>
          <w:szCs w:val="44"/>
        </w:rPr>
      </w:pPr>
    </w:p>
    <w:p>
      <w:pPr>
        <w:jc w:val="center"/>
        <w:rPr>
          <w:rFonts w:ascii="仿宋_GB2312" w:hAnsi="华文中宋"/>
          <w:bCs/>
          <w:sz w:val="36"/>
          <w:szCs w:val="44"/>
        </w:rPr>
      </w:pPr>
    </w:p>
    <w:p>
      <w:pPr>
        <w:jc w:val="center"/>
        <w:rPr>
          <w:rFonts w:hint="eastAsia" w:asciiTheme="minorEastAsia" w:hAnsiTheme="minorEastAsia" w:eastAsiaTheme="minorEastAsia" w:cstheme="minorEastAsia"/>
          <w:b/>
          <w:bCs/>
          <w:sz w:val="36"/>
          <w:szCs w:val="44"/>
        </w:rPr>
      </w:pPr>
      <w:r>
        <w:rPr>
          <w:rFonts w:hint="eastAsia" w:asciiTheme="minorEastAsia" w:hAnsiTheme="minorEastAsia" w:eastAsiaTheme="minorEastAsia" w:cstheme="minorEastAsia"/>
          <w:b/>
          <w:bCs/>
          <w:sz w:val="36"/>
          <w:szCs w:val="44"/>
        </w:rPr>
        <w:t>目 录</w:t>
      </w:r>
    </w:p>
    <w:p>
      <w:pPr>
        <w:jc w:val="center"/>
        <w:rPr>
          <w:rFonts w:ascii="仿宋_GB2312" w:hAnsi="华文中宋"/>
          <w:bCs/>
          <w:sz w:val="36"/>
          <w:szCs w:val="44"/>
        </w:rPr>
      </w:pP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TOC \o "1-3" \h \z \u </w:instrText>
      </w:r>
      <w:r>
        <w:rPr>
          <w:rFonts w:hint="eastAsia" w:ascii="仿宋_GB2312" w:hAnsi="仿宋_GB2312" w:eastAsia="仿宋_GB2312" w:cs="仿宋_GB2312"/>
          <w:bCs/>
          <w:szCs w:val="30"/>
        </w:rPr>
        <w:fldChar w:fldCharType="separate"/>
      </w: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_Toc16682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rPr>
        <w:t>一、绩效目标分解下达情况</w:t>
      </w:r>
      <w:r>
        <w:tab/>
      </w:r>
      <w:r>
        <w:fldChar w:fldCharType="begin"/>
      </w:r>
      <w:r>
        <w:instrText xml:space="preserve"> PAGEREF _Toc16682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_Toc15562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（一）中央下达转移支付预算情况</w:t>
      </w:r>
      <w:r>
        <w:tab/>
      </w:r>
      <w:r>
        <w:fldChar w:fldCharType="begin"/>
      </w:r>
      <w:r>
        <w:instrText xml:space="preserve"> PAGEREF _Toc15562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_Toc14610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（二）北京市分解下达预算和绩效目标情况</w:t>
      </w:r>
      <w:r>
        <w:tab/>
      </w:r>
      <w:r>
        <w:fldChar w:fldCharType="begin"/>
      </w:r>
      <w:r>
        <w:instrText xml:space="preserve"> PAGEREF _Toc14610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_Toc7154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r>
        <w:tab/>
      </w:r>
      <w:r>
        <w:fldChar w:fldCharType="begin"/>
      </w:r>
      <w:r>
        <w:instrText xml:space="preserve"> PAGEREF _Toc7154 \h </w:instrText>
      </w:r>
      <w:r>
        <w:fldChar w:fldCharType="separate"/>
      </w:r>
      <w:r>
        <w:t>2</w:t>
      </w:r>
      <w:r>
        <w:fldChar w:fldCharType="end"/>
      </w:r>
      <w:r>
        <w:rPr>
          <w:rFonts w:hint="eastAsia" w:ascii="仿宋_GB2312" w:hAnsi="仿宋_GB2312" w:eastAsia="仿宋_GB2312" w:cs="仿宋_GB2312"/>
          <w:bCs/>
          <w:szCs w:val="30"/>
        </w:rPr>
        <w:fldChar w:fldCharType="end"/>
      </w:r>
    </w:p>
    <w:p>
      <w:pPr>
        <w:pStyle w:val="13"/>
        <w:tabs>
          <w:tab w:val="right" w:leader="dot" w:pos="8306"/>
        </w:tabs>
        <w:ind w:left="0" w:leftChars="0" w:firstLine="0" w:firstLineChars="0"/>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_Toc15511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rPr>
        <w:t>（一）资金投入情况分析</w:t>
      </w:r>
      <w:r>
        <w:tab/>
      </w:r>
      <w:r>
        <w:fldChar w:fldCharType="begin"/>
      </w:r>
      <w:r>
        <w:instrText xml:space="preserve"> PAGEREF _Toc15511 \h </w:instrText>
      </w:r>
      <w:r>
        <w:fldChar w:fldCharType="separate"/>
      </w:r>
      <w:r>
        <w:t>2</w:t>
      </w:r>
      <w:r>
        <w:fldChar w:fldCharType="end"/>
      </w:r>
      <w:r>
        <w:rPr>
          <w:rFonts w:hint="eastAsia" w:ascii="仿宋_GB2312" w:hAnsi="仿宋_GB2312" w:eastAsia="仿宋_GB2312" w:cs="仿宋_GB2312"/>
          <w:bCs/>
          <w:szCs w:val="30"/>
        </w:rPr>
        <w:fldChar w:fldCharType="end"/>
      </w:r>
    </w:p>
    <w:p>
      <w:pPr>
        <w:pStyle w:val="13"/>
        <w:tabs>
          <w:tab w:val="right" w:leader="dot" w:pos="8306"/>
        </w:tabs>
        <w:ind w:left="0" w:leftChars="0" w:firstLine="0" w:firstLineChars="0"/>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_Toc19853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eastAsia="zh-CN"/>
        </w:rPr>
        <w:t>（二）资金管理情况分析</w:t>
      </w:r>
      <w:r>
        <w:tab/>
      </w:r>
      <w:r>
        <w:fldChar w:fldCharType="begin"/>
      </w:r>
      <w:r>
        <w:instrText xml:space="preserve"> PAGEREF _Toc19853 \h </w:instrText>
      </w:r>
      <w:r>
        <w:fldChar w:fldCharType="separate"/>
      </w:r>
      <w:r>
        <w:t>2</w:t>
      </w:r>
      <w:r>
        <w:fldChar w:fldCharType="end"/>
      </w:r>
      <w:r>
        <w:rPr>
          <w:rFonts w:hint="eastAsia" w:ascii="仿宋_GB2312" w:hAnsi="仿宋_GB2312" w:eastAsia="仿宋_GB2312" w:cs="仿宋_GB2312"/>
          <w:bCs/>
          <w:szCs w:val="30"/>
        </w:rPr>
        <w:fldChar w:fldCharType="end"/>
      </w:r>
    </w:p>
    <w:p>
      <w:pPr>
        <w:pStyle w:val="13"/>
        <w:tabs>
          <w:tab w:val="right" w:leader="dot" w:pos="8306"/>
        </w:tabs>
        <w:ind w:left="0" w:leftChars="0" w:firstLine="0" w:firstLineChars="0"/>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_Toc5613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eastAsia="zh-CN"/>
        </w:rPr>
        <w:t>（</w:t>
      </w:r>
      <w:r>
        <w:rPr>
          <w:rFonts w:hint="eastAsia" w:ascii="楷体_GB2312" w:hAnsi="楷体_GB2312" w:eastAsia="楷体_GB2312" w:cs="楷体_GB2312"/>
          <w:bCs/>
          <w:szCs w:val="32"/>
          <w:highlight w:val="none"/>
          <w:lang w:val="en-US" w:eastAsia="zh-CN"/>
        </w:rPr>
        <w:t>三</w:t>
      </w:r>
      <w:r>
        <w:rPr>
          <w:rFonts w:hint="eastAsia" w:ascii="楷体_GB2312" w:hAnsi="楷体_GB2312" w:eastAsia="楷体_GB2312" w:cs="楷体_GB2312"/>
          <w:bCs/>
          <w:szCs w:val="32"/>
          <w:highlight w:val="none"/>
          <w:lang w:eastAsia="zh-CN"/>
        </w:rPr>
        <w:t>）总体绩效目标完成情况分析</w:t>
      </w:r>
      <w:r>
        <w:tab/>
      </w:r>
      <w:r>
        <w:fldChar w:fldCharType="begin"/>
      </w:r>
      <w:r>
        <w:instrText xml:space="preserve"> PAGEREF _Toc5613 \h </w:instrText>
      </w:r>
      <w:r>
        <w:fldChar w:fldCharType="separate"/>
      </w:r>
      <w:r>
        <w:t>3</w:t>
      </w:r>
      <w:r>
        <w:fldChar w:fldCharType="end"/>
      </w:r>
      <w:r>
        <w:rPr>
          <w:rFonts w:hint="eastAsia" w:ascii="仿宋_GB2312" w:hAnsi="仿宋_GB2312" w:eastAsia="仿宋_GB2312" w:cs="仿宋_GB2312"/>
          <w:bCs/>
          <w:szCs w:val="30"/>
        </w:rPr>
        <w:fldChar w:fldCharType="end"/>
      </w:r>
    </w:p>
    <w:p>
      <w:pPr>
        <w:pStyle w:val="13"/>
        <w:tabs>
          <w:tab w:val="right" w:leader="dot" w:pos="8306"/>
        </w:tabs>
        <w:ind w:left="0" w:leftChars="0" w:firstLine="0" w:firstLineChars="0"/>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_Toc3892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eastAsia="zh-CN"/>
        </w:rPr>
        <w:t>（</w:t>
      </w:r>
      <w:r>
        <w:rPr>
          <w:rFonts w:hint="eastAsia" w:ascii="楷体_GB2312" w:hAnsi="楷体_GB2312" w:eastAsia="楷体_GB2312" w:cs="楷体_GB2312"/>
          <w:bCs/>
          <w:szCs w:val="32"/>
          <w:highlight w:val="none"/>
          <w:lang w:val="en-US" w:eastAsia="zh-CN"/>
        </w:rPr>
        <w:t>四</w:t>
      </w:r>
      <w:r>
        <w:rPr>
          <w:rFonts w:hint="eastAsia" w:ascii="楷体_GB2312" w:hAnsi="楷体_GB2312" w:eastAsia="楷体_GB2312" w:cs="楷体_GB2312"/>
          <w:bCs/>
          <w:szCs w:val="32"/>
          <w:highlight w:val="none"/>
          <w:lang w:eastAsia="zh-CN"/>
        </w:rPr>
        <w:t>）绩效指标完成情况分析</w:t>
      </w:r>
      <w:r>
        <w:tab/>
      </w:r>
      <w:r>
        <w:fldChar w:fldCharType="begin"/>
      </w:r>
      <w:r>
        <w:instrText xml:space="preserve"> PAGEREF _Toc3892 \h </w:instrText>
      </w:r>
      <w:r>
        <w:fldChar w:fldCharType="separate"/>
      </w:r>
      <w:r>
        <w:t>3</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_Toc8093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rPr>
        <w:t>三、偏离绩效目标的原因和下一步改进措施</w:t>
      </w:r>
      <w:r>
        <w:tab/>
      </w:r>
      <w:r>
        <w:fldChar w:fldCharType="begin"/>
      </w:r>
      <w:r>
        <w:instrText xml:space="preserve"> PAGEREF _Toc8093 \h </w:instrText>
      </w:r>
      <w:r>
        <w:fldChar w:fldCharType="separate"/>
      </w:r>
      <w:r>
        <w:t>4</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_Toc24408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eastAsia="zh-CN"/>
        </w:rPr>
        <w:t>四</w:t>
      </w:r>
      <w:r>
        <w:rPr>
          <w:rFonts w:hint="eastAsia" w:ascii="黑体" w:hAnsi="黑体" w:eastAsia="黑体" w:cs="黑体"/>
          <w:bCs/>
          <w:szCs w:val="32"/>
        </w:rPr>
        <w:t>、政策执行或项目实施中存在的问题、原因分析和改进措施</w:t>
      </w:r>
      <w:r>
        <w:tab/>
      </w:r>
      <w:r>
        <w:fldChar w:fldCharType="begin"/>
      </w:r>
      <w:r>
        <w:instrText xml:space="preserve"> PAGEREF _Toc24408 \h </w:instrText>
      </w:r>
      <w:r>
        <w:fldChar w:fldCharType="separate"/>
      </w:r>
      <w:r>
        <w:t>4</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_Toc23603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val="en-US" w:eastAsia="zh-CN"/>
        </w:rPr>
        <w:t>五</w:t>
      </w:r>
      <w:r>
        <w:rPr>
          <w:rFonts w:hint="eastAsia" w:ascii="黑体" w:hAnsi="黑体" w:eastAsia="黑体" w:cs="黑体"/>
          <w:bCs/>
          <w:szCs w:val="32"/>
        </w:rPr>
        <w:t>、绩效自评结果拟应用和公开情况</w:t>
      </w:r>
      <w:r>
        <w:tab/>
      </w:r>
      <w:r>
        <w:fldChar w:fldCharType="begin"/>
      </w:r>
      <w:r>
        <w:instrText xml:space="preserve"> PAGEREF _Toc23603 \h </w:instrText>
      </w:r>
      <w:r>
        <w:fldChar w:fldCharType="separate"/>
      </w:r>
      <w:r>
        <w:t>5</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_Toc17584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val="en-US" w:eastAsia="zh-CN"/>
        </w:rPr>
        <w:t>六</w:t>
      </w:r>
      <w:r>
        <w:rPr>
          <w:rFonts w:hint="eastAsia" w:ascii="黑体" w:hAnsi="黑体" w:eastAsia="黑体" w:cs="黑体"/>
          <w:bCs/>
          <w:szCs w:val="32"/>
        </w:rPr>
        <w:t>、其他需要说明的问题</w:t>
      </w:r>
      <w:r>
        <w:tab/>
      </w:r>
      <w:r>
        <w:fldChar w:fldCharType="begin"/>
      </w:r>
      <w:r>
        <w:instrText xml:space="preserve"> PAGEREF _Toc17584 \h </w:instrText>
      </w:r>
      <w:r>
        <w:fldChar w:fldCharType="separate"/>
      </w:r>
      <w:r>
        <w:t>5</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_Toc29821 </w:instrText>
      </w:r>
      <w:r>
        <w:rPr>
          <w:rFonts w:hint="eastAsia" w:ascii="仿宋_GB2312" w:hAnsi="仿宋_GB2312" w:eastAsia="仿宋_GB2312" w:cs="仿宋_GB2312"/>
          <w:bCs/>
          <w:szCs w:val="30"/>
        </w:rPr>
        <w:fldChar w:fldCharType="separate"/>
      </w:r>
      <w:r>
        <w:rPr>
          <w:rFonts w:hint="eastAsia" w:ascii="黑体" w:hAnsi="黑体" w:eastAsia="黑体" w:cs="黑体"/>
          <w:lang w:val="en-US" w:eastAsia="zh-CN"/>
        </w:rPr>
        <w:t>七</w:t>
      </w:r>
      <w:r>
        <w:rPr>
          <w:rFonts w:hint="eastAsia" w:ascii="黑体" w:hAnsi="黑体" w:eastAsia="黑体" w:cs="黑体"/>
          <w:lang w:val="en"/>
        </w:rPr>
        <w:t>、附件</w:t>
      </w:r>
      <w:r>
        <w:tab/>
      </w:r>
      <w:r>
        <w:fldChar w:fldCharType="begin"/>
      </w:r>
      <w:r>
        <w:instrText xml:space="preserve"> PAGEREF _Toc29821 \h </w:instrText>
      </w:r>
      <w:r>
        <w:fldChar w:fldCharType="separate"/>
      </w:r>
      <w:r>
        <w:t>5</w:t>
      </w:r>
      <w:r>
        <w:fldChar w:fldCharType="end"/>
      </w:r>
      <w:r>
        <w:rPr>
          <w:rFonts w:hint="eastAsia" w:ascii="仿宋_GB2312" w:hAnsi="仿宋_GB2312" w:eastAsia="仿宋_GB2312" w:cs="仿宋_GB2312"/>
          <w:bCs/>
          <w:szCs w:val="30"/>
        </w:rPr>
        <w:fldChar w:fldCharType="end"/>
      </w:r>
    </w:p>
    <w:p>
      <w:pPr>
        <w:snapToGrid w:val="0"/>
        <w:spacing w:line="360" w:lineRule="auto"/>
        <w:jc w:val="center"/>
        <w:rPr>
          <w:rFonts w:ascii="仿宋_GB2312" w:hAnsi="华文中宋"/>
          <w:bCs/>
          <w:sz w:val="36"/>
          <w:szCs w:val="44"/>
        </w:rPr>
      </w:pPr>
      <w:r>
        <w:rPr>
          <w:rFonts w:hint="eastAsia" w:ascii="仿宋_GB2312" w:hAnsi="仿宋_GB2312" w:eastAsia="仿宋_GB2312" w:cs="仿宋_GB2312"/>
          <w:bCs/>
          <w:szCs w:val="30"/>
        </w:rPr>
        <w:fldChar w:fldCharType="end"/>
      </w:r>
    </w:p>
    <w:p>
      <w:pPr>
        <w:jc w:val="center"/>
        <w:rPr>
          <w:rFonts w:ascii="仿宋_GB2312" w:hAnsi="华文中宋"/>
          <w:bCs/>
          <w:sz w:val="36"/>
          <w:szCs w:val="44"/>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sectPr>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pPr>
      <w:r>
        <w:rPr>
          <w:rFonts w:hint="eastAsia" w:ascii="方正小标宋简体" w:hAnsi="方正小标宋简体" w:eastAsia="方正小标宋简体" w:cs="方正小标宋简体"/>
          <w:b w:val="0"/>
          <w:bCs/>
          <w:sz w:val="36"/>
          <w:szCs w:val="44"/>
          <w:lang w:val="en-US" w:eastAsia="zh-CN"/>
        </w:rPr>
        <w:t>自然灾害防治体系建设补助资金</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pPr>
      <w:r>
        <w:rPr>
          <w:rFonts w:hint="eastAsia" w:ascii="方正小标宋简体" w:hAnsi="方正小标宋简体" w:eastAsia="方正小标宋简体" w:cs="方正小标宋简体"/>
          <w:b w:val="0"/>
          <w:bCs/>
          <w:sz w:val="36"/>
          <w:szCs w:val="44"/>
          <w:lang w:val="en-US" w:eastAsia="zh-CN"/>
        </w:rPr>
        <w:t>转移支付</w:t>
      </w:r>
      <w:r>
        <w:rPr>
          <w:rFonts w:hint="eastAsia" w:ascii="方正小标宋简体" w:hAnsi="方正小标宋简体" w:eastAsia="方正小标宋简体" w:cs="方正小标宋简体"/>
          <w:b w:val="0"/>
          <w:bCs/>
          <w:sz w:val="36"/>
          <w:szCs w:val="44"/>
          <w:lang w:val="en-US" w:eastAsia="zh-Hans"/>
        </w:rPr>
        <w:t>项目</w:t>
      </w:r>
      <w:r>
        <w:rPr>
          <w:rFonts w:hint="eastAsia" w:ascii="方正小标宋简体" w:hAnsi="方正小标宋简体" w:eastAsia="方正小标宋简体" w:cs="方正小标宋简体"/>
          <w:b w:val="0"/>
          <w:bCs/>
          <w:sz w:val="36"/>
          <w:szCs w:val="44"/>
          <w:lang w:val="en-US" w:eastAsia="zh-CN"/>
        </w:rPr>
        <w:t>2024年度绩效自评报告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0" w:name="_Toc16682"/>
      <w:r>
        <w:rPr>
          <w:rFonts w:hint="eastAsia" w:ascii="黑体" w:hAnsi="黑体" w:eastAsia="黑体" w:cs="黑体"/>
          <w:bCs/>
          <w:szCs w:val="32"/>
        </w:rPr>
        <w:t>一、绩效目标分解下达情况</w:t>
      </w:r>
      <w:bookmarkEnd w:id="0"/>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default" w:ascii="仿宋_GB2312" w:hAnsi="Times New Roman" w:cs="Times New Roman"/>
          <w:szCs w:val="32"/>
          <w:lang w:val="en-US" w:eastAsia="zh-CN"/>
        </w:rPr>
      </w:pPr>
      <w:bookmarkStart w:id="1" w:name="_Toc15562"/>
      <w:r>
        <w:rPr>
          <w:rFonts w:hint="eastAsia" w:ascii="楷体_GB2312" w:hAnsi="楷体_GB2312" w:eastAsia="楷体_GB2312" w:cs="楷体_GB2312"/>
          <w:b/>
          <w:bCs/>
          <w:szCs w:val="32"/>
          <w:highlight w:val="none"/>
          <w:lang w:val="en-US" w:eastAsia="zh-CN"/>
        </w:rPr>
        <w:t>（一）中央下达转移支付预算情况</w:t>
      </w:r>
      <w:bookmarkEnd w:id="1"/>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drawing>
          <wp:anchor distT="0" distB="0" distL="114300" distR="114300" simplePos="0" relativeHeight="251659264" behindDoc="0" locked="0" layoutInCell="1" allowOverlap="1">
            <wp:simplePos x="0" y="0"/>
            <wp:positionH relativeFrom="column">
              <wp:posOffset>-262255</wp:posOffset>
            </wp:positionH>
            <wp:positionV relativeFrom="paragraph">
              <wp:posOffset>7830185</wp:posOffset>
            </wp:positionV>
            <wp:extent cx="5269230" cy="4878070"/>
            <wp:effectExtent l="0" t="0" r="7620" b="8255"/>
            <wp:wrapNone/>
            <wp:docPr id="1" name="图片 1" descr="174236592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42365921871"/>
                    <pic:cNvPicPr>
                      <a:picLocks noChangeAspect="1"/>
                    </pic:cNvPicPr>
                  </pic:nvPicPr>
                  <pic:blipFill>
                    <a:blip r:embed="rId5"/>
                    <a:stretch>
                      <a:fillRect/>
                    </a:stretch>
                  </pic:blipFill>
                  <pic:spPr>
                    <a:xfrm>
                      <a:off x="0" y="0"/>
                      <a:ext cx="5269230" cy="4878070"/>
                    </a:xfrm>
                    <a:prstGeom prst="rect">
                      <a:avLst/>
                    </a:prstGeom>
                  </pic:spPr>
                </pic:pic>
              </a:graphicData>
            </a:graphic>
          </wp:anchor>
        </w:drawing>
      </w:r>
      <w:r>
        <w:rPr>
          <w:rFonts w:hint="eastAsia" w:ascii="仿宋_GB2312" w:hAnsi="Times New Roman" w:cs="Times New Roman"/>
          <w:szCs w:val="32"/>
          <w:lang w:val="en-US" w:eastAsia="zh-CN"/>
        </w:rPr>
        <w:t>根据《财政部关于下达2024年自然灾害防治体系建设补助资金预算的通知》（财资环〔2024〕60号），2024年6月10日财政部下达我市2024年度第二批自然灾害防治体系建设补助资金100万元，用于更新制作基础测绘彩色数字正射影像图。绩效目标随预算一并下达，总体绩效目标为：支持围绕重点区域地质灾害综合防治体系和防治能力建设开展基础测绘工作，包括测绘基准、基础时空数据资源、区域性基础地理信息系统的建设和更新维护，以及其他基础测绘产品的制作更新、服务体系的建立和完善等相关工作。</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仿宋_GB2312" w:hAnsi="Times New Roman" w:cs="Times New Roman"/>
          <w:szCs w:val="32"/>
          <w:highlight w:val="yellow"/>
          <w:lang w:val="en-US" w:eastAsia="zh-CN"/>
        </w:rPr>
      </w:pPr>
      <w:bookmarkStart w:id="2" w:name="_Toc14610"/>
      <w:r>
        <w:rPr>
          <w:rFonts w:hint="eastAsia" w:ascii="楷体_GB2312" w:hAnsi="楷体_GB2312" w:eastAsia="楷体_GB2312" w:cs="楷体_GB2312"/>
          <w:b/>
          <w:bCs/>
          <w:szCs w:val="32"/>
          <w:highlight w:val="none"/>
          <w:lang w:val="en-US" w:eastAsia="zh-CN"/>
        </w:rPr>
        <w:t>（二）北京市分解下达预算和绩效目标情况</w:t>
      </w:r>
      <w:bookmarkEnd w:id="2"/>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cs="Times New Roman"/>
          <w:szCs w:val="32"/>
          <w:lang w:val="en-US" w:eastAsia="zh-CN"/>
        </w:rPr>
      </w:pPr>
      <w:r>
        <w:rPr>
          <w:rFonts w:hint="eastAsia" w:ascii="仿宋_GB2312" w:hAnsi="Times New Roman" w:cs="Times New Roman"/>
          <w:szCs w:val="32"/>
          <w:lang w:val="en-US" w:eastAsia="zh-CN"/>
        </w:rPr>
        <w:t>我市收到财政部下达的自然灾害防治体系建设补助资金</w:t>
      </w:r>
      <w:r>
        <w:rPr>
          <w:rFonts w:hint="eastAsia" w:ascii="仿宋_GB2312" w:cs="Times New Roman"/>
          <w:szCs w:val="32"/>
          <w:lang w:val="en-US" w:eastAsia="zh-CN"/>
        </w:rPr>
        <w:t>100</w:t>
      </w:r>
      <w:r>
        <w:rPr>
          <w:rFonts w:hint="eastAsia" w:ascii="仿宋_GB2312" w:hAnsi="Times New Roman" w:cs="Times New Roman"/>
          <w:szCs w:val="32"/>
          <w:lang w:val="en-US" w:eastAsia="zh-CN"/>
        </w:rPr>
        <w:t>万元</w:t>
      </w:r>
      <w:r>
        <w:rPr>
          <w:rFonts w:hint="eastAsia" w:ascii="仿宋_GB2312" w:cs="Times New Roman"/>
          <w:szCs w:val="32"/>
          <w:lang w:val="en-US" w:eastAsia="zh-CN"/>
        </w:rPr>
        <w:t>后</w:t>
      </w:r>
      <w:r>
        <w:rPr>
          <w:rFonts w:hint="eastAsia" w:ascii="仿宋_GB2312" w:hAnsi="Times New Roman" w:cs="Times New Roman"/>
          <w:szCs w:val="32"/>
          <w:lang w:val="en-US" w:eastAsia="zh-CN"/>
        </w:rPr>
        <w:t>，北京市财政局会同北京市规划</w:t>
      </w:r>
      <w:r>
        <w:rPr>
          <w:rFonts w:hint="eastAsia" w:ascii="仿宋_GB2312" w:cs="Times New Roman"/>
          <w:szCs w:val="32"/>
          <w:lang w:val="en-US" w:eastAsia="zh-CN"/>
        </w:rPr>
        <w:t>和</w:t>
      </w:r>
      <w:r>
        <w:rPr>
          <w:rFonts w:hint="eastAsia" w:ascii="仿宋_GB2312" w:hAnsi="Times New Roman" w:cs="Times New Roman"/>
          <w:szCs w:val="32"/>
          <w:lang w:val="en-US" w:eastAsia="zh-CN"/>
        </w:rPr>
        <w:t>自然资源</w:t>
      </w:r>
      <w:r>
        <w:rPr>
          <w:rFonts w:hint="eastAsia" w:ascii="仿宋_GB2312" w:cs="Times New Roman"/>
          <w:szCs w:val="32"/>
          <w:lang w:val="en-US" w:eastAsia="zh-CN"/>
        </w:rPr>
        <w:t>委员会</w:t>
      </w:r>
      <w:r>
        <w:rPr>
          <w:rFonts w:hint="eastAsia" w:ascii="仿宋_GB2312" w:hAnsi="Times New Roman" w:cs="Times New Roman"/>
          <w:szCs w:val="32"/>
          <w:lang w:val="en-US" w:eastAsia="zh-CN"/>
        </w:rPr>
        <w:t>及时将资金分解下达至</w:t>
      </w:r>
      <w:r>
        <w:rPr>
          <w:rFonts w:hint="eastAsia" w:ascii="仿宋_GB2312" w:cs="Times New Roman"/>
          <w:szCs w:val="32"/>
          <w:lang w:val="en-US" w:eastAsia="zh-CN"/>
        </w:rPr>
        <w:t>基础测绘工作具体执行单位，即</w:t>
      </w:r>
      <w:r>
        <w:rPr>
          <w:rFonts w:hint="eastAsia" w:ascii="仿宋_GB2312" w:hAnsi="Times New Roman" w:cs="Times New Roman"/>
          <w:szCs w:val="32"/>
          <w:lang w:val="en-US" w:eastAsia="zh-CN"/>
        </w:rPr>
        <w:t>北京市规划</w:t>
      </w:r>
      <w:r>
        <w:rPr>
          <w:rFonts w:hint="eastAsia" w:ascii="仿宋_GB2312" w:cs="Times New Roman"/>
          <w:szCs w:val="32"/>
          <w:lang w:val="en-US" w:eastAsia="zh-CN"/>
        </w:rPr>
        <w:t>和</w:t>
      </w:r>
      <w:r>
        <w:rPr>
          <w:rFonts w:hint="eastAsia" w:ascii="仿宋_GB2312" w:hAnsi="Times New Roman" w:cs="Times New Roman"/>
          <w:szCs w:val="32"/>
          <w:lang w:val="en-US" w:eastAsia="zh-CN"/>
        </w:rPr>
        <w:t>自然资源</w:t>
      </w:r>
      <w:r>
        <w:rPr>
          <w:rFonts w:hint="eastAsia" w:ascii="仿宋_GB2312" w:cs="Times New Roman"/>
          <w:szCs w:val="32"/>
          <w:lang w:val="en-US" w:eastAsia="zh-CN"/>
        </w:rPr>
        <w:t>委员会</w:t>
      </w:r>
      <w:r>
        <w:rPr>
          <w:rFonts w:hint="eastAsia" w:ascii="仿宋_GB2312" w:cs="Times New Roman"/>
          <w:szCs w:val="32"/>
          <w:highlight w:val="none"/>
          <w:lang w:val="en-US" w:eastAsia="zh-CN"/>
        </w:rPr>
        <w:t>，用于开展我市山区范围卫星摄影图像制作工作</w:t>
      </w:r>
      <w:r>
        <w:rPr>
          <w:rFonts w:hint="eastAsia" w:ascii="仿宋_GB2312" w:cs="Times New Roman"/>
          <w:szCs w:val="32"/>
          <w:lang w:val="en-US" w:eastAsia="zh-CN"/>
        </w:rPr>
        <w:t>。根据项目实施内容设定绩效目标为：根据特大型地质灾害防治工作安排，我市开展山区的大比例尺彩色卫片正射影像图制作，面积不低于9000平方千米，覆盖全市山区范围，并通过第三方质检验收。</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highlight w:val="none"/>
        </w:rPr>
      </w:pPr>
      <w:bookmarkStart w:id="3" w:name="_Toc7154"/>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bookmarkEnd w:id="3"/>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1"/>
        <w:rPr>
          <w:rFonts w:hint="eastAsia" w:ascii="仿宋_GB2312" w:hAnsi="仿宋_GB2312" w:eastAsia="楷体_GB2312" w:cs="仿宋_GB2312"/>
          <w:b w:val="0"/>
          <w:bCs w:val="0"/>
          <w:szCs w:val="32"/>
          <w:highlight w:val="none"/>
          <w:lang w:eastAsia="zh-CN"/>
        </w:rPr>
      </w:pPr>
      <w:bookmarkStart w:id="4" w:name="_Toc15511"/>
      <w:r>
        <w:rPr>
          <w:rFonts w:hint="eastAsia" w:ascii="楷体_GB2312" w:hAnsi="楷体_GB2312" w:eastAsia="楷体_GB2312" w:cs="楷体_GB2312"/>
          <w:b/>
          <w:bCs/>
          <w:szCs w:val="32"/>
          <w:highlight w:val="none"/>
        </w:rPr>
        <w:t>（一）资金投入情况分析</w:t>
      </w:r>
      <w:bookmarkEnd w:id="4"/>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2024年度财政部下达自然灾害防治体系建设补助资金</w:t>
      </w:r>
      <w:r>
        <w:rPr>
          <w:rFonts w:hint="eastAsia" w:ascii="仿宋_GB2312" w:cs="Times New Roman"/>
          <w:szCs w:val="32"/>
          <w:lang w:val="en-US" w:eastAsia="zh-CN"/>
        </w:rPr>
        <w:t>100</w:t>
      </w:r>
      <w:r>
        <w:rPr>
          <w:rFonts w:hint="eastAsia" w:ascii="仿宋_GB2312" w:hAnsi="Times New Roman" w:cs="Times New Roman"/>
          <w:szCs w:val="32"/>
          <w:lang w:val="en-US" w:eastAsia="zh-CN"/>
        </w:rPr>
        <w:t>万元，我市将预算资金分解</w:t>
      </w:r>
      <w:r>
        <w:rPr>
          <w:rFonts w:hint="eastAsia" w:ascii="仿宋_GB2312" w:cs="Times New Roman"/>
          <w:szCs w:val="32"/>
          <w:lang w:val="en-US" w:eastAsia="zh-CN"/>
        </w:rPr>
        <w:t>下达</w:t>
      </w:r>
      <w:r>
        <w:rPr>
          <w:rFonts w:hint="eastAsia" w:ascii="仿宋_GB2312" w:hAnsi="Times New Roman" w:cs="Times New Roman"/>
          <w:szCs w:val="32"/>
          <w:lang w:val="en-US" w:eastAsia="zh-CN"/>
        </w:rPr>
        <w:t>至</w:t>
      </w:r>
      <w:r>
        <w:rPr>
          <w:rFonts w:hint="eastAsia" w:ascii="仿宋_GB2312" w:cs="Times New Roman"/>
          <w:szCs w:val="32"/>
          <w:lang w:val="en-US" w:eastAsia="zh-CN"/>
        </w:rPr>
        <w:t>项目单位，开展我市山区范围卫星摄影图像制作工作</w:t>
      </w:r>
      <w:r>
        <w:rPr>
          <w:rFonts w:hint="eastAsia" w:ascii="仿宋_GB2312" w:hAnsi="Times New Roman" w:cs="Times New Roman"/>
          <w:szCs w:val="32"/>
          <w:lang w:val="en-US" w:eastAsia="zh-CN"/>
        </w:rPr>
        <w:t>，资金分解下达率100%。截至202</w:t>
      </w:r>
      <w:r>
        <w:rPr>
          <w:rFonts w:hint="eastAsia" w:ascii="仿宋_GB2312" w:cs="Times New Roman"/>
          <w:szCs w:val="32"/>
          <w:lang w:val="en-US" w:eastAsia="zh-CN"/>
        </w:rPr>
        <w:t>4</w:t>
      </w:r>
      <w:r>
        <w:rPr>
          <w:rFonts w:hint="eastAsia" w:ascii="仿宋_GB2312" w:hAnsi="Times New Roman" w:cs="Times New Roman"/>
          <w:szCs w:val="32"/>
          <w:lang w:val="en-US" w:eastAsia="zh-CN"/>
        </w:rPr>
        <w:t>年</w:t>
      </w:r>
      <w:r>
        <w:rPr>
          <w:rFonts w:hint="eastAsia" w:ascii="仿宋_GB2312" w:cs="Times New Roman"/>
          <w:szCs w:val="32"/>
          <w:lang w:val="en-US" w:eastAsia="zh-CN"/>
        </w:rPr>
        <w:t>12</w:t>
      </w:r>
      <w:bookmarkStart w:id="13" w:name="_GoBack"/>
      <w:bookmarkEnd w:id="13"/>
      <w:r>
        <w:rPr>
          <w:rFonts w:hint="eastAsia" w:ascii="仿宋_GB2312" w:hAnsi="Times New Roman" w:cs="Times New Roman"/>
          <w:szCs w:val="32"/>
          <w:lang w:val="en-US" w:eastAsia="zh-CN"/>
        </w:rPr>
        <w:t>月31日，</w:t>
      </w:r>
      <w:r>
        <w:rPr>
          <w:rFonts w:hint="eastAsia" w:ascii="仿宋_GB2312" w:cs="Times New Roman"/>
          <w:szCs w:val="32"/>
          <w:lang w:val="en-US" w:eastAsia="zh-CN"/>
        </w:rPr>
        <w:t>项目</w:t>
      </w:r>
      <w:r>
        <w:rPr>
          <w:rFonts w:hint="eastAsia" w:ascii="仿宋_GB2312" w:hAnsi="Times New Roman" w:cs="Times New Roman"/>
          <w:szCs w:val="32"/>
          <w:lang w:val="en-US" w:eastAsia="zh-CN"/>
        </w:rPr>
        <w:t>实际支出预算资金</w:t>
      </w:r>
      <w:r>
        <w:rPr>
          <w:rFonts w:hint="eastAsia" w:ascii="仿宋_GB2312" w:cs="Times New Roman"/>
          <w:szCs w:val="32"/>
          <w:lang w:val="en-US" w:eastAsia="zh-CN"/>
        </w:rPr>
        <w:t>100</w:t>
      </w:r>
      <w:r>
        <w:rPr>
          <w:rFonts w:hint="eastAsia" w:ascii="仿宋_GB2312" w:hAnsi="Times New Roman" w:cs="Times New Roman"/>
          <w:szCs w:val="32"/>
          <w:lang w:val="en-US" w:eastAsia="zh-CN"/>
        </w:rPr>
        <w:t>万元，中央转移支付资金预算执行率100%。</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1"/>
        <w:rPr>
          <w:rFonts w:hint="eastAsia" w:ascii="楷体_GB2312" w:hAnsi="楷体_GB2312" w:eastAsia="楷体_GB2312" w:cs="楷体_GB2312"/>
          <w:b/>
          <w:bCs/>
          <w:szCs w:val="32"/>
          <w:highlight w:val="none"/>
          <w:lang w:eastAsia="zh-CN"/>
        </w:rPr>
      </w:pPr>
      <w:bookmarkStart w:id="5" w:name="_Toc19853"/>
      <w:r>
        <w:rPr>
          <w:rFonts w:hint="eastAsia" w:ascii="楷体_GB2312" w:hAnsi="楷体_GB2312" w:eastAsia="楷体_GB2312" w:cs="楷体_GB2312"/>
          <w:b/>
          <w:bCs/>
          <w:szCs w:val="32"/>
          <w:highlight w:val="none"/>
          <w:lang w:eastAsia="zh-CN"/>
        </w:rPr>
        <w:t>（二）资金管理情况分析</w:t>
      </w:r>
      <w:bookmarkEnd w:id="5"/>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eastAsia="仿宋_GB2312" w:cs="Times New Roman"/>
          <w:color w:val="auto"/>
          <w:kern w:val="2"/>
          <w:sz w:val="32"/>
          <w:szCs w:val="32"/>
          <w:lang w:val="en-US" w:eastAsia="zh-CN" w:bidi="ar-SA"/>
        </w:rPr>
      </w:pPr>
      <w:r>
        <w:rPr>
          <w:rFonts w:hint="eastAsia" w:ascii="仿宋_GB2312" w:cs="Times New Roman"/>
          <w:b/>
          <w:bCs/>
          <w:szCs w:val="32"/>
          <w:lang w:val="en-US" w:eastAsia="zh-CN"/>
        </w:rPr>
        <w:t>1.</w:t>
      </w:r>
      <w:r>
        <w:rPr>
          <w:rFonts w:hint="eastAsia" w:ascii="仿宋_GB2312" w:hAnsi="Times New Roman" w:cs="Times New Roman"/>
          <w:b/>
          <w:bCs/>
          <w:szCs w:val="32"/>
          <w:lang w:val="en-US" w:eastAsia="zh-CN"/>
        </w:rPr>
        <w:t>资金分配科学性。</w:t>
      </w:r>
      <w:r>
        <w:rPr>
          <w:rFonts w:hint="eastAsia" w:ascii="仿宋_GB2312" w:hAnsi="Times New Roman" w:eastAsia="仿宋_GB2312" w:cs="Times New Roman"/>
          <w:color w:val="auto"/>
          <w:sz w:val="32"/>
          <w:szCs w:val="32"/>
          <w:lang w:val="en-US" w:eastAsia="zh-CN"/>
        </w:rPr>
        <w:t>依据自然灾害防治体系建设补助资金</w:t>
      </w:r>
      <w:r>
        <w:rPr>
          <w:rFonts w:hint="eastAsia" w:ascii="仿宋_GB2312" w:cs="Times New Roman"/>
          <w:color w:val="auto"/>
          <w:sz w:val="32"/>
          <w:szCs w:val="32"/>
          <w:lang w:val="en-US" w:eastAsia="zh-CN"/>
        </w:rPr>
        <w:t>使用要求，由</w:t>
      </w:r>
      <w:r>
        <w:rPr>
          <w:rFonts w:hint="eastAsia" w:ascii="仿宋_GB2312" w:hAnsi="Times New Roman" w:cs="Times New Roman"/>
          <w:szCs w:val="32"/>
          <w:lang w:val="en-US" w:eastAsia="zh-CN"/>
        </w:rPr>
        <w:t>北京市规划</w:t>
      </w:r>
      <w:r>
        <w:rPr>
          <w:rFonts w:hint="eastAsia" w:ascii="仿宋_GB2312" w:cs="Times New Roman"/>
          <w:szCs w:val="32"/>
          <w:lang w:val="en-US" w:eastAsia="zh-CN"/>
        </w:rPr>
        <w:t>和</w:t>
      </w:r>
      <w:r>
        <w:rPr>
          <w:rFonts w:hint="eastAsia" w:ascii="仿宋_GB2312" w:hAnsi="Times New Roman" w:cs="Times New Roman"/>
          <w:szCs w:val="32"/>
          <w:lang w:val="en-US" w:eastAsia="zh-CN"/>
        </w:rPr>
        <w:t>自然资源</w:t>
      </w:r>
      <w:r>
        <w:rPr>
          <w:rFonts w:hint="eastAsia" w:ascii="仿宋_GB2312" w:cs="Times New Roman"/>
          <w:szCs w:val="32"/>
          <w:lang w:val="en-US" w:eastAsia="zh-CN"/>
        </w:rPr>
        <w:t>委员会组织开展</w:t>
      </w:r>
      <w:r>
        <w:rPr>
          <w:rFonts w:hint="eastAsia" w:ascii="仿宋_GB2312" w:hAnsi="Times New Roman" w:eastAsia="仿宋_GB2312" w:cs="Times New Roman"/>
          <w:color w:val="auto"/>
          <w:kern w:val="2"/>
          <w:sz w:val="32"/>
          <w:szCs w:val="32"/>
          <w:lang w:val="en-US" w:eastAsia="zh-CN" w:bidi="ar-SA"/>
        </w:rPr>
        <w:t>基础测绘工作</w:t>
      </w:r>
      <w:r>
        <w:rPr>
          <w:rFonts w:hint="eastAsia" w:ascii="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ascii="仿宋_GB2312" w:hAnsi="Times New Roman" w:eastAsia="仿宋_GB2312" w:cs="Times New Roman"/>
          <w:kern w:val="2"/>
          <w:sz w:val="30"/>
          <w:szCs w:val="32"/>
          <w:lang w:val="en-US" w:eastAsia="zh-CN" w:bidi="ar-SA"/>
        </w:rPr>
      </w:pPr>
      <w:r>
        <w:rPr>
          <w:rFonts w:hint="eastAsia" w:ascii="仿宋_GB2312" w:hAnsi="Times New Roman" w:cs="Times New Roman"/>
          <w:b/>
          <w:bCs/>
          <w:szCs w:val="32"/>
          <w:lang w:val="en-US" w:eastAsia="zh-CN"/>
        </w:rPr>
        <w:t>2.资金下达及时性。</w:t>
      </w:r>
      <w:r>
        <w:rPr>
          <w:rFonts w:hint="eastAsia" w:ascii="仿宋_GB2312" w:hAnsi="Times New Roman" w:eastAsia="仿宋_GB2312" w:cs="Times New Roman"/>
          <w:kern w:val="2"/>
          <w:sz w:val="30"/>
          <w:szCs w:val="32"/>
          <w:lang w:val="en-US" w:eastAsia="zh-CN" w:bidi="ar-SA"/>
        </w:rPr>
        <w:t>我市严格按照预算法及实施条例、专项转移支付管理制度规定以及自然灾害防治体系建设补助资金管理办法规定的时限要求，</w:t>
      </w:r>
      <w:r>
        <w:rPr>
          <w:rFonts w:hint="eastAsia" w:ascii="仿宋_GB2312" w:cs="Times New Roman"/>
          <w:kern w:val="2"/>
          <w:sz w:val="30"/>
          <w:szCs w:val="32"/>
          <w:lang w:val="en-US" w:eastAsia="zh-CN" w:bidi="ar-SA"/>
        </w:rPr>
        <w:t>及时将转移支付资金下达至</w:t>
      </w:r>
      <w:r>
        <w:rPr>
          <w:rFonts w:hint="eastAsia" w:ascii="仿宋_GB2312" w:hAnsi="仿宋_GB2312" w:eastAsia="仿宋_GB2312" w:cs="仿宋_GB2312"/>
          <w:sz w:val="32"/>
          <w:szCs w:val="32"/>
          <w:highlight w:val="none"/>
        </w:rPr>
        <w:t>预算</w:t>
      </w:r>
      <w:r>
        <w:rPr>
          <w:rFonts w:hint="eastAsia" w:ascii="仿宋_GB2312" w:cs="Times New Roman"/>
          <w:kern w:val="2"/>
          <w:sz w:val="30"/>
          <w:szCs w:val="32"/>
          <w:lang w:val="en-US" w:eastAsia="zh-CN" w:bidi="ar-SA"/>
        </w:rPr>
        <w:t>单位，并按要求将</w:t>
      </w:r>
      <w:r>
        <w:rPr>
          <w:rFonts w:hint="eastAsia" w:ascii="仿宋_GB2312" w:hAnsi="Times New Roman" w:eastAsia="仿宋_GB2312" w:cs="Times New Roman"/>
          <w:kern w:val="2"/>
          <w:sz w:val="30"/>
          <w:szCs w:val="32"/>
          <w:lang w:val="en-US" w:eastAsia="zh-CN" w:bidi="ar-SA"/>
        </w:rPr>
        <w:t>中央转移支付资金分配方案向财政部</w:t>
      </w:r>
      <w:r>
        <w:rPr>
          <w:rFonts w:hint="eastAsia" w:ascii="仿宋_GB2312" w:cs="Times New Roman"/>
          <w:kern w:val="2"/>
          <w:sz w:val="30"/>
          <w:szCs w:val="32"/>
          <w:lang w:val="en-US" w:eastAsia="zh-CN" w:bidi="ar-SA"/>
        </w:rPr>
        <w:t>和自然资源部</w:t>
      </w:r>
      <w:r>
        <w:rPr>
          <w:rFonts w:hint="eastAsia" w:ascii="仿宋_GB2312" w:hAnsi="Times New Roman" w:eastAsia="仿宋_GB2312" w:cs="Times New Roman"/>
          <w:kern w:val="2"/>
          <w:sz w:val="30"/>
          <w:szCs w:val="32"/>
          <w:lang w:val="en-US" w:eastAsia="zh-CN" w:bidi="ar-SA"/>
        </w:rPr>
        <w:t>备案</w:t>
      </w:r>
      <w:r>
        <w:rPr>
          <w:rFonts w:hint="eastAsia" w:ascii="仿宋_GB2312" w:cs="Times New Roman"/>
          <w:kern w:val="2"/>
          <w:sz w:val="30"/>
          <w:szCs w:val="32"/>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3.资金拨付合规性。</w:t>
      </w:r>
      <w:r>
        <w:rPr>
          <w:rFonts w:hint="eastAsia" w:ascii="仿宋_GB2312" w:cs="Times New Roman"/>
          <w:kern w:val="2"/>
          <w:sz w:val="30"/>
          <w:szCs w:val="32"/>
          <w:lang w:val="en-US" w:eastAsia="zh-CN" w:bidi="ar-SA"/>
        </w:rPr>
        <w:t>严格按照国库集中支付制度有关规定支付，未发现将资金从国库转入财政专户或支付到预算单位实有资金账户等问题。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4.资金使用规范性。</w:t>
      </w:r>
      <w:r>
        <w:rPr>
          <w:rFonts w:hint="eastAsia" w:ascii="仿宋_GB2312" w:hAnsi="Times New Roman" w:cs="Times New Roman"/>
          <w:szCs w:val="32"/>
          <w:lang w:val="en-US" w:eastAsia="zh-CN"/>
        </w:rPr>
        <w:t>严格按照下达预算的科目和项目执行，补助资金专款专用，按支出方向单独记账，分别核算，未发现擅自扩大支出范围，或以任何形式截留、挤占、挪用或擅自调整等问题。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5.资金执行准确性。</w:t>
      </w:r>
      <w:r>
        <w:rPr>
          <w:rFonts w:hint="eastAsia" w:ascii="仿宋_GB2312" w:cs="Times New Roman"/>
          <w:b w:val="0"/>
          <w:bCs w:val="0"/>
          <w:szCs w:val="32"/>
          <w:lang w:val="en-US" w:eastAsia="zh-CN"/>
        </w:rPr>
        <w:t>严格</w:t>
      </w:r>
      <w:r>
        <w:rPr>
          <w:rFonts w:hint="eastAsia" w:ascii="仿宋_GB2312" w:cs="Times New Roman"/>
          <w:szCs w:val="32"/>
          <w:lang w:val="en-US" w:eastAsia="zh-CN"/>
        </w:rPr>
        <w:t>落实预算管理主体责任，按照合同约定支付资金</w:t>
      </w:r>
      <w:r>
        <w:rPr>
          <w:rFonts w:hint="eastAsia" w:ascii="仿宋_GB2312" w:hAnsi="Times New Roman"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6.预算绩效管理情况。</w:t>
      </w:r>
      <w:r>
        <w:rPr>
          <w:rFonts w:hint="eastAsia" w:ascii="仿宋_GB2312" w:hAnsi="Times New Roman" w:cs="Times New Roman"/>
          <w:szCs w:val="32"/>
          <w:lang w:val="en-US" w:eastAsia="zh-CN"/>
        </w:rPr>
        <w:t>落实预算绩效管理要求</w:t>
      </w:r>
      <w:r>
        <w:rPr>
          <w:rFonts w:hint="eastAsia" w:ascii="仿宋_GB2312" w:cs="Times New Roman"/>
          <w:szCs w:val="32"/>
          <w:lang w:val="en-US" w:eastAsia="zh-CN"/>
        </w:rPr>
        <w:t>，及时跟踪项目绩效进展，实现项目进度、绩效成果的全要素、全过程绩效监控和闭环管理</w:t>
      </w:r>
      <w:r>
        <w:rPr>
          <w:rFonts w:hint="eastAsia" w:ascii="仿宋_GB2312" w:hAnsi="Times New Roman"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7.支出责任履行情况。</w:t>
      </w:r>
      <w:r>
        <w:rPr>
          <w:rFonts w:hint="eastAsia" w:ascii="仿宋_GB2312" w:hAnsi="Times New Roman" w:cs="Times New Roman"/>
          <w:szCs w:val="32"/>
          <w:lang w:val="en-US" w:eastAsia="zh-CN"/>
        </w:rPr>
        <w:t>项目主责单位</w:t>
      </w:r>
      <w:r>
        <w:rPr>
          <w:rFonts w:hint="eastAsia" w:ascii="仿宋_GB2312" w:cs="Times New Roman"/>
          <w:szCs w:val="32"/>
          <w:lang w:val="en-US" w:eastAsia="zh-CN"/>
        </w:rPr>
        <w:t>认真履行支出管理责任，</w:t>
      </w:r>
      <w:r>
        <w:rPr>
          <w:rFonts w:hint="eastAsia" w:ascii="仿宋_GB2312" w:hAnsi="Times New Roman" w:cs="Times New Roman"/>
          <w:szCs w:val="32"/>
          <w:lang w:val="en-US" w:eastAsia="zh-CN"/>
        </w:rPr>
        <w:t>严格按照合同约定和项目实施进度支付资金</w:t>
      </w:r>
      <w:r>
        <w:rPr>
          <w:rFonts w:hint="eastAsia" w:ascii="仿宋_GB2312"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1"/>
        <w:rPr>
          <w:rFonts w:hint="eastAsia" w:ascii="楷体_GB2312" w:hAnsi="楷体_GB2312" w:eastAsia="楷体_GB2312" w:cs="楷体_GB2312"/>
          <w:b/>
          <w:bCs/>
          <w:szCs w:val="32"/>
          <w:highlight w:val="none"/>
          <w:lang w:eastAsia="zh-CN"/>
        </w:rPr>
      </w:pPr>
      <w:bookmarkStart w:id="6" w:name="_Toc5613"/>
      <w:r>
        <w:rPr>
          <w:rFonts w:hint="eastAsia" w:ascii="楷体_GB2312" w:hAnsi="楷体_GB2312" w:eastAsia="楷体_GB2312" w:cs="楷体_GB2312"/>
          <w:b/>
          <w:bCs/>
          <w:szCs w:val="32"/>
          <w:highlight w:val="none"/>
          <w:lang w:eastAsia="zh-CN"/>
        </w:rPr>
        <w:t>（</w:t>
      </w:r>
      <w:r>
        <w:rPr>
          <w:rFonts w:hint="eastAsia" w:ascii="楷体_GB2312" w:hAnsi="楷体_GB2312" w:eastAsia="楷体_GB2312" w:cs="楷体_GB2312"/>
          <w:b/>
          <w:bCs/>
          <w:szCs w:val="32"/>
          <w:highlight w:val="none"/>
          <w:lang w:val="en-US" w:eastAsia="zh-CN"/>
        </w:rPr>
        <w:t>三</w:t>
      </w:r>
      <w:r>
        <w:rPr>
          <w:rFonts w:hint="eastAsia" w:ascii="楷体_GB2312" w:hAnsi="楷体_GB2312" w:eastAsia="楷体_GB2312" w:cs="楷体_GB2312"/>
          <w:b/>
          <w:bCs/>
          <w:szCs w:val="32"/>
          <w:highlight w:val="none"/>
          <w:lang w:eastAsia="zh-CN"/>
        </w:rPr>
        <w:t>）总体绩效目标完成情况分析</w:t>
      </w:r>
      <w:bookmarkEnd w:id="6"/>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我市</w:t>
      </w:r>
      <w:r>
        <w:rPr>
          <w:rFonts w:hint="eastAsia" w:ascii="仿宋_GB2312" w:cs="Times New Roman"/>
          <w:szCs w:val="32"/>
          <w:lang w:val="en-US" w:eastAsia="zh-CN"/>
        </w:rPr>
        <w:t>已按照预期计划完成了任务目标，实际制作正射影像图10279平方千米，</w:t>
      </w:r>
      <w:r>
        <w:rPr>
          <w:rFonts w:hint="eastAsia" w:ascii="仿宋_GB2312" w:hAnsi="Times New Roman" w:cs="Times New Roman"/>
          <w:szCs w:val="32"/>
          <w:lang w:val="en-US" w:eastAsia="zh-CN"/>
        </w:rPr>
        <w:t>通过山区</w:t>
      </w:r>
      <w:r>
        <w:rPr>
          <w:rFonts w:hint="eastAsia" w:ascii="仿宋_GB2312" w:hAnsi="Times New Roman" w:cs="Times New Roman"/>
          <w:szCs w:val="32"/>
          <w:lang w:val="zh-CN" w:eastAsia="zh-CN"/>
        </w:rPr>
        <w:t>正射影像</w:t>
      </w:r>
      <w:r>
        <w:rPr>
          <w:rFonts w:hint="eastAsia" w:ascii="仿宋_GB2312" w:hAnsi="Times New Roman" w:cs="Times New Roman"/>
          <w:szCs w:val="32"/>
          <w:lang w:val="en-US" w:eastAsia="zh-CN"/>
        </w:rPr>
        <w:t>图的成果应用，在重点区域地质灾害综合防治体系和防治能力建设、自然地质灾害调查评价、监测预警以及自然资源调查监测、城市国土空间监测等重大任务发挥重大作用，我市空间管理水平进一步提升。</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1"/>
        <w:rPr>
          <w:rFonts w:hint="eastAsia" w:ascii="楷体_GB2312" w:hAnsi="楷体_GB2312" w:eastAsia="楷体_GB2312" w:cs="楷体_GB2312"/>
          <w:b/>
          <w:bCs/>
          <w:szCs w:val="32"/>
          <w:highlight w:val="none"/>
          <w:lang w:eastAsia="zh-CN"/>
        </w:rPr>
      </w:pPr>
      <w:bookmarkStart w:id="7" w:name="_Toc3892"/>
      <w:r>
        <w:rPr>
          <w:rFonts w:hint="eastAsia" w:ascii="楷体_GB2312" w:hAnsi="楷体_GB2312" w:eastAsia="楷体_GB2312" w:cs="楷体_GB2312"/>
          <w:b/>
          <w:bCs/>
          <w:szCs w:val="32"/>
          <w:highlight w:val="none"/>
          <w:lang w:eastAsia="zh-CN"/>
        </w:rPr>
        <w:t>（</w:t>
      </w:r>
      <w:r>
        <w:rPr>
          <w:rFonts w:hint="eastAsia" w:ascii="楷体_GB2312" w:hAnsi="楷体_GB2312" w:eastAsia="楷体_GB2312" w:cs="楷体_GB2312"/>
          <w:b/>
          <w:bCs/>
          <w:szCs w:val="32"/>
          <w:highlight w:val="none"/>
          <w:lang w:val="en-US" w:eastAsia="zh-CN"/>
        </w:rPr>
        <w:t>四</w:t>
      </w:r>
      <w:r>
        <w:rPr>
          <w:rFonts w:hint="eastAsia" w:ascii="楷体_GB2312" w:hAnsi="楷体_GB2312" w:eastAsia="楷体_GB2312" w:cs="楷体_GB2312"/>
          <w:b/>
          <w:bCs/>
          <w:szCs w:val="32"/>
          <w:highlight w:val="none"/>
          <w:lang w:eastAsia="zh-CN"/>
        </w:rPr>
        <w:t>）绩效指标完成情况分析</w:t>
      </w:r>
      <w:bookmarkEnd w:id="7"/>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1.产出指标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cs="Times New Roman"/>
          <w:szCs w:val="32"/>
          <w:lang w:val="en-US" w:eastAsia="zh-CN"/>
        </w:rPr>
      </w:pPr>
      <w:r>
        <w:rPr>
          <w:rFonts w:hint="eastAsia" w:ascii="仿宋_GB2312" w:cs="Times New Roman"/>
          <w:szCs w:val="32"/>
          <w:lang w:val="en-US" w:eastAsia="zh-CN"/>
        </w:rPr>
        <w:t>截至2025年3月31日，我市</w:t>
      </w:r>
      <w:r>
        <w:rPr>
          <w:rFonts w:hint="eastAsia" w:ascii="仿宋_GB2312" w:cs="Times New Roman"/>
          <w:color w:val="000000" w:themeColor="text1"/>
          <w:szCs w:val="32"/>
          <w:lang w:eastAsia="zh-CN"/>
          <w14:textFill>
            <w14:solidFill>
              <w14:schemeClr w14:val="tx1"/>
            </w14:solidFill>
          </w14:textFill>
        </w:rPr>
        <w:t>累计</w:t>
      </w:r>
      <w:r>
        <w:rPr>
          <w:rFonts w:hint="eastAsia" w:ascii="仿宋_GB2312" w:cs="Times New Roman"/>
          <w:color w:val="000000" w:themeColor="text1"/>
          <w:szCs w:val="32"/>
          <w:lang w:val="en-US" w:eastAsia="zh-CN"/>
          <w14:textFill>
            <w14:solidFill>
              <w14:schemeClr w14:val="tx1"/>
            </w14:solidFill>
          </w14:textFill>
        </w:rPr>
        <w:t>完成</w:t>
      </w:r>
      <w:r>
        <w:rPr>
          <w:rFonts w:hint="eastAsia" w:ascii="仿宋_GB2312" w:cs="Times New Roman"/>
          <w:color w:val="000000" w:themeColor="text1"/>
          <w:szCs w:val="32"/>
          <w:lang w:eastAsia="zh-CN"/>
          <w14:textFill>
            <w14:solidFill>
              <w14:schemeClr w14:val="tx1"/>
            </w14:solidFill>
          </w14:textFill>
        </w:rPr>
        <w:t>约</w:t>
      </w:r>
      <w:r>
        <w:rPr>
          <w:rFonts w:hint="eastAsia" w:ascii="仿宋_GB2312" w:cs="Times New Roman"/>
          <w:color w:val="000000" w:themeColor="text1"/>
          <w:szCs w:val="32"/>
          <w:lang w:val="en-US" w:eastAsia="zh-CN"/>
          <w14:textFill>
            <w14:solidFill>
              <w14:schemeClr w14:val="tx1"/>
            </w14:solidFill>
          </w14:textFill>
        </w:rPr>
        <w:t>10279平方千米</w:t>
      </w:r>
      <w:r>
        <w:rPr>
          <w:rFonts w:hint="eastAsia"/>
          <w:bCs/>
          <w:color w:val="000000" w:themeColor="text1"/>
          <w:szCs w:val="32"/>
          <w14:textFill>
            <w14:solidFill>
              <w14:schemeClr w14:val="tx1"/>
            </w14:solidFill>
          </w14:textFill>
        </w:rPr>
        <w:t>0</w:t>
      </w:r>
      <w:r>
        <w:rPr>
          <w:bCs/>
          <w:color w:val="000000" w:themeColor="text1"/>
          <w:szCs w:val="32"/>
          <w14:textFill>
            <w14:solidFill>
              <w14:schemeClr w14:val="tx1"/>
            </w14:solidFill>
          </w14:textFill>
        </w:rPr>
        <w:t>.5米分辨率</w:t>
      </w:r>
      <w:r>
        <w:rPr>
          <w:rFonts w:hint="eastAsia"/>
          <w:bCs/>
          <w:color w:val="000000" w:themeColor="text1"/>
          <w:szCs w:val="32"/>
          <w14:textFill>
            <w14:solidFill>
              <w14:schemeClr w14:val="tx1"/>
            </w14:solidFill>
          </w14:textFill>
        </w:rPr>
        <w:t>卫片数字正射影像图成果</w:t>
      </w:r>
      <w:r>
        <w:rPr>
          <w:rFonts w:hint="eastAsia"/>
          <w:bCs/>
          <w:color w:val="000000" w:themeColor="text1"/>
          <w:szCs w:val="32"/>
          <w:lang w:eastAsia="zh-CN"/>
          <w14:textFill>
            <w14:solidFill>
              <w14:schemeClr w14:val="tx1"/>
            </w14:solidFill>
          </w14:textFill>
        </w:rPr>
        <w:t>的制作更新，并通过第三方质检机构的检查验收</w:t>
      </w:r>
      <w:r>
        <w:rPr>
          <w:rFonts w:hint="eastAsia"/>
          <w:bCs/>
          <w:color w:val="000000" w:themeColor="text1"/>
          <w:szCs w:val="32"/>
          <w:lang w:val="en-US" w:eastAsia="zh-CN"/>
          <w14:textFill>
            <w14:solidFill>
              <w14:schemeClr w14:val="tx1"/>
            </w14:solidFill>
          </w14:textFill>
        </w:rPr>
        <w:t>及专家评审验收</w:t>
      </w:r>
      <w:r>
        <w:rPr>
          <w:rFonts w:hint="eastAsia"/>
          <w:bCs/>
          <w:color w:val="000000" w:themeColor="text1"/>
          <w:szCs w:val="32"/>
          <w:lang w:eastAsia="zh-CN"/>
          <w14:textFill>
            <w14:solidFill>
              <w14:schemeClr w14:val="tx1"/>
            </w14:solidFill>
          </w14:textFill>
        </w:rPr>
        <w:t>，</w:t>
      </w:r>
      <w:r>
        <w:rPr>
          <w:rFonts w:hint="eastAsia" w:ascii="仿宋_GB2312" w:hAnsi="Times New Roman" w:cs="Times New Roman"/>
          <w:szCs w:val="32"/>
          <w:lang w:val="en-US" w:eastAsia="zh-CN"/>
        </w:rPr>
        <w:t>实现绩效指标要求。</w:t>
      </w:r>
      <w:r>
        <w:rPr>
          <w:rFonts w:hint="eastAsia" w:ascii="仿宋_GB2312" w:cs="Times New Roman"/>
          <w:szCs w:val="32"/>
          <w:lang w:val="en-US" w:eastAsia="zh-CN"/>
        </w:rPr>
        <w:t>具体指标完成情况详见下表。</w:t>
      </w:r>
    </w:p>
    <w:p>
      <w:pPr>
        <w:keepNext w:val="0"/>
        <w:keepLines w:val="0"/>
        <w:pageBreakBefore w:val="0"/>
        <w:widowControl w:val="0"/>
        <w:kinsoku/>
        <w:wordWrap/>
        <w:overflowPunct/>
        <w:topLinePunct w:val="0"/>
        <w:autoSpaceDE/>
        <w:autoSpaceDN/>
        <w:bidi w:val="0"/>
        <w:adjustRightInd/>
        <w:snapToGrid w:val="0"/>
        <w:spacing w:line="160" w:lineRule="exact"/>
        <w:textAlignment w:val="auto"/>
        <w:outlineLvl w:val="9"/>
        <w:rPr>
          <w:rFonts w:hint="eastAsia" w:ascii="仿宋_GB2312" w:cs="Times New Roman"/>
          <w:szCs w:val="32"/>
          <w:lang w:val="en-US" w:eastAsia="zh-CN"/>
        </w:rPr>
      </w:pPr>
    </w:p>
    <w:p>
      <w:pPr>
        <w:pStyle w:val="7"/>
        <w:keepNext w:val="0"/>
        <w:keepLines w:val="0"/>
        <w:pageBreakBefore w:val="0"/>
        <w:kinsoku/>
        <w:wordWrap/>
        <w:overflowPunct/>
        <w:topLinePunct w:val="0"/>
        <w:autoSpaceDE/>
        <w:autoSpaceDN/>
        <w:bidi w:val="0"/>
        <w:adjustRightInd/>
        <w:jc w:val="center"/>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绩效指标完成情况统计表</w:t>
      </w:r>
    </w:p>
    <w:tbl>
      <w:tblPr>
        <w:tblStyle w:val="14"/>
        <w:tblW w:w="8555"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2833"/>
        <w:gridCol w:w="1184"/>
        <w:gridCol w:w="2191"/>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二级指标</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三级指标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指标值</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全年实际完成值</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开展基础测绘生产工作区县数</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涉及房山区、门头沟区、延庆区、顺义区、平谷区、密云区、昌平区、怀柔区8个区</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2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jc w:val="center"/>
              <w:outlineLvl w:val="9"/>
              <w:rPr>
                <w:rFonts w:hint="eastAsia" w:ascii="宋体" w:hAnsi="宋体" w:eastAsia="宋体" w:cs="宋体"/>
                <w:i w:val="0"/>
                <w:iCs w:val="0"/>
                <w:color w:val="000000"/>
                <w:sz w:val="20"/>
                <w:szCs w:val="20"/>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1:1万及更大比例尺影像图的制作更新</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9000平方千米</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10279平方千米，涉及成果数量为</w:t>
            </w:r>
            <w:r>
              <w:rPr>
                <w:rFonts w:hint="default" w:ascii="宋体" w:hAnsi="宋体" w:eastAsia="宋体" w:cs="宋体"/>
                <w:i w:val="0"/>
                <w:iCs w:val="0"/>
                <w:color w:val="000000"/>
                <w:kern w:val="0"/>
                <w:sz w:val="20"/>
                <w:szCs w:val="20"/>
                <w:u w:val="none"/>
                <w:lang w:val="en-US" w:eastAsia="zh-CN" w:bidi="ar"/>
              </w:rPr>
              <w:t>13262幅</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jc w:val="center"/>
              <w:outlineLvl w:val="9"/>
              <w:rPr>
                <w:rFonts w:hint="eastAsia" w:ascii="宋体" w:hAnsi="宋体" w:eastAsia="宋体" w:cs="宋体"/>
                <w:i w:val="0"/>
                <w:iCs w:val="0"/>
                <w:color w:val="000000"/>
                <w:sz w:val="20"/>
                <w:szCs w:val="20"/>
                <w:u w:val="none"/>
              </w:rPr>
            </w:pP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影像图覆盖率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成果通过国家测绘产品质量检验测试中心质检验收，及专家评审验收，验收合格率100%</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项目按时完成率</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3月20日完成项目验收，较方案及合同约定提前完成</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2.效益指标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通过</w:t>
      </w:r>
      <w:r>
        <w:rPr>
          <w:rFonts w:hint="eastAsia" w:ascii="仿宋_GB2312" w:hAnsi="Times New Roman" w:cs="Times New Roman"/>
          <w:szCs w:val="32"/>
          <w:lang w:val="zh-CN" w:eastAsia="zh-CN"/>
        </w:rPr>
        <w:t>制作北京市基础测绘彩色数字正射影像</w:t>
      </w:r>
      <w:r>
        <w:rPr>
          <w:rFonts w:hint="eastAsia" w:ascii="仿宋_GB2312" w:hAnsi="Times New Roman" w:cs="Times New Roman"/>
          <w:szCs w:val="32"/>
          <w:lang w:val="en-US" w:eastAsia="zh-CN"/>
        </w:rPr>
        <w:t>图，进一步提升我市空间管理水平。</w:t>
      </w:r>
      <w:r>
        <w:rPr>
          <w:rFonts w:hint="eastAsia" w:ascii="仿宋_GB2312" w:hAnsi="Times New Roman" w:cs="Times New Roman"/>
          <w:szCs w:val="32"/>
          <w:lang w:val="zh-CN" w:eastAsia="zh-CN"/>
        </w:rPr>
        <w:t>卫片正射影像成果是全市正射影像共享的重要数据来源和基础测绘的重要数据源，该成果在重点区域地质灾害综合防治体系和防治能力建设、自然地质灾害调查评价、隐患排查、监测预警以及自然资源</w:t>
      </w:r>
      <w:r>
        <w:rPr>
          <w:rFonts w:hint="eastAsia" w:ascii="仿宋_GB2312" w:cs="Times New Roman"/>
          <w:szCs w:val="32"/>
          <w:lang w:val="en-US" w:eastAsia="zh-CN"/>
        </w:rPr>
        <w:t>调查</w:t>
      </w:r>
      <w:r>
        <w:rPr>
          <w:rFonts w:hint="eastAsia" w:ascii="仿宋_GB2312" w:hAnsi="Times New Roman" w:cs="Times New Roman"/>
          <w:szCs w:val="32"/>
          <w:lang w:val="zh-CN" w:eastAsia="zh-CN"/>
        </w:rPr>
        <w:t>监测、城市国土空间监测、房地一体调查等重大任务发挥重大作用，在自然灾害、突发事件等应急情况下，能够快速提供准确的地理信息，帮助救援人员了解受灾区域的地形、地物分布，制定科学的救援方案，确定最佳救援路线，提高应急响应速度和救灾效果，保障人民生命财产安全。</w:t>
      </w:r>
      <w:r>
        <w:rPr>
          <w:rFonts w:hint="eastAsia" w:ascii="仿宋_GB2312" w:hAnsi="Times New Roman" w:cs="Times New Roman"/>
          <w:szCs w:val="32"/>
          <w:lang w:val="en-US" w:eastAsia="zh-CN"/>
        </w:rPr>
        <w:t>截至目前，项目成果数据已在我市规自部门共享使用，后续将面向全市进行公开。</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3.满意度指标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通过对市内成果应用单位进行满意调查显示，成果应用单位对成果表示认可，满意度指标实现绩效指标要求。</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仿宋_GB2312"/>
          <w:szCs w:val="32"/>
        </w:rPr>
      </w:pPr>
      <w:bookmarkStart w:id="8" w:name="_Toc8093"/>
      <w:r>
        <w:rPr>
          <w:rFonts w:hint="eastAsia" w:ascii="黑体" w:hAnsi="黑体" w:eastAsia="黑体" w:cs="黑体"/>
          <w:bCs/>
          <w:szCs w:val="32"/>
        </w:rPr>
        <w:t>三、偏离绩效目标的原因和下一步改进措施</w:t>
      </w:r>
      <w:bookmarkEnd w:id="8"/>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default" w:ascii="仿宋_GB2312" w:hAnsi="Times New Roman" w:cs="Times New Roman"/>
          <w:szCs w:val="32"/>
          <w:lang w:val="en-US" w:eastAsia="zh-CN"/>
        </w:rPr>
      </w:pPr>
      <w:r>
        <w:rPr>
          <w:rFonts w:hint="eastAsia" w:ascii="仿宋_GB2312" w:cs="Times New Roman"/>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bCs/>
          <w:szCs w:val="32"/>
        </w:rPr>
      </w:pPr>
      <w:bookmarkStart w:id="9" w:name="_Toc24408"/>
      <w:r>
        <w:rPr>
          <w:rFonts w:hint="eastAsia" w:ascii="黑体" w:hAnsi="黑体" w:eastAsia="黑体" w:cs="黑体"/>
          <w:bCs/>
          <w:szCs w:val="32"/>
          <w:lang w:eastAsia="zh-CN"/>
        </w:rPr>
        <w:t>四</w:t>
      </w:r>
      <w:r>
        <w:rPr>
          <w:rFonts w:hint="eastAsia" w:ascii="黑体" w:hAnsi="黑体" w:eastAsia="黑体" w:cs="黑体"/>
          <w:bCs/>
          <w:szCs w:val="32"/>
        </w:rPr>
        <w:t>、政策执行或项目实施中存在的问题、原因分析和改进措施</w:t>
      </w:r>
      <w:bookmarkEnd w:id="9"/>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default" w:ascii="仿宋_GB2312" w:hAnsi="Times New Roman" w:cs="Times New Roman"/>
          <w:szCs w:val="32"/>
          <w:lang w:val="en-US" w:eastAsia="zh-CN"/>
        </w:rPr>
      </w:pPr>
      <w:r>
        <w:rPr>
          <w:rFonts w:hint="eastAsia" w:ascii="仿宋_GB2312" w:cs="Times New Roman"/>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10" w:name="_Toc23603"/>
      <w:r>
        <w:rPr>
          <w:rFonts w:hint="eastAsia" w:ascii="黑体" w:hAnsi="黑体" w:eastAsia="黑体" w:cs="黑体"/>
          <w:bCs/>
          <w:szCs w:val="32"/>
          <w:lang w:val="en-US" w:eastAsia="zh-CN"/>
        </w:rPr>
        <w:t>五</w:t>
      </w:r>
      <w:r>
        <w:rPr>
          <w:rFonts w:hint="eastAsia" w:ascii="黑体" w:hAnsi="黑体" w:eastAsia="黑体" w:cs="黑体"/>
          <w:bCs/>
          <w:szCs w:val="32"/>
        </w:rPr>
        <w:t>、绩效自评结果拟应用和公开情况</w:t>
      </w:r>
      <w:bookmarkEnd w:id="10"/>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绩效自评结果将按照规定程序进行公开，接受社会公众监督。同时将按照预算绩效和财政资金管理规定，将自评结果作为以后年度资金分配的重要参考。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11" w:name="_Toc17584"/>
      <w:r>
        <w:rPr>
          <w:rFonts w:hint="eastAsia" w:ascii="黑体" w:hAnsi="黑体" w:eastAsia="黑体" w:cs="黑体"/>
          <w:bCs/>
          <w:szCs w:val="32"/>
          <w:lang w:val="en-US" w:eastAsia="zh-CN"/>
        </w:rPr>
        <w:t>六</w:t>
      </w:r>
      <w:r>
        <w:rPr>
          <w:rFonts w:hint="eastAsia" w:ascii="黑体" w:hAnsi="黑体" w:eastAsia="黑体" w:cs="黑体"/>
          <w:bCs/>
          <w:szCs w:val="32"/>
        </w:rPr>
        <w:t>、其他需要说明的问题</w:t>
      </w:r>
      <w:bookmarkEnd w:id="11"/>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Times New Roman" w:hAnsi="Times New Roman" w:cs="Times New Roman"/>
        </w:rPr>
      </w:pPr>
      <w:r>
        <w:rPr>
          <w:rFonts w:hint="eastAsia" w:ascii="Times New Roman" w:hAnsi="Times New Roman" w:cs="Times New Roman"/>
          <w:lang w:val="en-US" w:eastAsia="zh-CN"/>
        </w:rPr>
        <w:t>我市不涉及巡视、审计和财政监督中发现的问题及其所涉及的金额情况。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lang w:val="en"/>
        </w:rPr>
      </w:pPr>
      <w:bookmarkStart w:id="12" w:name="_Toc29821"/>
      <w:r>
        <w:rPr>
          <w:rFonts w:hint="eastAsia" w:ascii="黑体" w:hAnsi="黑体" w:eastAsia="黑体" w:cs="黑体"/>
          <w:lang w:val="en-US" w:eastAsia="zh-CN"/>
        </w:rPr>
        <w:t>七</w:t>
      </w:r>
      <w:r>
        <w:rPr>
          <w:rFonts w:hint="eastAsia" w:ascii="黑体" w:hAnsi="黑体" w:eastAsia="黑体" w:cs="黑体"/>
          <w:lang w:val="en"/>
        </w:rPr>
        <w:t>、附件</w:t>
      </w:r>
      <w:bookmarkEnd w:id="12"/>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lang w:val="en"/>
        </w:rPr>
      </w:pPr>
      <w:r>
        <w:rPr>
          <w:rFonts w:hint="eastAsia"/>
        </w:rPr>
        <w:t>转移支付区域（项目）绩效自评表</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933AA3C-F157-47DE-8A89-CFFFF2A1D9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5DE4E3B-7E5C-4EEC-8171-1AA6010FDAAD}"/>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000" w:usb1="00000000" w:usb2="00000000" w:usb3="00000000" w:csb0="00000000" w:csb1="00000000"/>
    <w:embedRegular r:id="rId3" w:fontKey="{C9E9C89A-2568-4480-BA28-E072C9E40FD3}"/>
  </w:font>
  <w:font w:name="楷体_GB2312">
    <w:panose1 w:val="02010609030101010101"/>
    <w:charset w:val="86"/>
    <w:family w:val="modern"/>
    <w:pitch w:val="default"/>
    <w:sig w:usb0="00000001" w:usb1="080E0000" w:usb2="00000000" w:usb3="00000000" w:csb0="00040000" w:csb1="00000000"/>
    <w:embedRegular r:id="rId4" w:fontKey="{01831CDD-7DFB-4AE3-A203-93E2E2F87B0E}"/>
  </w:font>
  <w:font w:name="方正小标宋简体">
    <w:panose1 w:val="02010601030101010101"/>
    <w:charset w:val="86"/>
    <w:family w:val="auto"/>
    <w:pitch w:val="default"/>
    <w:sig w:usb0="00000001" w:usb1="080E0000" w:usb2="00000000" w:usb3="00000000" w:csb0="00040000" w:csb1="00000000"/>
    <w:embedRegular r:id="rId5" w:fontKey="{A9B6D4AB-04D0-46E4-B2C2-041BF6FB07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dit="readOnly" w:enforcement="0"/>
  <w:defaultTabStop w:val="420"/>
  <w:drawingGridHorizontalSpacing w:val="150"/>
  <w:drawingGridVerticalSpacing w:val="5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0192"/>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116A2A"/>
    <w:rsid w:val="02905656"/>
    <w:rsid w:val="02984E2A"/>
    <w:rsid w:val="037D0BC8"/>
    <w:rsid w:val="03CD4815"/>
    <w:rsid w:val="0680729D"/>
    <w:rsid w:val="07A5520D"/>
    <w:rsid w:val="0845082D"/>
    <w:rsid w:val="08E81179"/>
    <w:rsid w:val="09175C96"/>
    <w:rsid w:val="09E965F2"/>
    <w:rsid w:val="0C144DE5"/>
    <w:rsid w:val="0DEF3FA1"/>
    <w:rsid w:val="0F2D5755"/>
    <w:rsid w:val="0FF7AA4F"/>
    <w:rsid w:val="10694D6D"/>
    <w:rsid w:val="113261FD"/>
    <w:rsid w:val="128864C1"/>
    <w:rsid w:val="139840D3"/>
    <w:rsid w:val="143E091F"/>
    <w:rsid w:val="14865FC8"/>
    <w:rsid w:val="14F95072"/>
    <w:rsid w:val="150C2DB0"/>
    <w:rsid w:val="16A01312"/>
    <w:rsid w:val="1A0D118C"/>
    <w:rsid w:val="1A7D29EA"/>
    <w:rsid w:val="1AC53882"/>
    <w:rsid w:val="1C9D5179"/>
    <w:rsid w:val="1D994BCF"/>
    <w:rsid w:val="1E761F05"/>
    <w:rsid w:val="1F260691"/>
    <w:rsid w:val="1F770FCB"/>
    <w:rsid w:val="1F7BE1E6"/>
    <w:rsid w:val="1FC7205C"/>
    <w:rsid w:val="21B56061"/>
    <w:rsid w:val="228B3D05"/>
    <w:rsid w:val="235B641F"/>
    <w:rsid w:val="2510480D"/>
    <w:rsid w:val="284C209E"/>
    <w:rsid w:val="284E74F8"/>
    <w:rsid w:val="28AF557B"/>
    <w:rsid w:val="28EA3149"/>
    <w:rsid w:val="2939535D"/>
    <w:rsid w:val="29F64FFC"/>
    <w:rsid w:val="2ADB48E8"/>
    <w:rsid w:val="2B7B28B1"/>
    <w:rsid w:val="2BEE404D"/>
    <w:rsid w:val="2DF605FB"/>
    <w:rsid w:val="2E7E42AC"/>
    <w:rsid w:val="2F445AB8"/>
    <w:rsid w:val="2F9E5F1A"/>
    <w:rsid w:val="317D7E66"/>
    <w:rsid w:val="31887976"/>
    <w:rsid w:val="31C04A55"/>
    <w:rsid w:val="33F852AB"/>
    <w:rsid w:val="356330E4"/>
    <w:rsid w:val="36687282"/>
    <w:rsid w:val="367793B2"/>
    <w:rsid w:val="36BE3444"/>
    <w:rsid w:val="3794FC37"/>
    <w:rsid w:val="38AB6908"/>
    <w:rsid w:val="38EF7AD8"/>
    <w:rsid w:val="3B822B94"/>
    <w:rsid w:val="3CCB3725"/>
    <w:rsid w:val="3E1672E6"/>
    <w:rsid w:val="3EB9C2BB"/>
    <w:rsid w:val="3F8F6F12"/>
    <w:rsid w:val="3FEF6A07"/>
    <w:rsid w:val="3FFCD4B4"/>
    <w:rsid w:val="415F08D8"/>
    <w:rsid w:val="41D81AF8"/>
    <w:rsid w:val="427447C8"/>
    <w:rsid w:val="42755F8B"/>
    <w:rsid w:val="42A64607"/>
    <w:rsid w:val="437A6D9B"/>
    <w:rsid w:val="44CC6C2E"/>
    <w:rsid w:val="44E2230F"/>
    <w:rsid w:val="451C5E07"/>
    <w:rsid w:val="45AC7DE2"/>
    <w:rsid w:val="47A623FA"/>
    <w:rsid w:val="48897AA8"/>
    <w:rsid w:val="48B51347"/>
    <w:rsid w:val="491B3F53"/>
    <w:rsid w:val="491B45FA"/>
    <w:rsid w:val="4A55216A"/>
    <w:rsid w:val="4C3E2B07"/>
    <w:rsid w:val="4EE216D6"/>
    <w:rsid w:val="4FE0696A"/>
    <w:rsid w:val="4FF47283"/>
    <w:rsid w:val="51023E8E"/>
    <w:rsid w:val="51B43ED4"/>
    <w:rsid w:val="52BD398A"/>
    <w:rsid w:val="539A32BF"/>
    <w:rsid w:val="546F8569"/>
    <w:rsid w:val="55673508"/>
    <w:rsid w:val="569627B0"/>
    <w:rsid w:val="588945BC"/>
    <w:rsid w:val="59062C7A"/>
    <w:rsid w:val="59595A6F"/>
    <w:rsid w:val="597350B8"/>
    <w:rsid w:val="599330CA"/>
    <w:rsid w:val="59C23017"/>
    <w:rsid w:val="5A7FCB1F"/>
    <w:rsid w:val="5D255318"/>
    <w:rsid w:val="5D3454DA"/>
    <w:rsid w:val="5DB0799F"/>
    <w:rsid w:val="5ED74E06"/>
    <w:rsid w:val="5F441D8B"/>
    <w:rsid w:val="5FEAF7C9"/>
    <w:rsid w:val="6043643D"/>
    <w:rsid w:val="60D5009F"/>
    <w:rsid w:val="60D814B3"/>
    <w:rsid w:val="61CB5A43"/>
    <w:rsid w:val="62DFD2C9"/>
    <w:rsid w:val="64AC2E11"/>
    <w:rsid w:val="65697B50"/>
    <w:rsid w:val="660721C9"/>
    <w:rsid w:val="661E6C75"/>
    <w:rsid w:val="6655474F"/>
    <w:rsid w:val="66B464ED"/>
    <w:rsid w:val="67C82882"/>
    <w:rsid w:val="67F75FF5"/>
    <w:rsid w:val="681D4831"/>
    <w:rsid w:val="68481B10"/>
    <w:rsid w:val="692E4B19"/>
    <w:rsid w:val="69513EF7"/>
    <w:rsid w:val="6B4E5ABD"/>
    <w:rsid w:val="6BF3256F"/>
    <w:rsid w:val="6CAF6B3D"/>
    <w:rsid w:val="6CE7018A"/>
    <w:rsid w:val="6E3E3F2D"/>
    <w:rsid w:val="6E43511B"/>
    <w:rsid w:val="6F8E6918"/>
    <w:rsid w:val="6F8F0CA2"/>
    <w:rsid w:val="70027824"/>
    <w:rsid w:val="71127F06"/>
    <w:rsid w:val="715B2F02"/>
    <w:rsid w:val="71A53396"/>
    <w:rsid w:val="71CB5AA2"/>
    <w:rsid w:val="729F582D"/>
    <w:rsid w:val="7468175E"/>
    <w:rsid w:val="76A548F2"/>
    <w:rsid w:val="7765772E"/>
    <w:rsid w:val="776F5E62"/>
    <w:rsid w:val="77867685"/>
    <w:rsid w:val="77EE7FE7"/>
    <w:rsid w:val="7811792D"/>
    <w:rsid w:val="781F36B6"/>
    <w:rsid w:val="790627AD"/>
    <w:rsid w:val="79CB1376"/>
    <w:rsid w:val="79DFF8C4"/>
    <w:rsid w:val="7ADC59FA"/>
    <w:rsid w:val="7AFF2FC3"/>
    <w:rsid w:val="7B0C3238"/>
    <w:rsid w:val="7BF6B4C5"/>
    <w:rsid w:val="7D594473"/>
    <w:rsid w:val="7DDD794F"/>
    <w:rsid w:val="7DFA6624"/>
    <w:rsid w:val="7DFD8AD7"/>
    <w:rsid w:val="7DFEFB95"/>
    <w:rsid w:val="7ECD6B9A"/>
    <w:rsid w:val="7FBA576D"/>
    <w:rsid w:val="7FDE47D5"/>
    <w:rsid w:val="7FFC7CB2"/>
    <w:rsid w:val="7FFD003D"/>
    <w:rsid w:val="94BFC172"/>
    <w:rsid w:val="9BFA614C"/>
    <w:rsid w:val="AAFDD6AA"/>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DFF12BB"/>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3"/>
    <w:next w:val="1"/>
    <w:qFormat/>
    <w:uiPriority w:val="0"/>
    <w:pPr>
      <w:keepNext/>
      <w:keepLines/>
      <w:tabs>
        <w:tab w:val="left" w:pos="-420"/>
        <w:tab w:val="decimal" w:pos="0"/>
      </w:tabs>
      <w:spacing w:before="120" w:after="120" w:line="360" w:lineRule="auto"/>
      <w:outlineLvl w:val="1"/>
    </w:pPr>
    <w:rPr>
      <w:rFonts w:ascii="Arial" w:hAnsi="Arial" w:eastAsia="宋体"/>
      <w:sz w:val="28"/>
    </w:rPr>
  </w:style>
  <w:style w:type="paragraph" w:styleId="4">
    <w:name w:val="heading 3"/>
    <w:basedOn w:val="1"/>
    <w:next w:val="5"/>
    <w:unhideWhenUsed/>
    <w:qFormat/>
    <w:uiPriority w:val="9"/>
    <w:pPr>
      <w:keepNext/>
      <w:keepLines/>
      <w:spacing w:line="360" w:lineRule="auto"/>
      <w:ind w:firstLine="640"/>
      <w:outlineLvl w:val="2"/>
    </w:pPr>
    <w:rPr>
      <w:b/>
    </w:rPr>
  </w:style>
  <w:style w:type="paragraph" w:styleId="6">
    <w:name w:val="heading 4"/>
    <w:basedOn w:val="1"/>
    <w:next w:val="1"/>
    <w:unhideWhenUsed/>
    <w:qFormat/>
    <w:uiPriority w:val="9"/>
    <w:pPr>
      <w:keepNext/>
      <w:keepLines/>
      <w:outlineLvl w:val="3"/>
    </w:pPr>
    <w:rPr>
      <w:rFonts w:ascii="Arial" w:hAnsi="Aria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Title"/>
    <w:basedOn w:val="1"/>
    <w:next w:val="1"/>
    <w:qFormat/>
    <w:uiPriority w:val="0"/>
    <w:pPr>
      <w:tabs>
        <w:tab w:val="left" w:pos="-420"/>
        <w:tab w:val="decimal" w:pos="0"/>
      </w:tabs>
      <w:ind w:firstLine="0" w:firstLineChars="0"/>
      <w:jc w:val="left"/>
      <w:outlineLvl w:val="0"/>
    </w:pPr>
    <w:rPr>
      <w:rFonts w:ascii="Cambria" w:hAnsi="Cambria" w:cs="Times New Roman"/>
      <w:b/>
      <w:bCs/>
      <w:sz w:val="36"/>
      <w:szCs w:val="32"/>
    </w:rPr>
  </w:style>
  <w:style w:type="paragraph" w:styleId="5">
    <w:name w:val="Plain Text"/>
    <w:basedOn w:val="1"/>
    <w:qFormat/>
    <w:uiPriority w:val="0"/>
    <w:rPr>
      <w:rFonts w:ascii="宋体" w:hAnsi="Courier New" w:cs="Courier New"/>
      <w:szCs w:val="21"/>
    </w:rPr>
  </w:style>
  <w:style w:type="paragraph" w:styleId="7">
    <w:name w:val="Body Text"/>
    <w:basedOn w:val="1"/>
    <w:next w:val="1"/>
    <w:semiHidden/>
    <w:unhideWhenUsed/>
    <w:qFormat/>
    <w:uiPriority w:val="99"/>
    <w:pPr>
      <w:spacing w:after="120"/>
    </w:pPr>
  </w:style>
  <w:style w:type="paragraph" w:styleId="8">
    <w:name w:val="Balloon Text"/>
    <w:basedOn w:val="1"/>
    <w:link w:val="20"/>
    <w:qFormat/>
    <w:uiPriority w:val="0"/>
    <w:rPr>
      <w:sz w:val="18"/>
      <w:szCs w:val="18"/>
    </w:rPr>
  </w:style>
  <w:style w:type="paragraph" w:styleId="9">
    <w:name w:val="footer"/>
    <w:basedOn w:val="1"/>
    <w:link w:val="18"/>
    <w:qFormat/>
    <w:uiPriority w:val="99"/>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index 9"/>
    <w:basedOn w:val="1"/>
    <w:next w:val="1"/>
    <w:qFormat/>
    <w:uiPriority w:val="99"/>
    <w:pPr>
      <w:ind w:left="1600" w:leftChars="1600"/>
    </w:pPr>
  </w:style>
  <w:style w:type="paragraph" w:styleId="13">
    <w:name w:val="toc 2"/>
    <w:basedOn w:val="1"/>
    <w:next w:val="1"/>
    <w:qFormat/>
    <w:uiPriority w:val="39"/>
    <w:pPr>
      <w:ind w:left="420" w:leftChars="20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7">
    <w:name w:val="Strong"/>
    <w:basedOn w:val="16"/>
    <w:qFormat/>
    <w:uiPriority w:val="0"/>
    <w:rPr>
      <w:b/>
    </w:rPr>
  </w:style>
  <w:style w:type="character" w:customStyle="1" w:styleId="18">
    <w:name w:val="页脚 Char"/>
    <w:basedOn w:val="16"/>
    <w:link w:val="9"/>
    <w:qFormat/>
    <w:uiPriority w:val="99"/>
    <w:rPr>
      <w:rFonts w:eastAsia="仿宋_GB2312"/>
      <w:kern w:val="2"/>
      <w:sz w:val="18"/>
      <w:szCs w:val="18"/>
    </w:rPr>
  </w:style>
  <w:style w:type="character" w:customStyle="1" w:styleId="19">
    <w:name w:val="页眉 Char"/>
    <w:basedOn w:val="16"/>
    <w:link w:val="10"/>
    <w:qFormat/>
    <w:uiPriority w:val="0"/>
    <w:rPr>
      <w:rFonts w:eastAsia="仿宋_GB2312"/>
      <w:kern w:val="2"/>
      <w:sz w:val="18"/>
      <w:szCs w:val="18"/>
    </w:rPr>
  </w:style>
  <w:style w:type="character" w:customStyle="1" w:styleId="20">
    <w:name w:val="批注框文本 Char"/>
    <w:basedOn w:val="16"/>
    <w:link w:val="8"/>
    <w:qFormat/>
    <w:uiPriority w:val="0"/>
    <w:rPr>
      <w:rFonts w:eastAsia="仿宋_GB2312"/>
      <w:kern w:val="2"/>
      <w:sz w:val="18"/>
      <w:szCs w:val="18"/>
    </w:rPr>
  </w:style>
  <w:style w:type="paragraph" w:styleId="21">
    <w:name w:val="List Paragraph"/>
    <w:basedOn w:val="1"/>
    <w:qFormat/>
    <w:uiPriority w:val="34"/>
    <w:pPr>
      <w:ind w:firstLine="420" w:firstLineChars="200"/>
    </w:pPr>
  </w:style>
  <w:style w:type="paragraph" w:customStyle="1" w:styleId="22">
    <w:name w:val="表格"/>
    <w:basedOn w:val="1"/>
    <w:qFormat/>
    <w:uiPriority w:val="0"/>
    <w:pPr>
      <w:autoSpaceDN w:val="0"/>
      <w:jc w:val="center"/>
    </w:pPr>
    <w:rPr>
      <w:rFonts w:ascii="Verdana" w:hAnsi="Verdana" w:eastAsia="仿宋_GB2312"/>
      <w:bCs/>
      <w:sz w:val="24"/>
      <w:szCs w:val="21"/>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2423</Words>
  <Characters>2544</Characters>
  <Lines>3</Lines>
  <Paragraphs>1</Paragraphs>
  <TotalTime>31</TotalTime>
  <ScaleCrop>false</ScaleCrop>
  <LinksUpToDate>false</LinksUpToDate>
  <CharactersWithSpaces>2560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2019-02-18T14:26:00Z</dcterms:created>
  <dc:creator>lhn</dc:creator>
  <cp:lastModifiedBy>张雯昕</cp:lastModifiedBy>
  <cp:lastPrinted>2025-03-19T07:31:00Z</cp:lastPrinted>
  <dcterms:modified xsi:type="dcterms:W3CDTF">2025-03-20T02:37:15Z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KSOTemplateDocerSaveRecord">
    <vt:lpwstr>eyJoZGlkIjoiMTFmYzcxMjYzYTdmYmE1ZmNjOWQwN2JlYzRiYWEyMGYiLCJ1c2VySWQiOiIzNDI4Mzk2NTYifQ==</vt:lpwstr>
  </property>
  <property fmtid="{D5CDD505-2E9C-101B-9397-08002B2CF9AE}" pid="4" name="ICV">
    <vt:lpwstr>53FE64345BE44BAA8ADAF3EB2FA9831E_12</vt:lpwstr>
  </property>
</Properties>
</file>