
<file path=[Content_Types].xml><?xml version="1.0" encoding="utf-8"?>
<Types xmlns="http://schemas.openxmlformats.org/package/2006/content-types">
  <Default Extension="xml" ContentType="application/xml"/>
  <Default Extension="xlsx" ContentType="application/vnd.openxmlformats-officedocument.spreadsheetml.sheet"/>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charts/colors1.xml" ContentType="application/vnd.ms-office.chartcolorstyle+xml"/>
  <Override PartName="/word/charts/style1.xml" ContentType="application/vnd.ms-office.chartstyle+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仿宋_GB2312" w:eastAsia="仿宋_GB2312"/>
          <w:b/>
          <w:sz w:val="32"/>
          <w:szCs w:val="32"/>
        </w:rPr>
      </w:pPr>
    </w:p>
    <w:p>
      <w:pPr>
        <w:jc w:val="center"/>
        <w:rPr>
          <w:rFonts w:hint="eastAsia" w:ascii="黑体" w:eastAsia="黑体"/>
          <w:sz w:val="72"/>
          <w:szCs w:val="72"/>
        </w:rPr>
      </w:pPr>
    </w:p>
    <w:p>
      <w:pPr>
        <w:jc w:val="center"/>
        <w:rPr>
          <w:rFonts w:ascii="黑体" w:eastAsia="黑体"/>
          <w:sz w:val="72"/>
          <w:szCs w:val="72"/>
        </w:rPr>
      </w:pPr>
    </w:p>
    <w:p>
      <w:pPr>
        <w:jc w:val="center"/>
        <w:rPr>
          <w:rFonts w:hint="eastAsia" w:ascii="黑体" w:eastAsia="黑体"/>
          <w:sz w:val="72"/>
          <w:szCs w:val="72"/>
        </w:rPr>
      </w:pPr>
    </w:p>
    <w:p>
      <w:pPr>
        <w:jc w:val="center"/>
        <w:rPr>
          <w:rFonts w:hint="eastAsia" w:ascii="黑体" w:eastAsia="黑体"/>
          <w:sz w:val="72"/>
          <w:szCs w:val="72"/>
        </w:rPr>
      </w:pPr>
    </w:p>
    <w:p>
      <w:pPr>
        <w:jc w:val="center"/>
        <w:rPr>
          <w:rFonts w:hint="eastAsia" w:ascii="黑体" w:eastAsia="黑体"/>
          <w:sz w:val="72"/>
          <w:szCs w:val="72"/>
          <w:lang w:eastAsia="zh-CN"/>
        </w:rPr>
      </w:pPr>
      <w:r>
        <w:rPr>
          <w:rFonts w:hint="eastAsia" w:ascii="黑体" w:eastAsia="黑体"/>
          <w:sz w:val="72"/>
          <w:szCs w:val="72"/>
        </w:rPr>
        <w:t>202</w:t>
      </w:r>
      <w:r>
        <w:rPr>
          <w:rFonts w:hint="eastAsia" w:ascii="黑体" w:eastAsia="黑体"/>
          <w:sz w:val="72"/>
          <w:szCs w:val="72"/>
          <w:lang w:val="en-US" w:eastAsia="zh-CN"/>
        </w:rPr>
        <w:t>3</w:t>
      </w:r>
      <w:r>
        <w:rPr>
          <w:rFonts w:hint="eastAsia" w:ascii="黑体" w:eastAsia="黑体"/>
          <w:sz w:val="72"/>
          <w:szCs w:val="72"/>
        </w:rPr>
        <w:t>年度部门决算</w:t>
      </w:r>
      <w:r>
        <w:rPr>
          <w:rFonts w:hint="eastAsia" w:ascii="黑体" w:eastAsia="黑体"/>
          <w:sz w:val="72"/>
          <w:szCs w:val="72"/>
          <w:lang w:eastAsia="zh-CN"/>
        </w:rPr>
        <w:t>公开</w:t>
      </w:r>
    </w:p>
    <w:p>
      <w:pPr>
        <w:jc w:val="center"/>
        <w:rPr>
          <w:rFonts w:ascii="黑体" w:eastAsia="黑体"/>
          <w:sz w:val="52"/>
          <w:szCs w:val="52"/>
        </w:rPr>
      </w:pPr>
    </w:p>
    <w:p>
      <w:pPr>
        <w:keepNext w:val="0"/>
        <w:keepLines w:val="0"/>
        <w:pageBreakBefore w:val="0"/>
        <w:widowControl w:val="0"/>
        <w:kinsoku/>
        <w:wordWrap/>
        <w:overflowPunct/>
        <w:topLinePunct w:val="0"/>
        <w:autoSpaceDE/>
        <w:autoSpaceDN/>
        <w:bidi w:val="0"/>
        <w:adjustRightInd/>
        <w:snapToGrid/>
        <w:spacing w:before="157" w:beforeLines="50"/>
        <w:jc w:val="center"/>
        <w:textAlignment w:val="auto"/>
        <w:outlineLvl w:val="9"/>
        <w:rPr>
          <w:rFonts w:ascii="黑体" w:eastAsia="黑体"/>
          <w:sz w:val="52"/>
          <w:szCs w:val="52"/>
        </w:rPr>
      </w:pPr>
    </w:p>
    <w:p>
      <w:pPr>
        <w:jc w:val="center"/>
        <w:rPr>
          <w:rFonts w:ascii="黑体" w:eastAsia="黑体"/>
          <w:sz w:val="52"/>
          <w:szCs w:val="52"/>
        </w:rPr>
      </w:pPr>
    </w:p>
    <w:p>
      <w:pPr>
        <w:jc w:val="center"/>
        <w:rPr>
          <w:rFonts w:ascii="黑体" w:eastAsia="黑体"/>
          <w:sz w:val="52"/>
          <w:szCs w:val="52"/>
        </w:rPr>
      </w:pPr>
    </w:p>
    <w:p>
      <w:pPr>
        <w:spacing w:line="500" w:lineRule="exact"/>
        <w:ind w:firstLine="645"/>
        <w:jc w:val="center"/>
        <w:rPr>
          <w:rFonts w:ascii="宋体" w:hAnsi="宋体" w:cs="宋体"/>
          <w:b/>
          <w:bCs/>
          <w:kern w:val="0"/>
          <w:sz w:val="44"/>
          <w:szCs w:val="36"/>
        </w:rPr>
      </w:pPr>
      <w:bookmarkStart w:id="0" w:name="_GoBack"/>
      <w:bookmarkEnd w:id="0"/>
      <w:r>
        <w:rPr>
          <w:rFonts w:hint="eastAsia" w:ascii="宋体" w:hAnsi="宋体" w:cs="宋体"/>
          <w:b/>
          <w:bCs/>
          <w:kern w:val="0"/>
          <w:sz w:val="44"/>
          <w:szCs w:val="36"/>
        </w:rPr>
        <w:t>目    录</w:t>
      </w:r>
    </w:p>
    <w:p>
      <w:pPr>
        <w:spacing w:line="500" w:lineRule="exact"/>
        <w:ind w:firstLine="645"/>
        <w:jc w:val="center"/>
        <w:rPr>
          <w:rFonts w:hint="eastAsia" w:ascii="宋体" w:hAnsi="宋体" w:cs="宋体"/>
          <w:b/>
          <w:bCs/>
          <w:kern w:val="0"/>
          <w:sz w:val="36"/>
          <w:szCs w:val="36"/>
        </w:rPr>
      </w:pPr>
    </w:p>
    <w:p>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第一部分 202</w:t>
      </w:r>
      <w:r>
        <w:rPr>
          <w:rFonts w:hint="eastAsia" w:ascii="宋体" w:hAnsi="宋体" w:cs="宋体"/>
          <w:bCs/>
          <w:spacing w:val="40"/>
          <w:kern w:val="0"/>
          <w:sz w:val="32"/>
          <w:szCs w:val="32"/>
          <w:lang w:val="en-US" w:eastAsia="zh-CN"/>
        </w:rPr>
        <w:t>3</w:t>
      </w:r>
      <w:r>
        <w:rPr>
          <w:rFonts w:hint="eastAsia" w:ascii="宋体" w:hAnsi="宋体" w:cs="宋体"/>
          <w:bCs/>
          <w:spacing w:val="40"/>
          <w:kern w:val="0"/>
          <w:sz w:val="32"/>
          <w:szCs w:val="32"/>
        </w:rPr>
        <w:t>年度部门决算报表</w:t>
      </w:r>
    </w:p>
    <w:p>
      <w:pPr>
        <w:tabs>
          <w:tab w:val="center" w:pos="6979"/>
        </w:tabs>
        <w:spacing w:line="500" w:lineRule="exact"/>
        <w:ind w:firstLine="2400" w:firstLineChars="600"/>
        <w:jc w:val="left"/>
        <w:rPr>
          <w:rFonts w:hint="eastAsia"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五、一般公共预算财政拨款收入支出决算表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七、一般公共预算财政拨款</w:t>
      </w:r>
      <w:r>
        <w:rPr>
          <w:rFonts w:ascii="仿宋_GB2312" w:hAnsi="仿宋" w:eastAsia="仿宋_GB2312" w:cs="宋体"/>
          <w:bCs/>
          <w:spacing w:val="40"/>
          <w:kern w:val="0"/>
          <w:sz w:val="32"/>
          <w:szCs w:val="32"/>
        </w:rPr>
        <w:t>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八</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九、</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十、国有资本经营预算财政拨款支出决算表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十一、财政拨款“三公”经费支出决算表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十二、政府采购情况表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十三、政府购买服务决算公开情况表</w:t>
      </w:r>
    </w:p>
    <w:p>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w:t>
      </w:r>
      <w:r>
        <w:rPr>
          <w:rFonts w:hint="eastAsia" w:ascii="宋体" w:hAnsi="宋体"/>
          <w:spacing w:val="40"/>
          <w:sz w:val="32"/>
          <w:szCs w:val="32"/>
          <w:lang w:val="en-US" w:eastAsia="zh-CN"/>
        </w:rPr>
        <w:t>3</w:t>
      </w:r>
      <w:r>
        <w:rPr>
          <w:rFonts w:hint="eastAsia" w:ascii="宋体" w:hAnsi="宋体"/>
          <w:spacing w:val="40"/>
          <w:sz w:val="32"/>
          <w:szCs w:val="32"/>
        </w:rPr>
        <w:t>年度部门决算说明</w:t>
      </w:r>
    </w:p>
    <w:p>
      <w:pPr>
        <w:tabs>
          <w:tab w:val="center" w:pos="6979"/>
        </w:tabs>
        <w:spacing w:line="500" w:lineRule="exact"/>
        <w:ind w:firstLine="1600" w:firstLineChars="400"/>
        <w:jc w:val="left"/>
        <w:rPr>
          <w:rFonts w:hint="eastAsia"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w:t>
      </w:r>
      <w:r>
        <w:rPr>
          <w:rFonts w:hint="eastAsia" w:ascii="宋体" w:hAnsi="宋体"/>
          <w:spacing w:val="40"/>
          <w:sz w:val="32"/>
          <w:szCs w:val="32"/>
          <w:lang w:val="en-US" w:eastAsia="zh-CN"/>
        </w:rPr>
        <w:t>3</w:t>
      </w:r>
      <w:r>
        <w:rPr>
          <w:rFonts w:hint="eastAsia" w:ascii="宋体" w:hAnsi="宋体"/>
          <w:spacing w:val="40"/>
          <w:sz w:val="32"/>
          <w:szCs w:val="32"/>
        </w:rPr>
        <w:t>年度</w:t>
      </w:r>
      <w:r>
        <w:rPr>
          <w:rFonts w:hint="eastAsia" w:ascii="宋体" w:hAnsi="宋体" w:cs="宋体"/>
          <w:spacing w:val="40"/>
          <w:kern w:val="0"/>
          <w:sz w:val="32"/>
          <w:szCs w:val="32"/>
        </w:rPr>
        <w:t>其他重要事项的情况说明</w:t>
      </w:r>
    </w:p>
    <w:p>
      <w:pPr>
        <w:tabs>
          <w:tab w:val="center" w:pos="6979"/>
        </w:tabs>
        <w:spacing w:line="500" w:lineRule="exact"/>
        <w:ind w:firstLine="1600" w:firstLineChars="400"/>
        <w:jc w:val="left"/>
        <w:rPr>
          <w:rFonts w:hint="eastAsia" w:ascii="宋体" w:hAnsi="宋体" w:cs="宋体"/>
          <w:spacing w:val="40"/>
          <w:kern w:val="0"/>
          <w:sz w:val="36"/>
          <w:szCs w:val="32"/>
        </w:rPr>
      </w:pPr>
      <w:r>
        <w:rPr>
          <w:rFonts w:hint="eastAsia" w:ascii="宋体" w:hAnsi="宋体" w:cs="宋体"/>
          <w:spacing w:val="40"/>
          <w:kern w:val="0"/>
          <w:sz w:val="32"/>
          <w:szCs w:val="32"/>
        </w:rPr>
        <w:t>第四部分 202</w:t>
      </w:r>
      <w:r>
        <w:rPr>
          <w:rFonts w:hint="eastAsia" w:ascii="宋体" w:hAnsi="宋体" w:cs="宋体"/>
          <w:spacing w:val="40"/>
          <w:kern w:val="0"/>
          <w:sz w:val="32"/>
          <w:szCs w:val="32"/>
          <w:lang w:val="en-US" w:eastAsia="zh-CN"/>
        </w:rPr>
        <w:t>3</w:t>
      </w:r>
      <w:r>
        <w:rPr>
          <w:rFonts w:hint="eastAsia" w:ascii="宋体" w:hAnsi="宋体" w:cs="宋体"/>
          <w:spacing w:val="40"/>
          <w:kern w:val="0"/>
          <w:sz w:val="32"/>
          <w:szCs w:val="32"/>
        </w:rPr>
        <w:t>年度部门绩效评价情况</w:t>
      </w: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hint="eastAsia" w:ascii="宋体" w:hAnsi="宋体" w:cs="宋体"/>
          <w:b/>
          <w:bCs/>
          <w:spacing w:val="40"/>
          <w:kern w:val="0"/>
          <w:sz w:val="32"/>
          <w:szCs w:val="32"/>
        </w:rPr>
      </w:pPr>
    </w:p>
    <w:p>
      <w:pPr>
        <w:tabs>
          <w:tab w:val="center" w:pos="6979"/>
        </w:tabs>
        <w:spacing w:before="156" w:beforeLines="50" w:after="156" w:afterLines="50"/>
        <w:jc w:val="center"/>
        <w:rPr>
          <w:rFonts w:hint="eastAsia" w:ascii="宋体" w:hAnsi="宋体" w:cs="宋体"/>
          <w:b/>
          <w:bCs/>
          <w:spacing w:val="40"/>
          <w:kern w:val="0"/>
          <w:sz w:val="32"/>
          <w:szCs w:val="32"/>
        </w:rPr>
      </w:pPr>
      <w:r>
        <w:rPr>
          <w:rFonts w:hint="eastAsia" w:ascii="宋体" w:hAnsi="宋体" w:cs="宋体"/>
          <w:b/>
          <w:bCs/>
          <w:spacing w:val="40"/>
          <w:kern w:val="0"/>
          <w:sz w:val="32"/>
          <w:szCs w:val="32"/>
        </w:rPr>
        <w:t>第一部分 202</w:t>
      </w:r>
      <w:r>
        <w:rPr>
          <w:rFonts w:hint="eastAsia" w:ascii="宋体" w:hAnsi="宋体" w:cs="宋体"/>
          <w:b/>
          <w:bCs/>
          <w:spacing w:val="40"/>
          <w:kern w:val="0"/>
          <w:sz w:val="32"/>
          <w:szCs w:val="32"/>
          <w:lang w:val="en-US" w:eastAsia="zh-CN"/>
        </w:rPr>
        <w:t>3</w:t>
      </w:r>
      <w:r>
        <w:rPr>
          <w:rFonts w:hint="eastAsia" w:ascii="宋体" w:hAnsi="宋体" w:cs="宋体"/>
          <w:b/>
          <w:bCs/>
          <w:spacing w:val="40"/>
          <w:kern w:val="0"/>
          <w:sz w:val="32"/>
          <w:szCs w:val="32"/>
        </w:rPr>
        <w:t>年度部门决算报表</w:t>
      </w:r>
    </w:p>
    <w:p>
      <w:pPr>
        <w:pStyle w:val="3"/>
        <w:rPr>
          <w:rFonts w:hint="eastAsia"/>
          <w:b w:val="0"/>
          <w:bCs w:val="0"/>
        </w:rPr>
        <w:sectPr>
          <w:footerReference r:id="rId3" w:type="default"/>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sz w:val="28"/>
          <w:szCs w:val="28"/>
        </w:rPr>
        <w:t xml:space="preserve"> </w:t>
      </w:r>
      <w:r>
        <w:rPr>
          <w:rFonts w:hint="eastAsia" w:ascii="仿宋_GB2312" w:eastAsia="仿宋_GB2312"/>
          <w:sz w:val="28"/>
          <w:szCs w:val="28"/>
          <w:lang w:val="en-US" w:eastAsia="zh-CN"/>
        </w:rPr>
        <w:t xml:space="preserve">  </w:t>
      </w:r>
      <w:r>
        <w:rPr>
          <w:rFonts w:hint="eastAsia" w:ascii="仿宋_GB2312" w:eastAsia="仿宋_GB2312"/>
          <w:b w:val="0"/>
          <w:bCs w:val="0"/>
          <w:sz w:val="28"/>
          <w:szCs w:val="28"/>
        </w:rPr>
        <w:t>报表详见附件</w:t>
      </w:r>
      <w:r>
        <w:rPr>
          <w:rFonts w:hint="eastAsia" w:ascii="仿宋_GB2312" w:eastAsia="仿宋_GB2312"/>
          <w:b w:val="0"/>
          <w:bCs w:val="0"/>
          <w:sz w:val="28"/>
          <w:szCs w:val="28"/>
          <w:lang w:val="en-US" w:eastAsia="zh-CN"/>
        </w:rPr>
        <w:t>1</w:t>
      </w:r>
      <w:r>
        <w:rPr>
          <w:rFonts w:hint="eastAsia" w:ascii="仿宋_GB2312" w:eastAsia="仿宋_GB2312"/>
          <w:b w:val="0"/>
          <w:bCs w:val="0"/>
          <w:sz w:val="28"/>
          <w:szCs w:val="28"/>
        </w:rPr>
        <w:t>。</w:t>
      </w:r>
    </w:p>
    <w:p>
      <w:pPr>
        <w:tabs>
          <w:tab w:val="center" w:pos="6979"/>
        </w:tabs>
        <w:spacing w:before="156" w:beforeLines="50" w:after="156" w:afterLines="50"/>
        <w:jc w:val="center"/>
        <w:rPr>
          <w:rFonts w:hint="eastAsia"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w:t>
      </w:r>
      <w:r>
        <w:rPr>
          <w:rFonts w:hint="eastAsia" w:ascii="宋体" w:hAnsi="宋体"/>
          <w:b/>
          <w:spacing w:val="40"/>
          <w:sz w:val="32"/>
          <w:szCs w:val="32"/>
          <w:lang w:val="en-US" w:eastAsia="zh-CN"/>
        </w:rPr>
        <w:t>3</w:t>
      </w:r>
      <w:r>
        <w:rPr>
          <w:rFonts w:hint="eastAsia" w:ascii="宋体" w:hAnsi="宋体"/>
          <w:b/>
          <w:spacing w:val="40"/>
          <w:sz w:val="32"/>
          <w:szCs w:val="32"/>
        </w:rPr>
        <w:t>年度部门决算说明</w:t>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一、单位基本情况</w:t>
      </w:r>
    </w:p>
    <w:p>
      <w:pPr>
        <w:tabs>
          <w:tab w:val="center" w:pos="6979"/>
        </w:tabs>
        <w:spacing w:line="580" w:lineRule="exact"/>
        <w:ind w:firstLine="420" w:firstLineChars="150"/>
        <w:rPr>
          <w:rFonts w:hint="eastAsia" w:ascii="仿宋_GB2312" w:eastAsia="仿宋_GB2312"/>
          <w:sz w:val="28"/>
          <w:szCs w:val="28"/>
        </w:rPr>
      </w:pPr>
      <w:r>
        <w:rPr>
          <w:rFonts w:hint="eastAsia" w:ascii="仿宋_GB2312" w:eastAsia="仿宋_GB2312"/>
          <w:sz w:val="28"/>
          <w:szCs w:val="28"/>
        </w:rPr>
        <w:t>（一）机构</w:t>
      </w:r>
      <w:r>
        <w:rPr>
          <w:rFonts w:ascii="仿宋_GB2312" w:eastAsia="仿宋_GB2312"/>
          <w:sz w:val="28"/>
          <w:szCs w:val="28"/>
        </w:rPr>
        <w:t>设置、</w:t>
      </w:r>
      <w:r>
        <w:rPr>
          <w:rFonts w:hint="eastAsia" w:ascii="仿宋_GB2312" w:eastAsia="仿宋_GB2312"/>
          <w:sz w:val="28"/>
          <w:szCs w:val="28"/>
        </w:rPr>
        <w:t>职责</w:t>
      </w:r>
    </w:p>
    <w:p>
      <w:pPr>
        <w:spacing w:line="560" w:lineRule="exact"/>
        <w:ind w:firstLine="560" w:firstLineChars="200"/>
        <w:rPr>
          <w:rFonts w:hint="eastAsia" w:ascii="仿宋_GB2312" w:hAnsi="Times New Roman" w:eastAsia="仿宋_GB2312"/>
          <w:color w:val="000000"/>
          <w:sz w:val="28"/>
          <w:szCs w:val="28"/>
          <w:lang w:val="en-US" w:eastAsia="zh-CN"/>
        </w:rPr>
      </w:pPr>
      <w:r>
        <w:rPr>
          <w:rFonts w:hint="eastAsia" w:ascii="仿宋_GB2312" w:eastAsia="仿宋_GB2312"/>
          <w:color w:val="000000"/>
          <w:sz w:val="28"/>
          <w:szCs w:val="28"/>
          <w:lang w:eastAsia="zh-CN"/>
        </w:rPr>
        <w:t>依据</w:t>
      </w:r>
      <w:r>
        <w:rPr>
          <w:rFonts w:hint="eastAsia" w:ascii="仿宋_GB2312" w:eastAsia="仿宋_GB2312"/>
          <w:color w:val="000000"/>
          <w:sz w:val="28"/>
          <w:szCs w:val="28"/>
        </w:rPr>
        <w:t>《</w:t>
      </w:r>
      <w:r>
        <w:rPr>
          <w:rFonts w:hint="eastAsia" w:ascii="仿宋_GB2312" w:eastAsia="仿宋_GB2312"/>
          <w:color w:val="000000"/>
          <w:sz w:val="28"/>
          <w:szCs w:val="28"/>
          <w:lang w:eastAsia="zh-CN"/>
        </w:rPr>
        <w:t>中共北京市委机构编制委员会</w:t>
      </w:r>
      <w:r>
        <w:rPr>
          <w:rFonts w:hint="eastAsia" w:ascii="仿宋_GB2312" w:eastAsia="仿宋_GB2312"/>
          <w:color w:val="000000"/>
          <w:sz w:val="28"/>
          <w:szCs w:val="28"/>
        </w:rPr>
        <w:t>关于</w:t>
      </w:r>
      <w:r>
        <w:rPr>
          <w:rFonts w:hint="eastAsia" w:ascii="仿宋_GB2312" w:eastAsia="仿宋_GB2312"/>
          <w:color w:val="000000"/>
          <w:sz w:val="28"/>
          <w:szCs w:val="28"/>
          <w:lang w:eastAsia="zh-CN"/>
        </w:rPr>
        <w:t>市规划自然资源系统所属事业单位改革有关</w:t>
      </w:r>
      <w:r>
        <w:rPr>
          <w:rFonts w:hint="eastAsia" w:ascii="仿宋_GB2312" w:eastAsia="仿宋_GB2312"/>
          <w:color w:val="000000"/>
          <w:sz w:val="28"/>
          <w:szCs w:val="28"/>
        </w:rPr>
        <w:t>事项的</w:t>
      </w:r>
      <w:r>
        <w:rPr>
          <w:rFonts w:hint="eastAsia" w:ascii="仿宋_GB2312" w:eastAsia="仿宋_GB2312"/>
          <w:color w:val="000000"/>
          <w:sz w:val="28"/>
          <w:szCs w:val="28"/>
          <w:lang w:eastAsia="zh-CN"/>
        </w:rPr>
        <w:t>批复</w:t>
      </w:r>
      <w:r>
        <w:rPr>
          <w:rFonts w:hint="eastAsia" w:ascii="仿宋_GB2312" w:eastAsia="仿宋_GB2312"/>
          <w:color w:val="000000"/>
          <w:sz w:val="28"/>
          <w:szCs w:val="28"/>
        </w:rPr>
        <w:t>》（京编</w:t>
      </w:r>
      <w:r>
        <w:rPr>
          <w:rFonts w:hint="eastAsia" w:ascii="仿宋_GB2312" w:eastAsia="仿宋_GB2312"/>
          <w:color w:val="000000"/>
          <w:sz w:val="28"/>
          <w:szCs w:val="28"/>
          <w:lang w:eastAsia="zh-CN"/>
        </w:rPr>
        <w:t>委</w:t>
      </w:r>
      <w:r>
        <w:rPr>
          <w:rFonts w:hint="eastAsia" w:ascii="仿宋_GB2312" w:eastAsia="仿宋_GB2312"/>
          <w:color w:val="000000"/>
          <w:sz w:val="28"/>
          <w:szCs w:val="28"/>
        </w:rPr>
        <w:t>【</w:t>
      </w:r>
      <w:r>
        <w:rPr>
          <w:rFonts w:hint="eastAsia" w:ascii="仿宋_GB2312" w:eastAsia="仿宋_GB2312"/>
          <w:color w:val="000000"/>
          <w:sz w:val="28"/>
          <w:szCs w:val="28"/>
          <w:lang w:val="en-US" w:eastAsia="zh-CN"/>
        </w:rPr>
        <w:t>2021</w:t>
      </w:r>
      <w:r>
        <w:rPr>
          <w:rFonts w:hint="eastAsia" w:ascii="仿宋_GB2312" w:eastAsia="仿宋_GB2312"/>
          <w:color w:val="000000"/>
          <w:sz w:val="28"/>
          <w:szCs w:val="28"/>
        </w:rPr>
        <w:t>】</w:t>
      </w:r>
      <w:r>
        <w:rPr>
          <w:rFonts w:hint="eastAsia" w:ascii="仿宋_GB2312" w:eastAsia="仿宋_GB2312"/>
          <w:color w:val="000000"/>
          <w:sz w:val="28"/>
          <w:szCs w:val="28"/>
          <w:lang w:val="en-US" w:eastAsia="zh-CN"/>
        </w:rPr>
        <w:t>123</w:t>
      </w:r>
      <w:r>
        <w:rPr>
          <w:rFonts w:hint="eastAsia" w:ascii="仿宋_GB2312" w:eastAsia="仿宋_GB2312"/>
          <w:color w:val="000000"/>
          <w:sz w:val="28"/>
          <w:szCs w:val="28"/>
        </w:rPr>
        <w:t>号）有关内容，</w:t>
      </w:r>
      <w:r>
        <w:rPr>
          <w:rFonts w:hint="eastAsia" w:ascii="仿宋_GB2312" w:eastAsia="仿宋_GB2312"/>
          <w:color w:val="000000"/>
          <w:sz w:val="28"/>
          <w:szCs w:val="28"/>
          <w:lang w:eastAsia="zh-CN"/>
        </w:rPr>
        <w:t>整合北京市不动产登记事务中心、北京市土地权籍事务中心（北京市矿产资源储量评审中心），组建</w:t>
      </w:r>
      <w:r>
        <w:rPr>
          <w:rFonts w:hint="eastAsia" w:ascii="仿宋_GB2312" w:hAnsi="Times New Roman" w:eastAsia="仿宋_GB2312"/>
          <w:color w:val="000000"/>
          <w:sz w:val="28"/>
          <w:szCs w:val="28"/>
        </w:rPr>
        <w:t>北京市不动产登记中心</w:t>
      </w:r>
      <w:r>
        <w:rPr>
          <w:rFonts w:hint="eastAsia" w:ascii="仿宋_GB2312" w:eastAsia="仿宋_GB2312"/>
          <w:color w:val="000000"/>
          <w:sz w:val="28"/>
          <w:szCs w:val="28"/>
          <w:lang w:eastAsia="zh-CN"/>
        </w:rPr>
        <w:t>，为</w:t>
      </w:r>
      <w:r>
        <w:rPr>
          <w:rFonts w:hint="eastAsia" w:ascii="仿宋_GB2312" w:hAnsi="Times New Roman" w:eastAsia="仿宋_GB2312"/>
          <w:color w:val="000000"/>
          <w:sz w:val="28"/>
          <w:szCs w:val="28"/>
        </w:rPr>
        <w:t>正处级公益一类事业单位</w:t>
      </w:r>
      <w:r>
        <w:rPr>
          <w:rFonts w:hint="eastAsia" w:ascii="仿宋_GB2312" w:eastAsia="仿宋_GB2312"/>
          <w:color w:val="000000"/>
          <w:sz w:val="28"/>
          <w:szCs w:val="28"/>
          <w:lang w:eastAsia="zh-CN"/>
        </w:rPr>
        <w:t>，</w:t>
      </w:r>
      <w:r>
        <w:rPr>
          <w:rFonts w:hint="eastAsia" w:ascii="仿宋_GB2312" w:hAnsi="Times New Roman" w:eastAsia="仿宋_GB2312"/>
          <w:color w:val="000000"/>
          <w:sz w:val="28"/>
          <w:szCs w:val="28"/>
          <w:lang w:eastAsia="zh-CN"/>
        </w:rPr>
        <w:t>主要职责是：承担在京中央单位、驻京部队、保密单位本市不动产登记工作；承担市级不动产和自然资源权籍调查、纠纷调处等具体工作</w:t>
      </w:r>
      <w:r>
        <w:rPr>
          <w:rFonts w:hint="eastAsia" w:ascii="仿宋_GB2312" w:hAnsi="Times New Roman" w:eastAsia="仿宋_GB2312"/>
          <w:color w:val="000000"/>
          <w:sz w:val="28"/>
          <w:szCs w:val="28"/>
          <w:lang w:val="en-US" w:eastAsia="zh-CN"/>
        </w:rPr>
        <w:t>;承担相关业务数据和资料的管理利用工作；指导各区不动产和自然资源登记工作。</w:t>
      </w:r>
    </w:p>
    <w:p>
      <w:pPr>
        <w:spacing w:line="560" w:lineRule="exact"/>
        <w:ind w:firstLine="560" w:firstLineChars="200"/>
        <w:rPr>
          <w:rFonts w:hint="eastAsia"/>
          <w:sz w:val="28"/>
          <w:szCs w:val="28"/>
        </w:rPr>
      </w:pPr>
      <w:r>
        <w:rPr>
          <w:rFonts w:hint="eastAsia" w:ascii="仿宋_GB2312" w:eastAsia="仿宋_GB2312"/>
          <w:color w:val="000000"/>
          <w:sz w:val="28"/>
          <w:szCs w:val="28"/>
          <w:lang w:eastAsia="zh-CN"/>
        </w:rPr>
        <w:t>中心内设</w:t>
      </w:r>
      <w:r>
        <w:rPr>
          <w:rFonts w:hint="eastAsia" w:ascii="仿宋_GB2312" w:eastAsia="仿宋_GB2312"/>
          <w:color w:val="000000"/>
          <w:sz w:val="28"/>
          <w:szCs w:val="28"/>
          <w:lang w:val="en-US" w:eastAsia="zh-CN"/>
        </w:rPr>
        <w:t>13</w:t>
      </w:r>
      <w:r>
        <w:rPr>
          <w:rFonts w:hint="eastAsia" w:ascii="仿宋_GB2312" w:eastAsia="仿宋_GB2312"/>
          <w:color w:val="000000"/>
          <w:sz w:val="28"/>
          <w:szCs w:val="28"/>
        </w:rPr>
        <w:t>个科室：办公室、</w:t>
      </w:r>
      <w:r>
        <w:rPr>
          <w:rFonts w:hint="eastAsia" w:ascii="仿宋_GB2312" w:eastAsia="仿宋_GB2312"/>
          <w:color w:val="000000"/>
          <w:sz w:val="28"/>
          <w:szCs w:val="28"/>
          <w:lang w:eastAsia="zh-CN"/>
        </w:rPr>
        <w:t>党建人事科</w:t>
      </w:r>
      <w:r>
        <w:rPr>
          <w:rFonts w:hint="eastAsia" w:ascii="仿宋_GB2312" w:eastAsia="仿宋_GB2312"/>
          <w:color w:val="000000"/>
          <w:sz w:val="28"/>
          <w:szCs w:val="28"/>
        </w:rPr>
        <w:t>、法制科、</w:t>
      </w:r>
      <w:r>
        <w:rPr>
          <w:rFonts w:hint="eastAsia" w:ascii="仿宋_GB2312" w:eastAsia="仿宋_GB2312"/>
          <w:color w:val="000000"/>
          <w:sz w:val="28"/>
          <w:szCs w:val="28"/>
          <w:lang w:eastAsia="zh-CN"/>
        </w:rPr>
        <w:t>不动产</w:t>
      </w:r>
      <w:r>
        <w:rPr>
          <w:rFonts w:hint="eastAsia" w:ascii="仿宋_GB2312" w:eastAsia="仿宋_GB2312"/>
          <w:color w:val="000000"/>
          <w:sz w:val="28"/>
          <w:szCs w:val="28"/>
        </w:rPr>
        <w:t>登记一科、</w:t>
      </w:r>
      <w:r>
        <w:rPr>
          <w:rFonts w:hint="eastAsia" w:ascii="仿宋_GB2312" w:eastAsia="仿宋_GB2312"/>
          <w:color w:val="000000"/>
          <w:sz w:val="28"/>
          <w:szCs w:val="28"/>
          <w:lang w:eastAsia="zh-CN"/>
        </w:rPr>
        <w:t>不动产</w:t>
      </w:r>
      <w:r>
        <w:rPr>
          <w:rFonts w:hint="eastAsia" w:ascii="仿宋_GB2312" w:eastAsia="仿宋_GB2312"/>
          <w:color w:val="000000"/>
          <w:sz w:val="28"/>
          <w:szCs w:val="28"/>
        </w:rPr>
        <w:t>登记二科、</w:t>
      </w:r>
      <w:r>
        <w:rPr>
          <w:rFonts w:hint="eastAsia" w:ascii="仿宋_GB2312" w:eastAsia="仿宋_GB2312"/>
          <w:color w:val="000000"/>
          <w:sz w:val="28"/>
          <w:szCs w:val="28"/>
          <w:lang w:eastAsia="zh-CN"/>
        </w:rPr>
        <w:t>不动产登记三科、自然资源登记一科、自然资源登记二科、地籍调查科、信息管理科、数据资料科、监督指导一科、监督指导二科。</w:t>
      </w:r>
    </w:p>
    <w:p>
      <w:pPr>
        <w:tabs>
          <w:tab w:val="center" w:pos="6979"/>
        </w:tabs>
        <w:spacing w:line="580" w:lineRule="exact"/>
        <w:ind w:firstLine="420" w:firstLineChars="150"/>
        <w:rPr>
          <w:rFonts w:ascii="仿宋_GB2312" w:eastAsia="仿宋_GB2312"/>
          <w:sz w:val="28"/>
          <w:szCs w:val="28"/>
        </w:rPr>
      </w:pPr>
      <w:r>
        <w:rPr>
          <w:rFonts w:hint="eastAsia" w:ascii="仿宋_GB2312" w:eastAsia="仿宋_GB2312"/>
          <w:sz w:val="28"/>
          <w:szCs w:val="28"/>
        </w:rPr>
        <w:t>（二）人员构成情况</w:t>
      </w:r>
    </w:p>
    <w:p>
      <w:pPr>
        <w:tabs>
          <w:tab w:val="center" w:pos="6979"/>
        </w:tabs>
        <w:spacing w:line="580" w:lineRule="exact"/>
        <w:ind w:firstLine="560" w:firstLineChars="200"/>
        <w:rPr>
          <w:rFonts w:ascii="仿宋_GB2312" w:eastAsia="仿宋_GB2312"/>
          <w:kern w:val="0"/>
          <w:sz w:val="28"/>
          <w:szCs w:val="28"/>
        </w:rPr>
      </w:pPr>
      <w:r>
        <w:rPr>
          <w:rFonts w:hint="eastAsia" w:ascii="仿宋_GB2312" w:eastAsia="仿宋_GB2312"/>
          <w:kern w:val="0"/>
          <w:sz w:val="28"/>
          <w:szCs w:val="28"/>
        </w:rPr>
        <w:t>事业编制</w:t>
      </w:r>
      <w:r>
        <w:rPr>
          <w:rFonts w:hint="eastAsia" w:ascii="仿宋_GB2312" w:eastAsia="仿宋_GB2312"/>
          <w:kern w:val="0"/>
          <w:sz w:val="28"/>
          <w:szCs w:val="28"/>
          <w:lang w:val="en-US" w:eastAsia="zh-CN"/>
        </w:rPr>
        <w:t>59</w:t>
      </w:r>
      <w:r>
        <w:rPr>
          <w:rFonts w:hint="eastAsia" w:ascii="仿宋_GB2312" w:eastAsia="仿宋_GB2312"/>
          <w:kern w:val="0"/>
          <w:sz w:val="28"/>
          <w:szCs w:val="28"/>
        </w:rPr>
        <w:t>人，实有人数</w:t>
      </w:r>
      <w:r>
        <w:rPr>
          <w:rFonts w:hint="eastAsia" w:ascii="仿宋_GB2312" w:eastAsia="仿宋_GB2312"/>
          <w:kern w:val="0"/>
          <w:sz w:val="28"/>
          <w:szCs w:val="28"/>
          <w:lang w:val="en-US" w:eastAsia="zh-CN"/>
        </w:rPr>
        <w:t>52</w:t>
      </w:r>
      <w:r>
        <w:rPr>
          <w:rFonts w:hint="eastAsia" w:ascii="仿宋_GB2312" w:eastAsia="仿宋_GB2312"/>
          <w:kern w:val="0"/>
          <w:sz w:val="28"/>
          <w:szCs w:val="28"/>
        </w:rPr>
        <w:t>人。</w:t>
      </w:r>
    </w:p>
    <w:p>
      <w:pPr>
        <w:tabs>
          <w:tab w:val="center" w:pos="6979"/>
        </w:tabs>
        <w:spacing w:line="580" w:lineRule="exact"/>
        <w:rPr>
          <w:rFonts w:hint="eastAsia" w:ascii="黑体" w:eastAsia="黑体"/>
          <w:b/>
          <w:sz w:val="28"/>
          <w:szCs w:val="28"/>
        </w:rPr>
      </w:pPr>
      <w:r>
        <w:rPr>
          <w:rFonts w:hint="eastAsia" w:ascii="仿宋_GB2312" w:eastAsia="仿宋_GB2312"/>
          <w:b/>
          <w:sz w:val="32"/>
          <w:szCs w:val="32"/>
        </w:rPr>
        <w:t xml:space="preserve">   </w:t>
      </w:r>
      <w:r>
        <w:rPr>
          <w:rFonts w:hint="eastAsia" w:ascii="黑体" w:eastAsia="黑体"/>
          <w:b/>
          <w:sz w:val="28"/>
          <w:szCs w:val="28"/>
        </w:rPr>
        <w:t>二、收入支出决算总体情况说明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2526.69</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lang w:val="en-US" w:eastAsia="zh-CN"/>
        </w:rPr>
        <w:t>83.87</w:t>
      </w:r>
      <w:r>
        <w:rPr>
          <w:rFonts w:hint="eastAsia" w:ascii="仿宋_GB2312" w:eastAsia="仿宋_GB2312"/>
          <w:sz w:val="28"/>
          <w:szCs w:val="28"/>
        </w:rPr>
        <w:t>万元，增长</w:t>
      </w:r>
      <w:r>
        <w:rPr>
          <w:rFonts w:hint="eastAsia" w:ascii="仿宋_GB2312" w:eastAsia="仿宋_GB2312"/>
          <w:sz w:val="28"/>
          <w:szCs w:val="28"/>
          <w:lang w:val="en-US" w:eastAsia="zh-CN"/>
        </w:rPr>
        <w:t>3.43</w:t>
      </w:r>
      <w:r>
        <w:rPr>
          <w:rFonts w:hint="eastAsia" w:ascii="仿宋_GB2312" w:eastAsia="仿宋_GB2312"/>
          <w:sz w:val="28"/>
          <w:szCs w:val="28"/>
        </w:rPr>
        <w:t>%。</w:t>
      </w:r>
    </w:p>
    <w:p>
      <w:pPr>
        <w:tabs>
          <w:tab w:val="center" w:pos="6979"/>
        </w:tabs>
        <w:spacing w:line="580" w:lineRule="exact"/>
        <w:ind w:firstLine="570"/>
        <w:rPr>
          <w:rFonts w:hint="eastAsia" w:ascii="仿宋_GB2312" w:eastAsia="仿宋_GB2312"/>
          <w:sz w:val="28"/>
          <w:szCs w:val="28"/>
          <w:highlight w:val="none"/>
        </w:rPr>
      </w:pPr>
      <w:r>
        <w:rPr>
          <w:rFonts w:hint="eastAsia" w:ascii="仿宋_GB2312" w:eastAsia="仿宋_GB2312"/>
          <w:sz w:val="28"/>
          <w:szCs w:val="28"/>
          <w:highlight w:val="none"/>
        </w:rPr>
        <w:t>（一</w:t>
      </w:r>
      <w:r>
        <w:rPr>
          <w:rFonts w:ascii="仿宋_GB2312" w:eastAsia="仿宋_GB2312"/>
          <w:sz w:val="28"/>
          <w:szCs w:val="28"/>
          <w:highlight w:val="none"/>
        </w:rPr>
        <w:t>）</w:t>
      </w:r>
      <w:r>
        <w:rPr>
          <w:rFonts w:hint="eastAsia" w:ascii="仿宋_GB2312" w:eastAsia="仿宋_GB2312"/>
          <w:sz w:val="28"/>
          <w:szCs w:val="28"/>
          <w:highlight w:val="none"/>
        </w:rPr>
        <w:t>收入决算</w:t>
      </w:r>
      <w:r>
        <w:rPr>
          <w:rFonts w:ascii="仿宋_GB2312" w:eastAsia="仿宋_GB2312"/>
          <w:sz w:val="28"/>
          <w:szCs w:val="28"/>
          <w:highlight w:val="none"/>
        </w:rPr>
        <w:t>说明</w:t>
      </w:r>
    </w:p>
    <w:p>
      <w:pPr>
        <w:tabs>
          <w:tab w:val="center" w:pos="6979"/>
        </w:tabs>
        <w:spacing w:line="580" w:lineRule="exact"/>
        <w:ind w:firstLine="570"/>
        <w:rPr>
          <w:rFonts w:hint="eastAsia" w:ascii="仿宋_GB2312" w:eastAsia="仿宋_GB2312"/>
          <w:sz w:val="28"/>
          <w:szCs w:val="28"/>
          <w:lang w:eastAsia="zh-CN"/>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年度本年收入合计</w:t>
      </w:r>
      <w:r>
        <w:rPr>
          <w:rFonts w:ascii="仿宋_GB2312" w:eastAsia="仿宋_GB2312"/>
          <w:sz w:val="28"/>
          <w:szCs w:val="28"/>
        </w:rPr>
        <w:t>2525.27</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lang w:val="en-US" w:eastAsia="zh-CN"/>
        </w:rPr>
        <w:t>96.65</w:t>
      </w:r>
      <w:r>
        <w:rPr>
          <w:rFonts w:hint="eastAsia" w:ascii="仿宋_GB2312" w:eastAsia="仿宋_GB2312"/>
          <w:sz w:val="28"/>
          <w:szCs w:val="28"/>
        </w:rPr>
        <w:t>万元，增长</w:t>
      </w:r>
      <w:r>
        <w:rPr>
          <w:rFonts w:hint="eastAsia" w:ascii="仿宋_GB2312" w:eastAsia="仿宋_GB2312"/>
          <w:sz w:val="28"/>
          <w:szCs w:val="28"/>
          <w:lang w:val="en-US" w:eastAsia="zh-CN"/>
        </w:rPr>
        <w:t>3.98</w:t>
      </w:r>
      <w:r>
        <w:rPr>
          <w:rFonts w:hint="eastAsia" w:ascii="仿宋_GB2312" w:eastAsia="仿宋_GB2312"/>
          <w:sz w:val="28"/>
          <w:szCs w:val="28"/>
        </w:rPr>
        <w:t>%</w:t>
      </w:r>
      <w:r>
        <w:rPr>
          <w:rFonts w:hint="eastAsia" w:ascii="仿宋_GB2312" w:eastAsia="仿宋_GB2312"/>
          <w:sz w:val="28"/>
          <w:szCs w:val="28"/>
          <w:lang w:eastAsia="zh-CN"/>
        </w:rPr>
        <w:t>。</w:t>
      </w:r>
    </w:p>
    <w:p>
      <w:pPr>
        <w:tabs>
          <w:tab w:val="center" w:pos="6979"/>
        </w:tabs>
        <w:spacing w:line="580" w:lineRule="exact"/>
        <w:ind w:firstLine="560" w:firstLineChars="200"/>
        <w:rPr>
          <w:rFonts w:hint="eastAsia"/>
        </w:rPr>
      </w:pPr>
      <w:r>
        <w:rPr>
          <w:rFonts w:hint="eastAsia" w:ascii="仿宋_GB2312" w:eastAsia="仿宋_GB2312"/>
          <w:sz w:val="28"/>
          <w:szCs w:val="28"/>
        </w:rPr>
        <w:t>1.财政拨款收入</w:t>
      </w:r>
      <w:r>
        <w:rPr>
          <w:rFonts w:ascii="仿宋_GB2312" w:eastAsia="仿宋_GB2312"/>
          <w:sz w:val="28"/>
          <w:szCs w:val="28"/>
        </w:rPr>
        <w:t>2525.21</w:t>
      </w:r>
      <w:r>
        <w:rPr>
          <w:rFonts w:hint="eastAsia" w:ascii="仿宋_GB2312" w:eastAsia="仿宋_GB2312"/>
          <w:sz w:val="28"/>
          <w:szCs w:val="28"/>
        </w:rPr>
        <w:t>万元，占收入合计的</w:t>
      </w:r>
      <w:r>
        <w:rPr>
          <w:rFonts w:ascii="仿宋_GB2312" w:eastAsia="仿宋_GB2312"/>
          <w:sz w:val="28"/>
          <w:szCs w:val="28"/>
        </w:rPr>
        <w:t>99.99</w:t>
      </w:r>
      <w:r>
        <w:rPr>
          <w:rFonts w:hint="eastAsia" w:ascii="仿宋_GB2312" w:eastAsia="仿宋_GB2312"/>
          <w:sz w:val="28"/>
          <w:szCs w:val="28"/>
        </w:rPr>
        <w:t>%。其中：一般公共预算财政拨款收入</w:t>
      </w:r>
      <w:r>
        <w:rPr>
          <w:rFonts w:ascii="仿宋_GB2312" w:eastAsia="仿宋_GB2312"/>
          <w:sz w:val="28"/>
          <w:szCs w:val="28"/>
        </w:rPr>
        <w:t>2525.21</w:t>
      </w:r>
      <w:r>
        <w:rPr>
          <w:rFonts w:hint="eastAsia" w:ascii="仿宋_GB2312" w:eastAsia="仿宋_GB2312"/>
          <w:sz w:val="28"/>
          <w:szCs w:val="28"/>
        </w:rPr>
        <w:t>万元，占收入合计的</w:t>
      </w:r>
      <w:r>
        <w:rPr>
          <w:rFonts w:ascii="仿宋_GB2312" w:eastAsia="仿宋_GB2312"/>
          <w:sz w:val="28"/>
          <w:szCs w:val="28"/>
        </w:rPr>
        <w:t>99.99</w:t>
      </w:r>
      <w:r>
        <w:rPr>
          <w:rFonts w:hint="eastAsia" w:ascii="仿宋_GB2312" w:eastAsia="仿宋_GB2312"/>
          <w:sz w:val="28"/>
          <w:szCs w:val="28"/>
        </w:rPr>
        <w:t>%；政府性基金预算财政拨款收入</w:t>
      </w:r>
      <w:r>
        <w:rPr>
          <w:rFonts w:ascii="仿宋_GB2312" w:eastAsia="仿宋_GB2312"/>
          <w:sz w:val="28"/>
          <w:szCs w:val="28"/>
        </w:rPr>
        <w:t>0</w:t>
      </w:r>
      <w:r>
        <w:rPr>
          <w:rFonts w:hint="eastAsia" w:ascii="仿宋_GB2312" w:eastAsia="仿宋_GB2312"/>
          <w:sz w:val="28"/>
          <w:szCs w:val="28"/>
        </w:rPr>
        <w:t>万元，占收入合计的</w:t>
      </w:r>
      <w:r>
        <w:rPr>
          <w:rFonts w:ascii="仿宋_GB2312" w:eastAsia="仿宋_GB2312"/>
          <w:sz w:val="28"/>
          <w:szCs w:val="28"/>
        </w:rPr>
        <w:t>0</w:t>
      </w:r>
      <w:r>
        <w:rPr>
          <w:rFonts w:hint="eastAsia" w:ascii="仿宋_GB2312" w:eastAsia="仿宋_GB2312"/>
          <w:sz w:val="28"/>
          <w:szCs w:val="28"/>
        </w:rPr>
        <w:t>%；国有资本经营预算财政拨款收入</w:t>
      </w:r>
      <w:r>
        <w:rPr>
          <w:rFonts w:ascii="仿宋_GB2312" w:eastAsia="仿宋_GB2312"/>
          <w:sz w:val="28"/>
          <w:szCs w:val="28"/>
        </w:rPr>
        <w:t>0</w:t>
      </w:r>
      <w:r>
        <w:rPr>
          <w:rFonts w:hint="eastAsia" w:ascii="仿宋_GB2312" w:eastAsia="仿宋_GB2312"/>
          <w:sz w:val="28"/>
          <w:szCs w:val="28"/>
        </w:rPr>
        <w:t>万元，占收入合计的</w:t>
      </w:r>
      <w:r>
        <w:rPr>
          <w:rFonts w:ascii="仿宋_GB2312" w:eastAsia="仿宋_GB2312"/>
          <w:sz w:val="28"/>
          <w:szCs w:val="28"/>
        </w:rPr>
        <w:t>0</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2.上级补助收入</w:t>
      </w:r>
      <w:r>
        <w:rPr>
          <w:rFonts w:ascii="仿宋_GB2312" w:eastAsia="仿宋_GB2312"/>
          <w:sz w:val="28"/>
          <w:szCs w:val="28"/>
        </w:rPr>
        <w:t>0</w:t>
      </w:r>
      <w:r>
        <w:rPr>
          <w:rFonts w:hint="eastAsia" w:ascii="仿宋_GB2312" w:eastAsia="仿宋_GB2312"/>
          <w:sz w:val="28"/>
          <w:szCs w:val="28"/>
        </w:rPr>
        <w:t>万元，占收入合计的</w:t>
      </w:r>
      <w:r>
        <w:rPr>
          <w:rFonts w:ascii="仿宋_GB2312" w:eastAsia="仿宋_GB2312"/>
          <w:sz w:val="28"/>
          <w:szCs w:val="28"/>
        </w:rPr>
        <w:t>0</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3.事业收入</w:t>
      </w:r>
      <w:r>
        <w:rPr>
          <w:rFonts w:ascii="仿宋_GB2312" w:eastAsia="仿宋_GB2312"/>
          <w:sz w:val="28"/>
          <w:szCs w:val="28"/>
        </w:rPr>
        <w:t>0</w:t>
      </w:r>
      <w:r>
        <w:rPr>
          <w:rFonts w:hint="eastAsia" w:ascii="仿宋_GB2312" w:eastAsia="仿宋_GB2312"/>
          <w:sz w:val="28"/>
          <w:szCs w:val="28"/>
        </w:rPr>
        <w:t>万元，占收入合计的</w:t>
      </w:r>
      <w:r>
        <w:rPr>
          <w:rFonts w:ascii="仿宋_GB2312" w:eastAsia="仿宋_GB2312"/>
          <w:sz w:val="28"/>
          <w:szCs w:val="28"/>
        </w:rPr>
        <w:t>0</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4.经营收入</w:t>
      </w:r>
      <w:r>
        <w:rPr>
          <w:rFonts w:ascii="仿宋_GB2312" w:eastAsia="仿宋_GB2312"/>
          <w:sz w:val="28"/>
          <w:szCs w:val="28"/>
        </w:rPr>
        <w:t>0</w:t>
      </w:r>
      <w:r>
        <w:rPr>
          <w:rFonts w:hint="eastAsia" w:ascii="仿宋_GB2312" w:eastAsia="仿宋_GB2312"/>
          <w:sz w:val="28"/>
          <w:szCs w:val="28"/>
        </w:rPr>
        <w:t>万元，占收入合计的</w:t>
      </w:r>
      <w:r>
        <w:rPr>
          <w:rFonts w:ascii="仿宋_GB2312" w:eastAsia="仿宋_GB2312"/>
          <w:sz w:val="28"/>
          <w:szCs w:val="28"/>
        </w:rPr>
        <w:t>0</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5.附属单位上缴收入</w:t>
      </w:r>
      <w:r>
        <w:rPr>
          <w:rFonts w:ascii="仿宋_GB2312" w:eastAsia="仿宋_GB2312"/>
          <w:sz w:val="28"/>
          <w:szCs w:val="28"/>
        </w:rPr>
        <w:t>0</w:t>
      </w:r>
      <w:r>
        <w:rPr>
          <w:rFonts w:hint="eastAsia" w:ascii="仿宋_GB2312" w:eastAsia="仿宋_GB2312"/>
          <w:sz w:val="28"/>
          <w:szCs w:val="28"/>
        </w:rPr>
        <w:t>万元，占收入合计的</w:t>
      </w:r>
      <w:r>
        <w:rPr>
          <w:rFonts w:ascii="仿宋_GB2312" w:eastAsia="仿宋_GB2312"/>
          <w:sz w:val="28"/>
          <w:szCs w:val="28"/>
        </w:rPr>
        <w:t>0</w:t>
      </w:r>
      <w:r>
        <w:rPr>
          <w:rFonts w:hint="eastAsia" w:ascii="仿宋_GB2312" w:eastAsia="仿宋_GB2312"/>
          <w:sz w:val="28"/>
          <w:szCs w:val="28"/>
        </w:rPr>
        <w:t>%；</w:t>
      </w:r>
    </w:p>
    <w:p>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6.其他收入</w:t>
      </w:r>
      <w:r>
        <w:rPr>
          <w:rFonts w:ascii="仿宋_GB2312" w:eastAsia="仿宋_GB2312"/>
          <w:sz w:val="28"/>
          <w:szCs w:val="28"/>
        </w:rPr>
        <w:t>0.06</w:t>
      </w:r>
      <w:r>
        <w:rPr>
          <w:rFonts w:hint="eastAsia" w:ascii="仿宋_GB2312" w:eastAsia="仿宋_GB2312"/>
          <w:sz w:val="28"/>
          <w:szCs w:val="28"/>
        </w:rPr>
        <w:t>万元，占收入合计的</w:t>
      </w:r>
      <w:r>
        <w:rPr>
          <w:rFonts w:ascii="仿宋_GB2312" w:eastAsia="仿宋_GB2312"/>
          <w:sz w:val="28"/>
          <w:szCs w:val="28"/>
        </w:rPr>
        <w:t>0</w:t>
      </w:r>
      <w:r>
        <w:rPr>
          <w:rFonts w:hint="eastAsia" w:ascii="仿宋_GB2312" w:eastAsia="仿宋_GB2312"/>
          <w:sz w:val="28"/>
          <w:szCs w:val="28"/>
        </w:rPr>
        <w:t>%。</w:t>
      </w:r>
    </w:p>
    <w:p>
      <w:pPr>
        <w:tabs>
          <w:tab w:val="center" w:pos="6979"/>
        </w:tabs>
        <w:spacing w:line="580" w:lineRule="exact"/>
        <w:ind w:firstLine="640" w:firstLineChars="200"/>
        <w:jc w:val="center"/>
        <w:rPr>
          <w:rFonts w:hint="default"/>
          <w:lang w:val="en-US"/>
        </w:rPr>
      </w:pPr>
      <w:r>
        <w:rPr>
          <w:rFonts w:hint="eastAsia" w:ascii="仿宋_GB2312" w:eastAsia="仿宋_GB2312"/>
          <w:color w:val="000000"/>
          <w:sz w:val="32"/>
          <w:szCs w:val="32"/>
          <w:highlight w:val="none"/>
          <w:lang w:val="en-US" w:eastAsia="zh-CN"/>
        </w:rPr>
        <w:t>图1：收入决算</w:t>
      </w:r>
    </w:p>
    <w:p>
      <w:pPr>
        <w:bidi w:val="0"/>
        <w:jc w:val="center"/>
        <w:rPr>
          <w:rFonts w:hint="eastAsia"/>
          <w:lang w:val="en-US" w:eastAsia="zh-CN"/>
        </w:rPr>
      </w:pPr>
      <w:r>
        <w:rPr>
          <w:rFonts w:hint="eastAsia"/>
          <w:lang w:val="en-US" w:eastAsia="zh-CN"/>
        </w:rPr>
        <w:drawing>
          <wp:inline distT="0" distB="0" distL="114300" distR="114300">
            <wp:extent cx="4408805" cy="2477770"/>
            <wp:effectExtent l="4445" t="5080" r="6350" b="12700"/>
            <wp:docPr id="2" name="图表 2"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年度本年支出合计</w:t>
      </w:r>
      <w:r>
        <w:rPr>
          <w:rFonts w:ascii="仿宋_GB2312" w:eastAsia="仿宋_GB2312"/>
          <w:sz w:val="28"/>
          <w:szCs w:val="28"/>
        </w:rPr>
        <w:t>2510.58</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lang w:val="en-US" w:eastAsia="zh-CN"/>
        </w:rPr>
        <w:t>88.53</w:t>
      </w:r>
      <w:r>
        <w:rPr>
          <w:rFonts w:hint="eastAsia" w:ascii="仿宋_GB2312" w:eastAsia="仿宋_GB2312"/>
          <w:sz w:val="28"/>
          <w:szCs w:val="28"/>
        </w:rPr>
        <w:t>万元，增长</w:t>
      </w:r>
      <w:r>
        <w:rPr>
          <w:rFonts w:hint="eastAsia" w:ascii="仿宋_GB2312" w:eastAsia="仿宋_GB2312"/>
          <w:sz w:val="28"/>
          <w:szCs w:val="28"/>
          <w:lang w:val="en-US" w:eastAsia="zh-CN"/>
        </w:rPr>
        <w:t>3.66</w:t>
      </w:r>
      <w:r>
        <w:rPr>
          <w:rFonts w:hint="eastAsia" w:ascii="仿宋_GB2312" w:eastAsia="仿宋_GB2312"/>
          <w:sz w:val="28"/>
          <w:szCs w:val="28"/>
        </w:rPr>
        <w:t>%，其中：基本支出</w:t>
      </w:r>
      <w:r>
        <w:rPr>
          <w:rFonts w:ascii="仿宋_GB2312" w:eastAsia="仿宋_GB2312"/>
          <w:sz w:val="28"/>
          <w:szCs w:val="28"/>
        </w:rPr>
        <w:t>2022.46</w:t>
      </w:r>
      <w:r>
        <w:rPr>
          <w:rFonts w:hint="eastAsia" w:ascii="仿宋_GB2312" w:eastAsia="仿宋_GB2312"/>
          <w:sz w:val="28"/>
          <w:szCs w:val="28"/>
        </w:rPr>
        <w:t>万元，占支出合计的</w:t>
      </w:r>
      <w:r>
        <w:rPr>
          <w:rFonts w:ascii="仿宋_GB2312" w:eastAsia="仿宋_GB2312"/>
          <w:sz w:val="28"/>
          <w:szCs w:val="28"/>
        </w:rPr>
        <w:t>80.5</w:t>
      </w:r>
      <w:r>
        <w:rPr>
          <w:rFonts w:hint="eastAsia" w:ascii="仿宋_GB2312" w:eastAsia="仿宋_GB2312"/>
          <w:sz w:val="28"/>
          <w:szCs w:val="28"/>
          <w:lang w:val="en-US" w:eastAsia="zh-CN"/>
        </w:rPr>
        <w:t>6</w:t>
      </w:r>
      <w:r>
        <w:rPr>
          <w:rFonts w:hint="eastAsia" w:ascii="仿宋_GB2312" w:eastAsia="仿宋_GB2312"/>
          <w:sz w:val="28"/>
          <w:szCs w:val="28"/>
        </w:rPr>
        <w:t>%；项目支出</w:t>
      </w:r>
      <w:r>
        <w:rPr>
          <w:rFonts w:ascii="仿宋_GB2312" w:eastAsia="仿宋_GB2312"/>
          <w:sz w:val="28"/>
          <w:szCs w:val="28"/>
        </w:rPr>
        <w:t>488.12</w:t>
      </w:r>
      <w:r>
        <w:rPr>
          <w:rFonts w:hint="eastAsia" w:ascii="仿宋_GB2312" w:eastAsia="仿宋_GB2312"/>
          <w:sz w:val="28"/>
          <w:szCs w:val="28"/>
        </w:rPr>
        <w:t>万元，占支出合计的</w:t>
      </w:r>
      <w:r>
        <w:rPr>
          <w:rFonts w:ascii="仿宋_GB2312" w:eastAsia="仿宋_GB2312"/>
          <w:sz w:val="28"/>
          <w:szCs w:val="28"/>
        </w:rPr>
        <w:t>19.44</w:t>
      </w:r>
      <w:r>
        <w:rPr>
          <w:rFonts w:hint="eastAsia" w:ascii="仿宋_GB2312" w:eastAsia="仿宋_GB2312"/>
          <w:sz w:val="28"/>
          <w:szCs w:val="28"/>
        </w:rPr>
        <w:t>%;上缴上级支出</w:t>
      </w:r>
      <w:r>
        <w:rPr>
          <w:rFonts w:ascii="仿宋_GB2312" w:eastAsia="仿宋_GB2312"/>
          <w:sz w:val="28"/>
          <w:szCs w:val="28"/>
        </w:rPr>
        <w:t>0</w:t>
      </w:r>
      <w:r>
        <w:rPr>
          <w:rFonts w:hint="eastAsia" w:ascii="仿宋_GB2312" w:eastAsia="仿宋_GB2312"/>
          <w:sz w:val="28"/>
          <w:szCs w:val="28"/>
        </w:rPr>
        <w:t>万元，占支出合计的</w:t>
      </w:r>
      <w:r>
        <w:rPr>
          <w:rFonts w:ascii="仿宋_GB2312" w:eastAsia="仿宋_GB2312"/>
          <w:sz w:val="28"/>
          <w:szCs w:val="28"/>
        </w:rPr>
        <w:t>0</w:t>
      </w:r>
      <w:r>
        <w:rPr>
          <w:rFonts w:hint="eastAsia" w:ascii="仿宋_GB2312" w:eastAsia="仿宋_GB2312"/>
          <w:sz w:val="28"/>
          <w:szCs w:val="28"/>
        </w:rPr>
        <w:t>%；经营支出</w:t>
      </w:r>
      <w:r>
        <w:rPr>
          <w:rFonts w:ascii="仿宋_GB2312" w:eastAsia="仿宋_GB2312"/>
          <w:sz w:val="28"/>
          <w:szCs w:val="28"/>
        </w:rPr>
        <w:t>0</w:t>
      </w:r>
      <w:r>
        <w:rPr>
          <w:rFonts w:hint="eastAsia" w:ascii="仿宋_GB2312" w:eastAsia="仿宋_GB2312"/>
          <w:sz w:val="28"/>
          <w:szCs w:val="28"/>
        </w:rPr>
        <w:t>万元，占支出合计的</w:t>
      </w:r>
      <w:r>
        <w:rPr>
          <w:rFonts w:ascii="仿宋_GB2312" w:eastAsia="仿宋_GB2312"/>
          <w:sz w:val="28"/>
          <w:szCs w:val="28"/>
        </w:rPr>
        <w:t>0</w:t>
      </w:r>
      <w:r>
        <w:rPr>
          <w:rFonts w:hint="eastAsia" w:ascii="仿宋_GB2312" w:eastAsia="仿宋_GB2312"/>
          <w:sz w:val="28"/>
          <w:szCs w:val="28"/>
        </w:rPr>
        <w:t>%；对附属单位补助支出</w:t>
      </w:r>
      <w:r>
        <w:rPr>
          <w:rFonts w:ascii="仿宋_GB2312" w:eastAsia="仿宋_GB2312"/>
          <w:sz w:val="28"/>
          <w:szCs w:val="28"/>
        </w:rPr>
        <w:t>0</w:t>
      </w:r>
      <w:r>
        <w:rPr>
          <w:rFonts w:hint="eastAsia" w:ascii="仿宋_GB2312" w:eastAsia="仿宋_GB2312"/>
          <w:sz w:val="28"/>
          <w:szCs w:val="28"/>
        </w:rPr>
        <w:t>万元，占支出合计的</w:t>
      </w:r>
      <w:r>
        <w:rPr>
          <w:rFonts w:ascii="仿宋_GB2312" w:eastAsia="仿宋_GB2312"/>
          <w:sz w:val="28"/>
          <w:szCs w:val="28"/>
        </w:rPr>
        <w:t>0</w:t>
      </w:r>
      <w:r>
        <w:rPr>
          <w:rFonts w:hint="eastAsia" w:ascii="仿宋_GB2312" w:eastAsia="仿宋_GB2312"/>
          <w:sz w:val="28"/>
          <w:szCs w:val="28"/>
        </w:rPr>
        <w:t>%。</w:t>
      </w:r>
    </w:p>
    <w:p>
      <w:pPr>
        <w:pStyle w:val="3"/>
        <w:ind w:firstLine="642"/>
        <w:jc w:val="center"/>
        <w:rPr>
          <w:rFonts w:hint="eastAsia" w:ascii="仿宋_GB2312" w:eastAsia="仿宋_GB2312"/>
          <w:color w:val="000000"/>
          <w:sz w:val="32"/>
          <w:szCs w:val="32"/>
          <w:highlight w:val="none"/>
          <w:lang w:val="en-US" w:eastAsia="zh-CN"/>
        </w:rPr>
      </w:pPr>
      <w:r>
        <w:rPr>
          <w:rFonts w:hint="eastAsia" w:ascii="仿宋_GB2312" w:eastAsia="仿宋_GB2312"/>
          <w:color w:val="000000"/>
          <w:sz w:val="32"/>
          <w:szCs w:val="32"/>
          <w:highlight w:val="none"/>
          <w:lang w:val="en-US" w:eastAsia="zh-CN"/>
        </w:rPr>
        <w:t>图2：基本支出和项目支出情况</w:t>
      </w:r>
    </w:p>
    <w:p>
      <w:pPr>
        <w:jc w:val="center"/>
        <w:rPr>
          <w:rFonts w:hint="eastAsia" w:ascii="黑体" w:eastAsia="黑体"/>
          <w:b/>
          <w:sz w:val="28"/>
          <w:szCs w:val="28"/>
        </w:rPr>
      </w:pPr>
      <w:r>
        <w:drawing>
          <wp:inline distT="0" distB="0" distL="114300" distR="114300">
            <wp:extent cx="4572000" cy="2743200"/>
            <wp:effectExtent l="4445" t="4445" r="14605" b="14605"/>
            <wp:docPr id="1" name="图表 3" title="{{pieChart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三</w:t>
      </w:r>
      <w:r>
        <w:rPr>
          <w:rFonts w:ascii="黑体" w:eastAsia="黑体"/>
          <w:b/>
          <w:sz w:val="28"/>
          <w:szCs w:val="28"/>
        </w:rPr>
        <w:t>、财政拨款</w:t>
      </w:r>
      <w:r>
        <w:rPr>
          <w:rFonts w:hint="eastAsia" w:ascii="黑体" w:eastAsia="黑体"/>
          <w:b/>
          <w:sz w:val="28"/>
          <w:szCs w:val="28"/>
        </w:rPr>
        <w:t>收入支出决算</w:t>
      </w:r>
      <w:r>
        <w:rPr>
          <w:rFonts w:ascii="黑体" w:eastAsia="黑体"/>
          <w:b/>
          <w:sz w:val="28"/>
          <w:szCs w:val="28"/>
        </w:rPr>
        <w:t>总体情况说明</w:t>
      </w:r>
    </w:p>
    <w:p>
      <w:pPr>
        <w:snapToGrid w:val="0"/>
        <w:spacing w:line="520" w:lineRule="exact"/>
        <w:ind w:firstLine="560" w:firstLineChars="20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年度财政拨款收、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2525.21</w:t>
      </w:r>
      <w:r>
        <w:rPr>
          <w:rFonts w:hint="eastAsia" w:ascii="仿宋_GB2312" w:eastAsia="仿宋_GB2312"/>
          <w:sz w:val="28"/>
          <w:szCs w:val="28"/>
        </w:rPr>
        <w:t>万元，比上年</w:t>
      </w:r>
      <w:r>
        <w:rPr>
          <w:rFonts w:ascii="仿宋_GB2312" w:eastAsia="仿宋_GB2312"/>
          <w:sz w:val="28"/>
          <w:szCs w:val="28"/>
        </w:rPr>
        <w:t>增加</w:t>
      </w:r>
      <w:r>
        <w:rPr>
          <w:rFonts w:hint="eastAsia" w:ascii="仿宋_GB2312" w:eastAsia="仿宋_GB2312"/>
          <w:sz w:val="28"/>
          <w:szCs w:val="28"/>
          <w:lang w:val="en-US" w:eastAsia="zh-CN"/>
        </w:rPr>
        <w:t>96.71</w:t>
      </w:r>
      <w:r>
        <w:rPr>
          <w:rFonts w:hint="eastAsia" w:ascii="仿宋_GB2312" w:eastAsia="仿宋_GB2312"/>
          <w:sz w:val="28"/>
          <w:szCs w:val="28"/>
        </w:rPr>
        <w:t>万元，增长</w:t>
      </w:r>
      <w:r>
        <w:rPr>
          <w:rFonts w:hint="eastAsia" w:ascii="仿宋_GB2312" w:eastAsia="仿宋_GB2312"/>
          <w:sz w:val="28"/>
          <w:szCs w:val="28"/>
          <w:lang w:val="en-US" w:eastAsia="zh-CN"/>
        </w:rPr>
        <w:t>3.98</w:t>
      </w:r>
      <w:r>
        <w:rPr>
          <w:rFonts w:hint="eastAsia" w:ascii="仿宋_GB2312" w:eastAsia="仿宋_GB2312"/>
          <w:sz w:val="28"/>
          <w:szCs w:val="28"/>
        </w:rPr>
        <w:t>%。主要原因：</w:t>
      </w:r>
      <w:r>
        <w:rPr>
          <w:rFonts w:hint="eastAsia" w:ascii="仿宋_GB2312" w:hAnsi="仿宋" w:eastAsia="仿宋_GB2312"/>
          <w:sz w:val="32"/>
          <w:szCs w:val="32"/>
          <w:highlight w:val="none"/>
          <w:u w:val="none"/>
          <w:lang w:eastAsia="zh-CN"/>
        </w:rPr>
        <w:t>由于工作需要，增加了项目经费。</w:t>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四、一般公共预算财政拨款支出决算情况说明</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（一）一般公共预算财政拨款支出决算总体情况</w:t>
      </w:r>
    </w:p>
    <w:p>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年度一般公共预算财政拨款支出</w:t>
      </w:r>
      <w:r>
        <w:rPr>
          <w:rFonts w:ascii="仿宋_GB2312" w:eastAsia="仿宋_GB2312"/>
          <w:sz w:val="28"/>
          <w:szCs w:val="28"/>
        </w:rPr>
        <w:t>2509.18</w:t>
      </w:r>
      <w:r>
        <w:rPr>
          <w:rFonts w:hint="eastAsia" w:ascii="仿宋_GB2312" w:eastAsia="仿宋_GB2312"/>
          <w:sz w:val="28"/>
          <w:szCs w:val="28"/>
        </w:rPr>
        <w:t>万元，主要用于以下方面（按大类）：</w:t>
      </w:r>
      <w:r>
        <w:rPr>
          <w:rFonts w:hint="eastAsia" w:ascii="仿宋_GB2312" w:eastAsia="仿宋_GB2312"/>
          <w:sz w:val="28"/>
          <w:szCs w:val="28"/>
          <w:lang w:eastAsia="zh-CN"/>
        </w:rPr>
        <w:t>教育</w:t>
      </w:r>
      <w:r>
        <w:rPr>
          <w:rFonts w:hint="eastAsia" w:ascii="仿宋_GB2312" w:eastAsia="仿宋_GB2312"/>
          <w:sz w:val="28"/>
          <w:szCs w:val="28"/>
        </w:rPr>
        <w:t>支出</w:t>
      </w:r>
      <w:r>
        <w:rPr>
          <w:rFonts w:hint="eastAsia" w:ascii="仿宋_GB2312" w:eastAsia="仿宋_GB2312"/>
          <w:sz w:val="28"/>
          <w:szCs w:val="28"/>
          <w:lang w:val="en-US" w:eastAsia="zh-CN"/>
        </w:rPr>
        <w:t>2.66</w:t>
      </w:r>
      <w:r>
        <w:rPr>
          <w:rFonts w:hint="eastAsia" w:ascii="仿宋_GB2312" w:eastAsia="仿宋_GB2312"/>
          <w:sz w:val="28"/>
          <w:szCs w:val="28"/>
        </w:rPr>
        <w:t>万元，占本年财政拨款支出</w:t>
      </w:r>
      <w:r>
        <w:rPr>
          <w:rFonts w:hint="eastAsia" w:ascii="仿宋_GB2312" w:eastAsia="仿宋_GB2312"/>
          <w:sz w:val="28"/>
          <w:szCs w:val="28"/>
          <w:lang w:val="en-US" w:eastAsia="zh-CN"/>
        </w:rPr>
        <w:t>0.11</w:t>
      </w:r>
      <w:r>
        <w:rPr>
          <w:rFonts w:hint="eastAsia" w:ascii="仿宋_GB2312" w:eastAsia="仿宋_GB2312"/>
          <w:sz w:val="28"/>
          <w:szCs w:val="28"/>
        </w:rPr>
        <w:t>%；社会保障和就业支出</w:t>
      </w:r>
      <w:r>
        <w:rPr>
          <w:rFonts w:hint="eastAsia" w:ascii="仿宋_GB2312" w:eastAsia="仿宋_GB2312"/>
          <w:sz w:val="28"/>
          <w:szCs w:val="28"/>
          <w:lang w:val="en-US" w:eastAsia="zh-CN"/>
        </w:rPr>
        <w:t>225.55</w:t>
      </w:r>
      <w:r>
        <w:rPr>
          <w:rFonts w:hint="eastAsia" w:ascii="仿宋_GB2312" w:eastAsia="仿宋_GB2312"/>
          <w:sz w:val="28"/>
          <w:szCs w:val="28"/>
        </w:rPr>
        <w:t>万元，占本年财政拨款支出</w:t>
      </w:r>
      <w:r>
        <w:rPr>
          <w:rFonts w:hint="eastAsia" w:ascii="仿宋_GB2312" w:eastAsia="仿宋_GB2312"/>
          <w:sz w:val="28"/>
          <w:szCs w:val="28"/>
          <w:lang w:val="en-US" w:eastAsia="zh-CN"/>
        </w:rPr>
        <w:t>8.99</w:t>
      </w:r>
      <w:r>
        <w:rPr>
          <w:rFonts w:hint="eastAsia" w:ascii="仿宋_GB2312" w:eastAsia="仿宋_GB2312"/>
          <w:sz w:val="28"/>
          <w:szCs w:val="28"/>
        </w:rPr>
        <w:t>%； 卫生健康支出</w:t>
      </w:r>
      <w:r>
        <w:rPr>
          <w:rFonts w:hint="eastAsia" w:ascii="仿宋_GB2312" w:eastAsia="仿宋_GB2312"/>
          <w:sz w:val="28"/>
          <w:szCs w:val="28"/>
          <w:lang w:val="en-US" w:eastAsia="zh-CN"/>
        </w:rPr>
        <w:t>144.77万元，</w:t>
      </w:r>
      <w:r>
        <w:rPr>
          <w:rFonts w:hint="eastAsia" w:ascii="仿宋_GB2312" w:eastAsia="仿宋_GB2312"/>
          <w:sz w:val="28"/>
          <w:szCs w:val="28"/>
        </w:rPr>
        <w:t>占本年财政拨款支出</w:t>
      </w:r>
      <w:r>
        <w:rPr>
          <w:rFonts w:hint="eastAsia" w:ascii="仿宋_GB2312" w:eastAsia="仿宋_GB2312"/>
          <w:sz w:val="28"/>
          <w:szCs w:val="28"/>
          <w:lang w:val="en-US" w:eastAsia="zh-CN"/>
        </w:rPr>
        <w:t>5.77</w:t>
      </w:r>
      <w:r>
        <w:rPr>
          <w:rFonts w:hint="eastAsia" w:ascii="仿宋_GB2312" w:eastAsia="仿宋_GB2312"/>
          <w:sz w:val="28"/>
          <w:szCs w:val="28"/>
        </w:rPr>
        <w:t>%；自然资源海洋气象等支出</w:t>
      </w:r>
      <w:r>
        <w:rPr>
          <w:rFonts w:hint="eastAsia" w:ascii="仿宋_GB2312" w:eastAsia="仿宋_GB2312"/>
          <w:sz w:val="28"/>
          <w:szCs w:val="28"/>
          <w:lang w:val="en-US" w:eastAsia="zh-CN"/>
        </w:rPr>
        <w:t>2136.20万元，</w:t>
      </w:r>
      <w:r>
        <w:rPr>
          <w:rFonts w:hint="eastAsia" w:ascii="仿宋_GB2312" w:eastAsia="仿宋_GB2312"/>
          <w:sz w:val="28"/>
          <w:szCs w:val="28"/>
        </w:rPr>
        <w:t>占本年财政拨款支出</w:t>
      </w:r>
      <w:r>
        <w:rPr>
          <w:rFonts w:hint="eastAsia" w:ascii="仿宋_GB2312" w:eastAsia="仿宋_GB2312"/>
          <w:sz w:val="28"/>
          <w:szCs w:val="28"/>
          <w:lang w:val="en-US" w:eastAsia="zh-CN"/>
        </w:rPr>
        <w:t>85.13</w:t>
      </w:r>
      <w:r>
        <w:rPr>
          <w:rFonts w:hint="eastAsia" w:ascii="仿宋_GB2312" w:eastAsia="仿宋_GB2312"/>
          <w:sz w:val="28"/>
          <w:szCs w:val="28"/>
        </w:rPr>
        <w:t>%。</w:t>
      </w:r>
    </w:p>
    <w:p>
      <w:pPr>
        <w:numPr>
          <w:ilvl w:val="0"/>
          <w:numId w:val="1"/>
        </w:num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一般公共预算财政拨款支出决算具体情况</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1、“</w:t>
      </w:r>
      <w:r>
        <w:rPr>
          <w:rFonts w:hint="eastAsia" w:ascii="仿宋_GB2312" w:eastAsia="仿宋_GB2312"/>
          <w:sz w:val="28"/>
          <w:szCs w:val="28"/>
          <w:lang w:eastAsia="zh-CN"/>
        </w:rPr>
        <w:t>教育支出</w:t>
      </w:r>
      <w:r>
        <w:rPr>
          <w:rFonts w:hint="eastAsia" w:ascii="仿宋_GB2312" w:eastAsia="仿宋_GB2312"/>
          <w:sz w:val="28"/>
          <w:szCs w:val="28"/>
        </w:rPr>
        <w:t>”（类）202</w:t>
      </w:r>
      <w:r>
        <w:rPr>
          <w:rFonts w:hint="eastAsia" w:ascii="仿宋_GB2312" w:eastAsia="仿宋_GB2312"/>
          <w:sz w:val="28"/>
          <w:szCs w:val="28"/>
          <w:lang w:val="en-US" w:eastAsia="zh-CN"/>
        </w:rPr>
        <w:t>3</w:t>
      </w:r>
      <w:r>
        <w:rPr>
          <w:rFonts w:hint="eastAsia" w:ascii="仿宋_GB2312" w:eastAsia="仿宋_GB2312"/>
          <w:sz w:val="28"/>
          <w:szCs w:val="28"/>
        </w:rPr>
        <w:t>年度决算</w:t>
      </w:r>
      <w:r>
        <w:rPr>
          <w:rFonts w:hint="eastAsia" w:ascii="仿宋_GB2312" w:eastAsia="仿宋_GB2312"/>
          <w:sz w:val="28"/>
          <w:szCs w:val="28"/>
          <w:lang w:val="en-US" w:eastAsia="zh-CN"/>
        </w:rPr>
        <w:t>2.66</w:t>
      </w:r>
      <w:r>
        <w:rPr>
          <w:rFonts w:hint="eastAsia" w:ascii="仿宋_GB2312" w:eastAsia="仿宋_GB2312"/>
          <w:sz w:val="28"/>
          <w:szCs w:val="28"/>
        </w:rPr>
        <w:t>万元，比202</w:t>
      </w:r>
      <w:r>
        <w:rPr>
          <w:rFonts w:hint="eastAsia" w:ascii="仿宋_GB2312" w:eastAsia="仿宋_GB2312"/>
          <w:sz w:val="28"/>
          <w:szCs w:val="28"/>
          <w:lang w:val="en-US" w:eastAsia="zh-CN"/>
        </w:rPr>
        <w:t>3</w:t>
      </w:r>
      <w:r>
        <w:rPr>
          <w:rFonts w:hint="eastAsia" w:ascii="仿宋_GB2312" w:eastAsia="仿宋_GB2312"/>
          <w:sz w:val="28"/>
          <w:szCs w:val="28"/>
        </w:rPr>
        <w:t>年年初预算</w:t>
      </w:r>
      <w:r>
        <w:rPr>
          <w:rFonts w:hint="eastAsia" w:ascii="仿宋_GB2312" w:eastAsia="仿宋_GB2312"/>
          <w:sz w:val="28"/>
          <w:szCs w:val="28"/>
          <w:lang w:eastAsia="zh-CN"/>
        </w:rPr>
        <w:t>增加</w:t>
      </w:r>
      <w:r>
        <w:rPr>
          <w:rFonts w:hint="eastAsia" w:ascii="仿宋_GB2312" w:eastAsia="仿宋_GB2312"/>
          <w:sz w:val="28"/>
          <w:szCs w:val="28"/>
          <w:lang w:val="en-US" w:eastAsia="zh-CN"/>
        </w:rPr>
        <w:t>2.66</w:t>
      </w:r>
      <w:r>
        <w:rPr>
          <w:rFonts w:hint="eastAsia" w:ascii="仿宋_GB2312" w:eastAsia="仿宋_GB2312"/>
          <w:sz w:val="28"/>
          <w:szCs w:val="28"/>
        </w:rPr>
        <w:t>万元</w:t>
      </w:r>
      <w:r>
        <w:rPr>
          <w:rFonts w:hint="eastAsia" w:ascii="仿宋_GB2312" w:eastAsia="仿宋_GB2312"/>
          <w:sz w:val="28"/>
          <w:szCs w:val="28"/>
          <w:lang w:eastAsia="zh-CN"/>
        </w:rPr>
        <w:t>，此为追加预算，年初未安排此预算</w:t>
      </w:r>
      <w:r>
        <w:rPr>
          <w:rFonts w:hint="eastAsia" w:ascii="仿宋_GB2312" w:eastAsia="仿宋_GB2312"/>
          <w:sz w:val="28"/>
          <w:szCs w:val="28"/>
        </w:rPr>
        <w:t>。其中：</w:t>
      </w:r>
    </w:p>
    <w:p>
      <w:pPr>
        <w:spacing w:line="580" w:lineRule="exact"/>
        <w:ind w:firstLine="560" w:firstLineChars="200"/>
        <w:rPr>
          <w:rFonts w:hint="eastAsia"/>
        </w:rPr>
      </w:pPr>
      <w:r>
        <w:rPr>
          <w:rFonts w:hint="eastAsia" w:ascii="仿宋_GB2312" w:eastAsia="仿宋_GB2312"/>
          <w:sz w:val="28"/>
          <w:szCs w:val="28"/>
        </w:rPr>
        <w:t>“</w:t>
      </w:r>
      <w:r>
        <w:rPr>
          <w:rFonts w:hint="eastAsia" w:ascii="仿宋_GB2312" w:eastAsia="仿宋_GB2312"/>
          <w:sz w:val="28"/>
          <w:szCs w:val="28"/>
          <w:lang w:eastAsia="zh-CN"/>
        </w:rPr>
        <w:t>进修及培训</w:t>
      </w:r>
      <w:r>
        <w:rPr>
          <w:rFonts w:hint="eastAsia" w:ascii="仿宋_GB2312" w:eastAsia="仿宋_GB2312"/>
          <w:sz w:val="28"/>
          <w:szCs w:val="28"/>
        </w:rPr>
        <w:t>”（款）202</w:t>
      </w:r>
      <w:r>
        <w:rPr>
          <w:rFonts w:hint="eastAsia" w:ascii="仿宋_GB2312" w:eastAsia="仿宋_GB2312"/>
          <w:sz w:val="28"/>
          <w:szCs w:val="28"/>
          <w:lang w:val="en-US" w:eastAsia="zh-CN"/>
        </w:rPr>
        <w:t>3</w:t>
      </w:r>
      <w:r>
        <w:rPr>
          <w:rFonts w:hint="eastAsia" w:ascii="仿宋_GB2312" w:eastAsia="仿宋_GB2312"/>
          <w:sz w:val="28"/>
          <w:szCs w:val="28"/>
        </w:rPr>
        <w:t>年度决算</w:t>
      </w:r>
      <w:r>
        <w:rPr>
          <w:rFonts w:hint="eastAsia" w:ascii="仿宋_GB2312" w:eastAsia="仿宋_GB2312"/>
          <w:sz w:val="28"/>
          <w:szCs w:val="28"/>
          <w:lang w:val="en-US" w:eastAsia="zh-CN"/>
        </w:rPr>
        <w:t>2.66</w:t>
      </w:r>
      <w:r>
        <w:rPr>
          <w:rFonts w:hint="eastAsia" w:ascii="仿宋_GB2312" w:eastAsia="仿宋_GB2312"/>
          <w:sz w:val="28"/>
          <w:szCs w:val="28"/>
        </w:rPr>
        <w:t>万元，比202</w:t>
      </w:r>
      <w:r>
        <w:rPr>
          <w:rFonts w:hint="eastAsia" w:ascii="仿宋_GB2312" w:eastAsia="仿宋_GB2312"/>
          <w:sz w:val="28"/>
          <w:szCs w:val="28"/>
          <w:lang w:val="en-US" w:eastAsia="zh-CN"/>
        </w:rPr>
        <w:t>3</w:t>
      </w:r>
      <w:r>
        <w:rPr>
          <w:rFonts w:hint="eastAsia" w:ascii="仿宋_GB2312" w:eastAsia="仿宋_GB2312"/>
          <w:sz w:val="28"/>
          <w:szCs w:val="28"/>
        </w:rPr>
        <w:t>年年初预算</w:t>
      </w:r>
      <w:r>
        <w:rPr>
          <w:rFonts w:hint="eastAsia" w:ascii="仿宋_GB2312" w:eastAsia="仿宋_GB2312"/>
          <w:sz w:val="28"/>
          <w:szCs w:val="28"/>
          <w:lang w:eastAsia="zh-CN"/>
        </w:rPr>
        <w:t>增加</w:t>
      </w:r>
      <w:r>
        <w:rPr>
          <w:rFonts w:hint="eastAsia" w:ascii="仿宋_GB2312" w:eastAsia="仿宋_GB2312"/>
          <w:sz w:val="28"/>
          <w:szCs w:val="28"/>
          <w:lang w:val="en-US" w:eastAsia="zh-CN"/>
        </w:rPr>
        <w:t>2.66</w:t>
      </w:r>
      <w:r>
        <w:rPr>
          <w:rFonts w:hint="eastAsia" w:ascii="仿宋_GB2312" w:eastAsia="仿宋_GB2312"/>
          <w:sz w:val="28"/>
          <w:szCs w:val="28"/>
        </w:rPr>
        <w:t>万元。主要原因：</w:t>
      </w:r>
      <w:r>
        <w:rPr>
          <w:rFonts w:hint="eastAsia" w:ascii="仿宋_GB2312" w:eastAsia="仿宋_GB2312"/>
          <w:sz w:val="28"/>
          <w:szCs w:val="28"/>
          <w:lang w:eastAsia="zh-CN"/>
        </w:rPr>
        <w:t>由于增加了技能大赛的任务，为保障参赛选手取得好成绩，故追加了培训支出的预算。</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lang w:val="en-US" w:eastAsia="zh-CN"/>
        </w:rPr>
        <w:t>2</w:t>
      </w:r>
      <w:r>
        <w:rPr>
          <w:rFonts w:hint="eastAsia" w:ascii="仿宋_GB2312" w:eastAsia="仿宋_GB2312"/>
          <w:sz w:val="28"/>
          <w:szCs w:val="28"/>
        </w:rPr>
        <w:t>、“社会保障和就业支出”（类）202</w:t>
      </w:r>
      <w:r>
        <w:rPr>
          <w:rFonts w:hint="eastAsia" w:ascii="仿宋_GB2312" w:eastAsia="仿宋_GB2312"/>
          <w:sz w:val="28"/>
          <w:szCs w:val="28"/>
          <w:lang w:val="en-US" w:eastAsia="zh-CN"/>
        </w:rPr>
        <w:t>3</w:t>
      </w:r>
      <w:r>
        <w:rPr>
          <w:rFonts w:hint="eastAsia" w:ascii="仿宋_GB2312" w:eastAsia="仿宋_GB2312"/>
          <w:sz w:val="28"/>
          <w:szCs w:val="28"/>
        </w:rPr>
        <w:t>年度决算</w:t>
      </w:r>
      <w:r>
        <w:rPr>
          <w:rFonts w:hint="eastAsia" w:ascii="仿宋_GB2312" w:eastAsia="仿宋_GB2312"/>
          <w:sz w:val="28"/>
          <w:szCs w:val="28"/>
          <w:lang w:val="en-US" w:eastAsia="zh-CN"/>
        </w:rPr>
        <w:t>225.55</w:t>
      </w:r>
      <w:r>
        <w:rPr>
          <w:rFonts w:hint="eastAsia" w:ascii="仿宋_GB2312" w:eastAsia="仿宋_GB2312"/>
          <w:sz w:val="28"/>
          <w:szCs w:val="28"/>
        </w:rPr>
        <w:t>万元，比202</w:t>
      </w:r>
      <w:r>
        <w:rPr>
          <w:rFonts w:hint="eastAsia" w:ascii="仿宋_GB2312" w:eastAsia="仿宋_GB2312"/>
          <w:sz w:val="28"/>
          <w:szCs w:val="28"/>
          <w:lang w:val="en-US" w:eastAsia="zh-CN"/>
        </w:rPr>
        <w:t>3</w:t>
      </w:r>
      <w:r>
        <w:rPr>
          <w:rFonts w:hint="eastAsia" w:ascii="仿宋_GB2312" w:eastAsia="仿宋_GB2312"/>
          <w:sz w:val="28"/>
          <w:szCs w:val="28"/>
        </w:rPr>
        <w:t>年年初预算</w:t>
      </w:r>
      <w:r>
        <w:rPr>
          <w:rFonts w:hint="eastAsia" w:ascii="仿宋_GB2312" w:eastAsia="仿宋_GB2312"/>
          <w:sz w:val="28"/>
          <w:szCs w:val="28"/>
          <w:lang w:eastAsia="zh-CN"/>
        </w:rPr>
        <w:t>增加</w:t>
      </w:r>
      <w:r>
        <w:rPr>
          <w:rFonts w:hint="eastAsia" w:ascii="仿宋_GB2312" w:eastAsia="仿宋_GB2312"/>
          <w:sz w:val="28"/>
          <w:szCs w:val="28"/>
          <w:lang w:val="en-US" w:eastAsia="zh-CN"/>
        </w:rPr>
        <w:t>7.09</w:t>
      </w:r>
      <w:r>
        <w:rPr>
          <w:rFonts w:hint="eastAsia" w:ascii="仿宋_GB2312" w:eastAsia="仿宋_GB2312"/>
          <w:sz w:val="28"/>
          <w:szCs w:val="28"/>
        </w:rPr>
        <w:t>万元，</w:t>
      </w:r>
      <w:r>
        <w:rPr>
          <w:rFonts w:hint="eastAsia" w:ascii="仿宋_GB2312" w:eastAsia="仿宋_GB2312"/>
          <w:sz w:val="28"/>
          <w:szCs w:val="28"/>
          <w:lang w:eastAsia="zh-CN"/>
        </w:rPr>
        <w:t>增长</w:t>
      </w:r>
      <w:r>
        <w:rPr>
          <w:rFonts w:hint="eastAsia" w:ascii="仿宋_GB2312" w:eastAsia="仿宋_GB2312"/>
          <w:sz w:val="28"/>
          <w:szCs w:val="28"/>
          <w:lang w:val="en-US" w:eastAsia="zh-CN"/>
        </w:rPr>
        <w:t>3.25</w:t>
      </w:r>
      <w:r>
        <w:rPr>
          <w:rFonts w:hint="eastAsia" w:ascii="仿宋_GB2312" w:eastAsia="仿宋_GB2312"/>
          <w:sz w:val="28"/>
          <w:szCs w:val="28"/>
        </w:rPr>
        <w:t>%。其中：</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“行政事业单位养老支出”（款）202</w:t>
      </w:r>
      <w:r>
        <w:rPr>
          <w:rFonts w:hint="eastAsia" w:ascii="仿宋_GB2312" w:eastAsia="仿宋_GB2312"/>
          <w:sz w:val="28"/>
          <w:szCs w:val="28"/>
          <w:lang w:val="en-US" w:eastAsia="zh-CN"/>
        </w:rPr>
        <w:t>3</w:t>
      </w:r>
      <w:r>
        <w:rPr>
          <w:rFonts w:hint="eastAsia" w:ascii="仿宋_GB2312" w:eastAsia="仿宋_GB2312"/>
          <w:sz w:val="28"/>
          <w:szCs w:val="28"/>
        </w:rPr>
        <w:t>年度决算</w:t>
      </w:r>
      <w:r>
        <w:rPr>
          <w:rFonts w:hint="eastAsia" w:ascii="仿宋_GB2312" w:eastAsia="仿宋_GB2312"/>
          <w:sz w:val="28"/>
          <w:szCs w:val="28"/>
          <w:lang w:val="en-US" w:eastAsia="zh-CN"/>
        </w:rPr>
        <w:t>225.55</w:t>
      </w:r>
      <w:r>
        <w:rPr>
          <w:rFonts w:hint="eastAsia" w:ascii="仿宋_GB2312" w:eastAsia="仿宋_GB2312"/>
          <w:sz w:val="28"/>
          <w:szCs w:val="28"/>
        </w:rPr>
        <w:t>万元，比202</w:t>
      </w:r>
      <w:r>
        <w:rPr>
          <w:rFonts w:hint="eastAsia" w:ascii="仿宋_GB2312" w:eastAsia="仿宋_GB2312"/>
          <w:sz w:val="28"/>
          <w:szCs w:val="28"/>
          <w:lang w:val="en-US" w:eastAsia="zh-CN"/>
        </w:rPr>
        <w:t>3</w:t>
      </w:r>
      <w:r>
        <w:rPr>
          <w:rFonts w:hint="eastAsia" w:ascii="仿宋_GB2312" w:eastAsia="仿宋_GB2312"/>
          <w:sz w:val="28"/>
          <w:szCs w:val="28"/>
        </w:rPr>
        <w:t>年年初预算</w:t>
      </w:r>
      <w:r>
        <w:rPr>
          <w:rFonts w:hint="eastAsia" w:ascii="仿宋_GB2312" w:eastAsia="仿宋_GB2312"/>
          <w:sz w:val="28"/>
          <w:szCs w:val="28"/>
          <w:lang w:eastAsia="zh-CN"/>
        </w:rPr>
        <w:t>增加</w:t>
      </w:r>
      <w:r>
        <w:rPr>
          <w:rFonts w:hint="eastAsia" w:ascii="仿宋_GB2312" w:eastAsia="仿宋_GB2312"/>
          <w:sz w:val="28"/>
          <w:szCs w:val="28"/>
          <w:lang w:val="en-US" w:eastAsia="zh-CN"/>
        </w:rPr>
        <w:t>7.09</w:t>
      </w:r>
      <w:r>
        <w:rPr>
          <w:rFonts w:hint="eastAsia" w:ascii="仿宋_GB2312" w:eastAsia="仿宋_GB2312"/>
          <w:sz w:val="28"/>
          <w:szCs w:val="28"/>
        </w:rPr>
        <w:t>万元，</w:t>
      </w:r>
      <w:r>
        <w:rPr>
          <w:rFonts w:hint="eastAsia" w:ascii="仿宋_GB2312" w:eastAsia="仿宋_GB2312"/>
          <w:sz w:val="28"/>
          <w:szCs w:val="28"/>
          <w:lang w:eastAsia="zh-CN"/>
        </w:rPr>
        <w:t>增长</w:t>
      </w:r>
      <w:r>
        <w:rPr>
          <w:rFonts w:hint="eastAsia" w:ascii="仿宋_GB2312" w:eastAsia="仿宋_GB2312"/>
          <w:sz w:val="28"/>
          <w:szCs w:val="28"/>
          <w:lang w:val="en-US" w:eastAsia="zh-CN"/>
        </w:rPr>
        <w:t>3.25</w:t>
      </w:r>
      <w:r>
        <w:rPr>
          <w:rFonts w:hint="eastAsia" w:ascii="仿宋_GB2312" w:eastAsia="仿宋_GB2312"/>
          <w:sz w:val="28"/>
          <w:szCs w:val="28"/>
        </w:rPr>
        <w:t>%。主要原因：</w:t>
      </w:r>
      <w:r>
        <w:rPr>
          <w:rFonts w:hint="eastAsia" w:ascii="仿宋_GB2312" w:eastAsia="仿宋_GB2312"/>
          <w:sz w:val="28"/>
          <w:szCs w:val="28"/>
          <w:lang w:eastAsia="zh-CN"/>
        </w:rPr>
        <w:t>基数增长</w:t>
      </w:r>
      <w:r>
        <w:rPr>
          <w:rFonts w:hint="eastAsia" w:ascii="仿宋_GB2312" w:eastAsia="仿宋_GB2312"/>
          <w:sz w:val="28"/>
          <w:szCs w:val="28"/>
        </w:rPr>
        <w:t>。</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3</w:t>
      </w:r>
      <w:r>
        <w:rPr>
          <w:rFonts w:hint="eastAsia" w:ascii="仿宋_GB2312" w:eastAsia="仿宋_GB2312"/>
          <w:sz w:val="28"/>
          <w:szCs w:val="28"/>
        </w:rPr>
        <w:t>、“卫生健康支出”（类）202</w:t>
      </w:r>
      <w:r>
        <w:rPr>
          <w:rFonts w:hint="eastAsia" w:ascii="仿宋_GB2312" w:eastAsia="仿宋_GB2312"/>
          <w:sz w:val="28"/>
          <w:szCs w:val="28"/>
          <w:lang w:val="en-US" w:eastAsia="zh-CN"/>
        </w:rPr>
        <w:t>3</w:t>
      </w:r>
      <w:r>
        <w:rPr>
          <w:rFonts w:hint="eastAsia" w:ascii="仿宋_GB2312" w:eastAsia="仿宋_GB2312"/>
          <w:sz w:val="28"/>
          <w:szCs w:val="28"/>
        </w:rPr>
        <w:t>年度决算</w:t>
      </w:r>
      <w:r>
        <w:rPr>
          <w:rFonts w:hint="eastAsia" w:ascii="仿宋_GB2312" w:eastAsia="仿宋_GB2312"/>
          <w:sz w:val="28"/>
          <w:szCs w:val="28"/>
          <w:lang w:val="en-US" w:eastAsia="zh-CN"/>
        </w:rPr>
        <w:t>144.77</w:t>
      </w:r>
      <w:r>
        <w:rPr>
          <w:rFonts w:hint="eastAsia" w:ascii="仿宋_GB2312" w:eastAsia="仿宋_GB2312"/>
          <w:sz w:val="28"/>
          <w:szCs w:val="28"/>
        </w:rPr>
        <w:t>万元，比202</w:t>
      </w:r>
      <w:r>
        <w:rPr>
          <w:rFonts w:hint="eastAsia" w:ascii="仿宋_GB2312" w:eastAsia="仿宋_GB2312"/>
          <w:sz w:val="28"/>
          <w:szCs w:val="28"/>
          <w:lang w:val="en-US" w:eastAsia="zh-CN"/>
        </w:rPr>
        <w:t>3</w:t>
      </w:r>
      <w:r>
        <w:rPr>
          <w:rFonts w:hint="eastAsia" w:ascii="仿宋_GB2312" w:eastAsia="仿宋_GB2312"/>
          <w:sz w:val="28"/>
          <w:szCs w:val="28"/>
        </w:rPr>
        <w:t>年年初预算</w:t>
      </w:r>
      <w:r>
        <w:rPr>
          <w:rFonts w:hint="eastAsia" w:ascii="仿宋_GB2312" w:eastAsia="仿宋_GB2312"/>
          <w:sz w:val="28"/>
          <w:szCs w:val="28"/>
          <w:lang w:eastAsia="zh-CN"/>
        </w:rPr>
        <w:t>增加</w:t>
      </w:r>
      <w:r>
        <w:rPr>
          <w:rFonts w:hint="eastAsia" w:ascii="仿宋_GB2312" w:eastAsia="仿宋_GB2312"/>
          <w:sz w:val="28"/>
          <w:szCs w:val="28"/>
          <w:lang w:val="en-US" w:eastAsia="zh-CN"/>
        </w:rPr>
        <w:t>4.17</w:t>
      </w:r>
      <w:r>
        <w:rPr>
          <w:rFonts w:hint="eastAsia" w:ascii="仿宋_GB2312" w:eastAsia="仿宋_GB2312"/>
          <w:sz w:val="28"/>
          <w:szCs w:val="28"/>
        </w:rPr>
        <w:t>万元，</w:t>
      </w:r>
      <w:r>
        <w:rPr>
          <w:rFonts w:hint="eastAsia" w:ascii="仿宋_GB2312" w:eastAsia="仿宋_GB2312"/>
          <w:sz w:val="28"/>
          <w:szCs w:val="28"/>
          <w:lang w:eastAsia="zh-CN"/>
        </w:rPr>
        <w:t>增长</w:t>
      </w:r>
      <w:r>
        <w:rPr>
          <w:rFonts w:hint="eastAsia" w:ascii="仿宋_GB2312" w:eastAsia="仿宋_GB2312"/>
          <w:sz w:val="28"/>
          <w:szCs w:val="28"/>
          <w:lang w:val="en-US" w:eastAsia="zh-CN"/>
        </w:rPr>
        <w:t>2.97</w:t>
      </w:r>
      <w:r>
        <w:rPr>
          <w:rFonts w:hint="eastAsia" w:ascii="仿宋_GB2312" w:eastAsia="仿宋_GB2312"/>
          <w:sz w:val="28"/>
          <w:szCs w:val="28"/>
        </w:rPr>
        <w:t>%。其中：</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“行政事业单位医疗”（款）202</w:t>
      </w:r>
      <w:r>
        <w:rPr>
          <w:rFonts w:hint="eastAsia" w:ascii="仿宋_GB2312" w:eastAsia="仿宋_GB2312"/>
          <w:sz w:val="28"/>
          <w:szCs w:val="28"/>
          <w:lang w:val="en-US" w:eastAsia="zh-CN"/>
        </w:rPr>
        <w:t>3</w:t>
      </w:r>
      <w:r>
        <w:rPr>
          <w:rFonts w:hint="eastAsia" w:ascii="仿宋_GB2312" w:eastAsia="仿宋_GB2312"/>
          <w:sz w:val="28"/>
          <w:szCs w:val="28"/>
        </w:rPr>
        <w:t>年度决算</w:t>
      </w:r>
      <w:r>
        <w:rPr>
          <w:rFonts w:hint="eastAsia" w:ascii="仿宋_GB2312" w:eastAsia="仿宋_GB2312"/>
          <w:sz w:val="28"/>
          <w:szCs w:val="28"/>
          <w:lang w:val="en-US" w:eastAsia="zh-CN"/>
        </w:rPr>
        <w:t>144.77</w:t>
      </w:r>
      <w:r>
        <w:rPr>
          <w:rFonts w:hint="eastAsia" w:ascii="仿宋_GB2312" w:eastAsia="仿宋_GB2312"/>
          <w:sz w:val="28"/>
          <w:szCs w:val="28"/>
        </w:rPr>
        <w:t>万元，比202</w:t>
      </w:r>
      <w:r>
        <w:rPr>
          <w:rFonts w:hint="eastAsia" w:ascii="仿宋_GB2312" w:eastAsia="仿宋_GB2312"/>
          <w:sz w:val="28"/>
          <w:szCs w:val="28"/>
          <w:lang w:val="en-US" w:eastAsia="zh-CN"/>
        </w:rPr>
        <w:t>3</w:t>
      </w:r>
      <w:r>
        <w:rPr>
          <w:rFonts w:hint="eastAsia" w:ascii="仿宋_GB2312" w:eastAsia="仿宋_GB2312"/>
          <w:sz w:val="28"/>
          <w:szCs w:val="28"/>
        </w:rPr>
        <w:t>年年初预算</w:t>
      </w:r>
      <w:r>
        <w:rPr>
          <w:rFonts w:hint="eastAsia" w:ascii="仿宋_GB2312" w:eastAsia="仿宋_GB2312"/>
          <w:sz w:val="28"/>
          <w:szCs w:val="28"/>
          <w:lang w:eastAsia="zh-CN"/>
        </w:rPr>
        <w:t>增加</w:t>
      </w:r>
      <w:r>
        <w:rPr>
          <w:rFonts w:hint="eastAsia" w:ascii="仿宋_GB2312" w:eastAsia="仿宋_GB2312"/>
          <w:sz w:val="28"/>
          <w:szCs w:val="28"/>
          <w:lang w:val="en-US" w:eastAsia="zh-CN"/>
        </w:rPr>
        <w:t>4.17</w:t>
      </w:r>
      <w:r>
        <w:rPr>
          <w:rFonts w:hint="eastAsia" w:ascii="仿宋_GB2312" w:eastAsia="仿宋_GB2312"/>
          <w:sz w:val="28"/>
          <w:szCs w:val="28"/>
        </w:rPr>
        <w:t>万元，</w:t>
      </w:r>
      <w:r>
        <w:rPr>
          <w:rFonts w:hint="eastAsia" w:ascii="仿宋_GB2312" w:eastAsia="仿宋_GB2312"/>
          <w:sz w:val="28"/>
          <w:szCs w:val="28"/>
          <w:lang w:eastAsia="zh-CN"/>
        </w:rPr>
        <w:t>增长</w:t>
      </w:r>
      <w:r>
        <w:rPr>
          <w:rFonts w:hint="eastAsia" w:ascii="仿宋_GB2312" w:eastAsia="仿宋_GB2312"/>
          <w:sz w:val="28"/>
          <w:szCs w:val="28"/>
          <w:lang w:val="en-US" w:eastAsia="zh-CN"/>
        </w:rPr>
        <w:t>2.97</w:t>
      </w:r>
      <w:r>
        <w:rPr>
          <w:rFonts w:hint="eastAsia" w:ascii="仿宋_GB2312" w:eastAsia="仿宋_GB2312"/>
          <w:sz w:val="28"/>
          <w:szCs w:val="28"/>
        </w:rPr>
        <w:t>%。主要原因：</w:t>
      </w:r>
      <w:r>
        <w:rPr>
          <w:rFonts w:hint="eastAsia" w:ascii="仿宋_GB2312" w:eastAsia="仿宋_GB2312"/>
          <w:sz w:val="28"/>
          <w:szCs w:val="28"/>
          <w:lang w:eastAsia="zh-CN"/>
        </w:rPr>
        <w:t>基数增长</w:t>
      </w:r>
      <w:r>
        <w:rPr>
          <w:rFonts w:hint="eastAsia" w:ascii="仿宋_GB2312" w:eastAsia="仿宋_GB2312"/>
          <w:sz w:val="28"/>
          <w:szCs w:val="28"/>
        </w:rPr>
        <w:t>。</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lang w:val="en-US" w:eastAsia="zh-CN"/>
        </w:rPr>
        <w:t>4、“自然资源海洋气象等支出”</w:t>
      </w:r>
      <w:r>
        <w:rPr>
          <w:rFonts w:hint="eastAsia" w:ascii="仿宋_GB2312" w:eastAsia="仿宋_GB2312"/>
          <w:sz w:val="28"/>
          <w:szCs w:val="28"/>
        </w:rPr>
        <w:t>（类）202</w:t>
      </w:r>
      <w:r>
        <w:rPr>
          <w:rFonts w:hint="eastAsia" w:ascii="仿宋_GB2312" w:eastAsia="仿宋_GB2312"/>
          <w:sz w:val="28"/>
          <w:szCs w:val="28"/>
          <w:lang w:val="en-US" w:eastAsia="zh-CN"/>
        </w:rPr>
        <w:t>3</w:t>
      </w:r>
      <w:r>
        <w:rPr>
          <w:rFonts w:hint="eastAsia" w:ascii="仿宋_GB2312" w:eastAsia="仿宋_GB2312"/>
          <w:sz w:val="28"/>
          <w:szCs w:val="28"/>
        </w:rPr>
        <w:t>年度决算</w:t>
      </w:r>
      <w:r>
        <w:rPr>
          <w:rFonts w:hint="eastAsia" w:ascii="仿宋_GB2312" w:eastAsia="仿宋_GB2312"/>
          <w:sz w:val="28"/>
          <w:szCs w:val="28"/>
          <w:lang w:val="en-US" w:eastAsia="zh-CN"/>
        </w:rPr>
        <w:t>2136.20</w:t>
      </w:r>
      <w:r>
        <w:rPr>
          <w:rFonts w:hint="eastAsia" w:ascii="仿宋_GB2312" w:eastAsia="仿宋_GB2312"/>
          <w:sz w:val="28"/>
          <w:szCs w:val="28"/>
        </w:rPr>
        <w:t>万元，比202</w:t>
      </w:r>
      <w:r>
        <w:rPr>
          <w:rFonts w:hint="eastAsia" w:ascii="仿宋_GB2312" w:eastAsia="仿宋_GB2312"/>
          <w:sz w:val="28"/>
          <w:szCs w:val="28"/>
          <w:lang w:val="en-US" w:eastAsia="zh-CN"/>
        </w:rPr>
        <w:t>3</w:t>
      </w:r>
      <w:r>
        <w:rPr>
          <w:rFonts w:hint="eastAsia" w:ascii="仿宋_GB2312" w:eastAsia="仿宋_GB2312"/>
          <w:sz w:val="28"/>
          <w:szCs w:val="28"/>
        </w:rPr>
        <w:t>年年初预算</w:t>
      </w:r>
      <w:r>
        <w:rPr>
          <w:rFonts w:hint="eastAsia" w:ascii="仿宋_GB2312" w:eastAsia="仿宋_GB2312"/>
          <w:sz w:val="28"/>
          <w:szCs w:val="28"/>
          <w:lang w:eastAsia="zh-CN"/>
        </w:rPr>
        <w:t>增加</w:t>
      </w:r>
      <w:r>
        <w:rPr>
          <w:rFonts w:hint="eastAsia" w:ascii="仿宋_GB2312" w:eastAsia="仿宋_GB2312"/>
          <w:sz w:val="28"/>
          <w:szCs w:val="28"/>
          <w:lang w:val="en-US" w:eastAsia="zh-CN"/>
        </w:rPr>
        <w:t>32.3</w:t>
      </w:r>
      <w:r>
        <w:rPr>
          <w:rFonts w:hint="eastAsia" w:ascii="仿宋_GB2312" w:eastAsia="仿宋_GB2312"/>
          <w:sz w:val="28"/>
          <w:szCs w:val="28"/>
        </w:rPr>
        <w:t>万元，</w:t>
      </w:r>
      <w:r>
        <w:rPr>
          <w:rFonts w:hint="eastAsia" w:ascii="仿宋_GB2312" w:eastAsia="仿宋_GB2312"/>
          <w:sz w:val="28"/>
          <w:szCs w:val="28"/>
          <w:lang w:eastAsia="zh-CN"/>
        </w:rPr>
        <w:t>增长</w:t>
      </w:r>
      <w:r>
        <w:rPr>
          <w:rFonts w:hint="eastAsia" w:ascii="仿宋_GB2312" w:eastAsia="仿宋_GB2312"/>
          <w:sz w:val="28"/>
          <w:szCs w:val="28"/>
          <w:lang w:val="en-US" w:eastAsia="zh-CN"/>
        </w:rPr>
        <w:t>1.54</w:t>
      </w:r>
      <w:r>
        <w:rPr>
          <w:rFonts w:hint="eastAsia" w:ascii="仿宋_GB2312" w:eastAsia="仿宋_GB2312"/>
          <w:sz w:val="28"/>
          <w:szCs w:val="28"/>
        </w:rPr>
        <w:t>%。其中：</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“自然资源事务”（款）202</w:t>
      </w:r>
      <w:r>
        <w:rPr>
          <w:rFonts w:hint="eastAsia" w:ascii="仿宋_GB2312" w:eastAsia="仿宋_GB2312"/>
          <w:sz w:val="28"/>
          <w:szCs w:val="28"/>
          <w:lang w:val="en-US" w:eastAsia="zh-CN"/>
        </w:rPr>
        <w:t>3</w:t>
      </w:r>
      <w:r>
        <w:rPr>
          <w:rFonts w:hint="eastAsia" w:ascii="仿宋_GB2312" w:eastAsia="仿宋_GB2312"/>
          <w:sz w:val="28"/>
          <w:szCs w:val="28"/>
        </w:rPr>
        <w:t>年度决算</w:t>
      </w:r>
      <w:r>
        <w:rPr>
          <w:rFonts w:hint="eastAsia" w:ascii="仿宋_GB2312" w:eastAsia="仿宋_GB2312"/>
          <w:sz w:val="28"/>
          <w:szCs w:val="28"/>
          <w:lang w:val="en-US" w:eastAsia="zh-CN"/>
        </w:rPr>
        <w:t>2136.20</w:t>
      </w:r>
      <w:r>
        <w:rPr>
          <w:rFonts w:hint="eastAsia" w:ascii="仿宋_GB2312" w:eastAsia="仿宋_GB2312"/>
          <w:sz w:val="28"/>
          <w:szCs w:val="28"/>
        </w:rPr>
        <w:t>万元，比202</w:t>
      </w:r>
      <w:r>
        <w:rPr>
          <w:rFonts w:hint="eastAsia" w:ascii="仿宋_GB2312" w:eastAsia="仿宋_GB2312"/>
          <w:sz w:val="28"/>
          <w:szCs w:val="28"/>
          <w:lang w:val="en-US" w:eastAsia="zh-CN"/>
        </w:rPr>
        <w:t>3</w:t>
      </w:r>
      <w:r>
        <w:rPr>
          <w:rFonts w:hint="eastAsia" w:ascii="仿宋_GB2312" w:eastAsia="仿宋_GB2312"/>
          <w:sz w:val="28"/>
          <w:szCs w:val="28"/>
        </w:rPr>
        <w:t>年年初预算</w:t>
      </w:r>
      <w:r>
        <w:rPr>
          <w:rFonts w:hint="eastAsia" w:ascii="仿宋_GB2312" w:eastAsia="仿宋_GB2312"/>
          <w:sz w:val="28"/>
          <w:szCs w:val="28"/>
          <w:lang w:eastAsia="zh-CN"/>
        </w:rPr>
        <w:t>增加</w:t>
      </w:r>
      <w:r>
        <w:rPr>
          <w:rFonts w:hint="eastAsia" w:ascii="仿宋_GB2312" w:eastAsia="仿宋_GB2312"/>
          <w:sz w:val="28"/>
          <w:szCs w:val="28"/>
          <w:lang w:val="en-US" w:eastAsia="zh-CN"/>
        </w:rPr>
        <w:t>32.3</w:t>
      </w:r>
      <w:r>
        <w:rPr>
          <w:rFonts w:hint="eastAsia" w:ascii="仿宋_GB2312" w:eastAsia="仿宋_GB2312"/>
          <w:sz w:val="28"/>
          <w:szCs w:val="28"/>
        </w:rPr>
        <w:t>万元，</w:t>
      </w:r>
      <w:r>
        <w:rPr>
          <w:rFonts w:hint="eastAsia" w:ascii="仿宋_GB2312" w:eastAsia="仿宋_GB2312"/>
          <w:sz w:val="28"/>
          <w:szCs w:val="28"/>
          <w:lang w:eastAsia="zh-CN"/>
        </w:rPr>
        <w:t>增长</w:t>
      </w:r>
      <w:r>
        <w:rPr>
          <w:rFonts w:hint="eastAsia" w:ascii="仿宋_GB2312" w:eastAsia="仿宋_GB2312"/>
          <w:sz w:val="28"/>
          <w:szCs w:val="28"/>
          <w:lang w:val="en-US" w:eastAsia="zh-CN"/>
        </w:rPr>
        <w:t>1.54</w:t>
      </w:r>
      <w:r>
        <w:rPr>
          <w:rFonts w:hint="eastAsia" w:ascii="仿宋_GB2312" w:eastAsia="仿宋_GB2312"/>
          <w:sz w:val="28"/>
          <w:szCs w:val="28"/>
        </w:rPr>
        <w:t>%。主要原因：</w:t>
      </w:r>
      <w:r>
        <w:rPr>
          <w:rFonts w:hint="eastAsia" w:ascii="仿宋_GB2312" w:eastAsia="仿宋_GB2312"/>
          <w:sz w:val="28"/>
          <w:szCs w:val="28"/>
          <w:lang w:eastAsia="zh-CN"/>
        </w:rPr>
        <w:t>由于工作需要，追加了项目经费，同时人员经费自然增长。</w:t>
      </w:r>
    </w:p>
    <w:p>
      <w:pPr>
        <w:spacing w:line="580" w:lineRule="exact"/>
        <w:ind w:firstLine="560" w:firstLineChars="200"/>
        <w:rPr>
          <w:rFonts w:hint="eastAsia" w:ascii="仿宋_GB2312" w:eastAsia="仿宋_GB2312"/>
          <w:sz w:val="28"/>
          <w:szCs w:val="28"/>
        </w:rPr>
      </w:pPr>
      <w:r>
        <w:rPr>
          <w:rFonts w:hint="eastAsia" w:ascii="黑体" w:eastAsia="黑体"/>
          <w:b/>
          <w:sz w:val="28"/>
          <w:szCs w:val="28"/>
        </w:rPr>
        <w:t>五、政府性基金预算财政拨款支出决算情况说明</w:t>
      </w:r>
    </w:p>
    <w:p>
      <w:pPr>
        <w:spacing w:line="580" w:lineRule="exact"/>
        <w:ind w:firstLine="560" w:firstLineChars="200"/>
        <w:rPr>
          <w:rFonts w:hint="eastAsia" w:ascii="仿宋_GB2312" w:eastAsia="仿宋_GB2312"/>
          <w:sz w:val="28"/>
          <w:szCs w:val="28"/>
          <w:lang w:eastAsia="zh-CN"/>
        </w:rPr>
      </w:pPr>
      <w:r>
        <w:rPr>
          <w:rFonts w:hint="eastAsia" w:ascii="仿宋_GB2312" w:eastAsia="仿宋_GB2312"/>
          <w:sz w:val="28"/>
          <w:szCs w:val="28"/>
        </w:rPr>
        <w:t>本年度无此项支出</w:t>
      </w:r>
      <w:r>
        <w:rPr>
          <w:rFonts w:hint="eastAsia" w:ascii="仿宋_GB2312" w:eastAsia="仿宋_GB2312"/>
          <w:sz w:val="28"/>
          <w:szCs w:val="28"/>
          <w:lang w:eastAsia="zh-CN"/>
        </w:rPr>
        <w:t>。</w:t>
      </w:r>
    </w:p>
    <w:p>
      <w:pPr>
        <w:spacing w:line="580" w:lineRule="exact"/>
        <w:ind w:firstLine="560" w:firstLineChars="200"/>
        <w:rPr>
          <w:rFonts w:hint="eastAsia" w:ascii="黑体" w:eastAsia="黑体"/>
          <w:b/>
          <w:sz w:val="28"/>
          <w:szCs w:val="28"/>
        </w:rPr>
      </w:pPr>
      <w:r>
        <w:rPr>
          <w:rFonts w:hint="eastAsia" w:ascii="黑体" w:eastAsia="黑体"/>
          <w:b/>
          <w:sz w:val="28"/>
          <w:szCs w:val="28"/>
        </w:rPr>
        <w:t>六、国有资本经营预算财</w:t>
      </w:r>
      <w:r>
        <w:rPr>
          <w:rFonts w:ascii="黑体" w:eastAsia="黑体"/>
          <w:b/>
          <w:sz w:val="28"/>
          <w:szCs w:val="28"/>
        </w:rPr>
        <w:t>政拨款</w:t>
      </w:r>
      <w:r>
        <w:rPr>
          <w:rFonts w:hint="eastAsia" w:ascii="黑体" w:eastAsia="黑体"/>
          <w:b/>
          <w:sz w:val="28"/>
          <w:szCs w:val="28"/>
        </w:rPr>
        <w:t>收支情况</w:t>
      </w:r>
    </w:p>
    <w:p>
      <w:pPr>
        <w:spacing w:line="580" w:lineRule="exact"/>
        <w:ind w:firstLine="560" w:firstLineChars="200"/>
        <w:rPr>
          <w:rFonts w:hint="eastAsia" w:ascii="仿宋_GB2312" w:eastAsia="仿宋_GB2312"/>
          <w:sz w:val="28"/>
          <w:szCs w:val="28"/>
          <w:lang w:eastAsia="zh-CN"/>
        </w:rPr>
      </w:pPr>
      <w:r>
        <w:rPr>
          <w:rFonts w:hint="eastAsia" w:ascii="仿宋_GB2312" w:eastAsia="仿宋_GB2312"/>
          <w:sz w:val="28"/>
          <w:szCs w:val="28"/>
        </w:rPr>
        <w:t>本年度无此项支出</w:t>
      </w:r>
      <w:r>
        <w:rPr>
          <w:rFonts w:hint="eastAsia" w:ascii="仿宋_GB2312" w:eastAsia="仿宋_GB2312"/>
          <w:sz w:val="28"/>
          <w:szCs w:val="28"/>
          <w:lang w:eastAsia="zh-CN"/>
        </w:rPr>
        <w:t>。</w:t>
      </w:r>
    </w:p>
    <w:p>
      <w:pPr>
        <w:spacing w:line="580" w:lineRule="exact"/>
        <w:ind w:firstLine="548" w:firstLineChars="196"/>
        <w:rPr>
          <w:rFonts w:hint="eastAsia" w:ascii="黑体" w:eastAsia="黑体"/>
          <w:sz w:val="28"/>
          <w:szCs w:val="28"/>
        </w:rPr>
      </w:pPr>
      <w:r>
        <w:rPr>
          <w:rFonts w:hint="eastAsia" w:ascii="黑体" w:eastAsia="黑体"/>
          <w:b/>
          <w:sz w:val="28"/>
          <w:szCs w:val="28"/>
        </w:rPr>
        <w:t>七、财政拨款基本支出决算情况说明</w:t>
      </w:r>
    </w:p>
    <w:p>
      <w:pPr>
        <w:tabs>
          <w:tab w:val="center" w:pos="6979"/>
        </w:tabs>
        <w:spacing w:line="580" w:lineRule="exact"/>
        <w:ind w:firstLine="548" w:firstLineChars="196"/>
        <w:rPr>
          <w:rFonts w:hint="eastAsia" w:ascii="黑体" w:eastAsia="黑体"/>
          <w:b/>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年度使用一般公共预算财政拨款安排基本支出</w:t>
      </w:r>
      <w:r>
        <w:rPr>
          <w:rFonts w:ascii="仿宋_GB2312" w:eastAsia="仿宋_GB2312"/>
          <w:sz w:val="28"/>
          <w:szCs w:val="28"/>
        </w:rPr>
        <w:t>2022.46</w:t>
      </w:r>
      <w:r>
        <w:rPr>
          <w:rFonts w:hint="eastAsia" w:ascii="仿宋_GB2312" w:eastAsia="仿宋_GB2312"/>
          <w:sz w:val="28"/>
          <w:szCs w:val="28"/>
        </w:rPr>
        <w:t>万元，使用政府性基金财政拨款安排基本支出</w:t>
      </w:r>
      <w:r>
        <w:rPr>
          <w:rFonts w:ascii="仿宋_GB2312" w:eastAsia="仿宋_GB2312"/>
          <w:sz w:val="28"/>
          <w:szCs w:val="28"/>
        </w:rPr>
        <w:t>0</w:t>
      </w:r>
      <w:r>
        <w:rPr>
          <w:rFonts w:hint="eastAsia" w:ascii="仿宋_GB2312" w:eastAsia="仿宋_GB2312"/>
          <w:sz w:val="28"/>
          <w:szCs w:val="28"/>
        </w:rPr>
        <w:t>万元，其中：（1）工资福利支出包括基本工资</w:t>
      </w:r>
      <w:r>
        <w:rPr>
          <w:rFonts w:ascii="仿宋_GB2312" w:eastAsia="仿宋_GB2312"/>
          <w:sz w:val="28"/>
          <w:szCs w:val="28"/>
        </w:rPr>
        <w:t>、津贴补贴、奖金、伙食补助费、绩效工资、</w:t>
      </w:r>
      <w:r>
        <w:rPr>
          <w:rFonts w:hint="eastAsia" w:ascii="仿宋_GB2312" w:eastAsia="仿宋_GB2312"/>
          <w:sz w:val="28"/>
          <w:szCs w:val="28"/>
        </w:rPr>
        <w:t>其他</w:t>
      </w:r>
      <w:r>
        <w:rPr>
          <w:rFonts w:ascii="仿宋_GB2312" w:eastAsia="仿宋_GB2312"/>
          <w:sz w:val="28"/>
          <w:szCs w:val="28"/>
        </w:rPr>
        <w:t>社会保障缴费、其他工资福利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；（2）商品和服务支出包括</w:t>
      </w:r>
      <w:r>
        <w:rPr>
          <w:rFonts w:ascii="仿宋_GB2312" w:eastAsia="仿宋_GB2312"/>
          <w:sz w:val="28"/>
          <w:szCs w:val="28"/>
        </w:rPr>
        <w:t>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；（3）对个人和家庭补助支出包括</w:t>
      </w:r>
      <w:r>
        <w:rPr>
          <w:rFonts w:ascii="仿宋_GB2312" w:eastAsia="仿宋_GB2312"/>
          <w:sz w:val="28"/>
          <w:szCs w:val="28"/>
        </w:rPr>
        <w:t>离休费、退休费、抚恤金、生活补助、</w:t>
      </w:r>
      <w:r>
        <w:rPr>
          <w:rFonts w:hint="eastAsia" w:ascii="仿宋_GB2312" w:eastAsia="仿宋_GB2312"/>
          <w:sz w:val="28"/>
          <w:szCs w:val="28"/>
        </w:rPr>
        <w:t>救济费</w:t>
      </w:r>
      <w:r>
        <w:rPr>
          <w:rFonts w:ascii="仿宋_GB2312" w:eastAsia="仿宋_GB2312"/>
          <w:sz w:val="28"/>
          <w:szCs w:val="28"/>
        </w:rPr>
        <w:t>、医疗费</w:t>
      </w:r>
      <w:r>
        <w:rPr>
          <w:rFonts w:hint="eastAsia" w:ascii="仿宋_GB2312" w:eastAsia="仿宋_GB2312"/>
          <w:sz w:val="28"/>
          <w:szCs w:val="28"/>
        </w:rPr>
        <w:t>补助</w:t>
      </w:r>
      <w:r>
        <w:rPr>
          <w:rFonts w:ascii="仿宋_GB2312" w:eastAsia="仿宋_GB2312"/>
          <w:sz w:val="28"/>
          <w:szCs w:val="28"/>
        </w:rPr>
        <w:t>、助学金、奖励金</w:t>
      </w:r>
      <w:r>
        <w:rPr>
          <w:rFonts w:hint="eastAsia" w:ascii="仿宋_GB2312" w:eastAsia="仿宋_GB2312"/>
          <w:sz w:val="28"/>
          <w:szCs w:val="28"/>
        </w:rPr>
        <w:t>、</w:t>
      </w:r>
      <w:r>
        <w:rPr>
          <w:rFonts w:ascii="仿宋_GB2312" w:eastAsia="仿宋_GB2312"/>
          <w:sz w:val="28"/>
          <w:szCs w:val="28"/>
        </w:rPr>
        <w:t>其他对个人和家庭的补助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。（4）其他资本性支出包括</w:t>
      </w:r>
      <w:r>
        <w:rPr>
          <w:rFonts w:ascii="仿宋_GB2312" w:eastAsia="仿宋_GB2312"/>
          <w:sz w:val="28"/>
          <w:szCs w:val="28"/>
        </w:rPr>
        <w:t>办公设备购置、专用设备购置</w:t>
      </w:r>
      <w:r>
        <w:rPr>
          <w:rFonts w:hint="eastAsia" w:ascii="仿宋_GB2312" w:eastAsia="仿宋_GB2312"/>
          <w:sz w:val="28"/>
          <w:szCs w:val="28"/>
        </w:rPr>
        <w:t>等</w:t>
      </w:r>
      <w:r>
        <w:rPr>
          <w:rFonts w:ascii="仿宋_GB2312" w:eastAsia="仿宋_GB2312"/>
          <w:sz w:val="28"/>
          <w:szCs w:val="28"/>
        </w:rPr>
        <w:t>。</w:t>
      </w:r>
    </w:p>
    <w:p>
      <w:pPr>
        <w:autoSpaceDE w:val="0"/>
        <w:autoSpaceDN w:val="0"/>
        <w:adjustRightInd w:val="0"/>
        <w:spacing w:line="580" w:lineRule="exact"/>
        <w:jc w:val="center"/>
        <w:rPr>
          <w:rFonts w:hint="eastAsia" w:ascii="宋体" w:hAnsi="宋体" w:cs="宋体"/>
          <w:b/>
          <w:spacing w:val="40"/>
          <w:kern w:val="0"/>
          <w:sz w:val="32"/>
          <w:szCs w:val="32"/>
        </w:rPr>
      </w:pPr>
      <w:r>
        <w:rPr>
          <w:rFonts w:ascii="仿宋_GB2312" w:eastAsia="仿宋_GB2312"/>
          <w:sz w:val="28"/>
          <w:szCs w:val="28"/>
        </w:rPr>
        <w:br w:type="page"/>
      </w:r>
      <w:r>
        <w:rPr>
          <w:rFonts w:hint="eastAsia" w:ascii="宋体" w:hAnsi="宋体" w:cs="宋体"/>
          <w:b/>
          <w:bCs/>
          <w:spacing w:val="40"/>
          <w:kern w:val="0"/>
          <w:sz w:val="32"/>
          <w:szCs w:val="32"/>
        </w:rPr>
        <w:t>第三部分</w:t>
      </w:r>
      <w:r>
        <w:rPr>
          <w:rFonts w:hint="eastAsia" w:ascii="宋体" w:hAnsi="宋体"/>
          <w:b/>
          <w:spacing w:val="40"/>
          <w:sz w:val="32"/>
          <w:szCs w:val="32"/>
        </w:rPr>
        <w:t>202</w:t>
      </w:r>
      <w:r>
        <w:rPr>
          <w:rFonts w:hint="eastAsia" w:ascii="宋体" w:hAnsi="宋体"/>
          <w:b/>
          <w:spacing w:val="40"/>
          <w:sz w:val="32"/>
          <w:szCs w:val="32"/>
          <w:lang w:val="en-US" w:eastAsia="zh-CN"/>
        </w:rPr>
        <w:t>3</w:t>
      </w:r>
      <w:r>
        <w:rPr>
          <w:rFonts w:hint="eastAsia" w:ascii="宋体" w:hAnsi="宋体"/>
          <w:b/>
          <w:spacing w:val="40"/>
          <w:sz w:val="32"/>
          <w:szCs w:val="32"/>
        </w:rPr>
        <w:t>年度</w:t>
      </w:r>
      <w:r>
        <w:rPr>
          <w:rFonts w:hint="eastAsia" w:ascii="宋体" w:hAnsi="宋体" w:cs="宋体"/>
          <w:b/>
          <w:spacing w:val="40"/>
          <w:kern w:val="0"/>
          <w:sz w:val="32"/>
          <w:szCs w:val="32"/>
        </w:rPr>
        <w:t>其他重要事项的情况说明</w:t>
      </w:r>
    </w:p>
    <w:p>
      <w:pPr>
        <w:spacing w:line="560" w:lineRule="exact"/>
        <w:ind w:firstLine="560" w:firstLineChars="200"/>
        <w:rPr>
          <w:rFonts w:hint="eastAsia" w:ascii="黑体" w:eastAsia="黑体"/>
          <w:sz w:val="28"/>
          <w:szCs w:val="28"/>
        </w:rPr>
      </w:pPr>
      <w:r>
        <w:rPr>
          <w:rFonts w:hint="eastAsia" w:ascii="黑体" w:eastAsia="黑体"/>
          <w:sz w:val="28"/>
          <w:szCs w:val="28"/>
        </w:rPr>
        <w:t>一、“三公”经费财政拨款决算情况</w:t>
      </w:r>
    </w:p>
    <w:p>
      <w:pPr>
        <w:tabs>
          <w:tab w:val="center" w:pos="6979"/>
        </w:tabs>
        <w:ind w:firstLine="554" w:firstLineChars="198"/>
        <w:rPr>
          <w:rFonts w:hint="eastAsia" w:ascii="仿宋_GB2312" w:eastAsia="仿宋_GB2312"/>
          <w:sz w:val="28"/>
          <w:szCs w:val="28"/>
          <w:lang w:eastAsia="zh-CN"/>
        </w:rPr>
      </w:pPr>
      <w:r>
        <w:rPr>
          <w:rFonts w:hint="eastAsia" w:ascii="仿宋_GB2312" w:eastAsia="仿宋_GB2312"/>
          <w:sz w:val="28"/>
          <w:szCs w:val="28"/>
          <w:lang w:eastAsia="zh-CN"/>
        </w:rPr>
        <w:t>本年度无此项支出。</w:t>
      </w:r>
    </w:p>
    <w:p>
      <w:pPr>
        <w:tabs>
          <w:tab w:val="center" w:pos="6979"/>
        </w:tabs>
        <w:ind w:firstLine="554" w:firstLineChars="198"/>
        <w:rPr>
          <w:rFonts w:hint="eastAsia" w:ascii="黑体" w:eastAsia="黑体"/>
          <w:sz w:val="28"/>
          <w:szCs w:val="28"/>
        </w:rPr>
      </w:pPr>
      <w:r>
        <w:rPr>
          <w:rFonts w:hint="eastAsia" w:ascii="黑体" w:eastAsia="黑体"/>
          <w:sz w:val="28"/>
          <w:szCs w:val="28"/>
        </w:rPr>
        <w:t>二、机关运行经费支出情况</w:t>
      </w:r>
    </w:p>
    <w:p>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年度使用财政拨款安排的基本支出中的日常公用经费支出，合计</w:t>
      </w:r>
      <w:r>
        <w:rPr>
          <w:rFonts w:hint="eastAsia" w:ascii="仿宋_GB2312" w:eastAsia="仿宋_GB2312"/>
          <w:sz w:val="28"/>
          <w:szCs w:val="28"/>
          <w:lang w:val="en-US" w:eastAsia="zh-CN"/>
        </w:rPr>
        <w:t>142.03</w:t>
      </w:r>
      <w:r>
        <w:rPr>
          <w:rFonts w:hint="eastAsia" w:ascii="仿宋_GB2312" w:eastAsia="仿宋_GB2312"/>
          <w:sz w:val="28"/>
          <w:szCs w:val="28"/>
        </w:rPr>
        <w:t>万元，比上年增加</w:t>
      </w:r>
      <w:r>
        <w:rPr>
          <w:rFonts w:hint="eastAsia" w:ascii="仿宋_GB2312" w:eastAsia="仿宋_GB2312"/>
          <w:sz w:val="28"/>
          <w:szCs w:val="28"/>
          <w:lang w:val="en-US" w:eastAsia="zh-CN"/>
        </w:rPr>
        <w:t>34.29</w:t>
      </w:r>
      <w:r>
        <w:rPr>
          <w:rFonts w:hint="eastAsia" w:ascii="仿宋_GB2312" w:eastAsia="仿宋_GB2312"/>
          <w:sz w:val="28"/>
          <w:szCs w:val="28"/>
        </w:rPr>
        <w:t>万元，增加原因：</w:t>
      </w:r>
      <w:r>
        <w:rPr>
          <w:rFonts w:hint="eastAsia" w:ascii="仿宋_GB2312" w:eastAsia="仿宋_GB2312"/>
          <w:sz w:val="28"/>
          <w:szCs w:val="28"/>
          <w:lang w:eastAsia="zh-CN"/>
        </w:rPr>
        <w:t>人员增长，经费相应增加</w:t>
      </w:r>
      <w:r>
        <w:rPr>
          <w:rFonts w:hint="eastAsia" w:ascii="仿宋_GB2312" w:eastAsia="仿宋_GB2312"/>
          <w:sz w:val="28"/>
          <w:szCs w:val="28"/>
        </w:rPr>
        <w:t>。</w:t>
      </w:r>
    </w:p>
    <w:p>
      <w:pPr>
        <w:ind w:left="540"/>
        <w:rPr>
          <w:rFonts w:hint="eastAsia" w:ascii="黑体" w:eastAsia="黑体"/>
          <w:sz w:val="28"/>
          <w:szCs w:val="28"/>
        </w:rPr>
      </w:pPr>
      <w:r>
        <w:rPr>
          <w:rFonts w:hint="eastAsia" w:ascii="黑体" w:eastAsia="黑体"/>
          <w:sz w:val="28"/>
          <w:szCs w:val="28"/>
        </w:rPr>
        <w:t>三、政府采购支出情况</w:t>
      </w:r>
    </w:p>
    <w:p>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年度政府采购支出总额</w:t>
      </w:r>
      <w:r>
        <w:rPr>
          <w:rFonts w:ascii="仿宋_GB2312" w:eastAsia="仿宋_GB2312"/>
          <w:sz w:val="28"/>
          <w:szCs w:val="28"/>
        </w:rPr>
        <w:t>213.91</w:t>
      </w:r>
      <w:r>
        <w:rPr>
          <w:rFonts w:hint="eastAsia" w:ascii="仿宋_GB2312" w:eastAsia="仿宋_GB2312"/>
          <w:sz w:val="28"/>
          <w:szCs w:val="28"/>
        </w:rPr>
        <w:t>万元，其中：政府采购货物支出</w:t>
      </w:r>
      <w:r>
        <w:rPr>
          <w:rFonts w:ascii="仿宋_GB2312" w:eastAsia="仿宋_GB2312"/>
          <w:sz w:val="28"/>
          <w:szCs w:val="28"/>
        </w:rPr>
        <w:t>4.67</w:t>
      </w:r>
      <w:r>
        <w:rPr>
          <w:rFonts w:hint="eastAsia" w:ascii="仿宋_GB2312" w:eastAsia="仿宋_GB2312"/>
          <w:sz w:val="28"/>
          <w:szCs w:val="28"/>
        </w:rPr>
        <w:t>万元，政府采购工程支出</w:t>
      </w:r>
      <w:r>
        <w:rPr>
          <w:rFonts w:ascii="仿宋_GB2312" w:eastAsia="仿宋_GB2312"/>
          <w:sz w:val="28"/>
          <w:szCs w:val="28"/>
        </w:rPr>
        <w:t>0</w:t>
      </w:r>
      <w:r>
        <w:rPr>
          <w:rFonts w:hint="eastAsia" w:ascii="仿宋_GB2312" w:eastAsia="仿宋_GB2312"/>
          <w:sz w:val="28"/>
          <w:szCs w:val="28"/>
        </w:rPr>
        <w:t>万元，政府采购服务支出</w:t>
      </w:r>
      <w:r>
        <w:rPr>
          <w:rFonts w:ascii="仿宋_GB2312" w:eastAsia="仿宋_GB2312"/>
          <w:sz w:val="28"/>
          <w:szCs w:val="28"/>
        </w:rPr>
        <w:t>209.25</w:t>
      </w:r>
      <w:r>
        <w:rPr>
          <w:rFonts w:hint="eastAsia" w:ascii="仿宋_GB2312" w:eastAsia="仿宋_GB2312"/>
          <w:sz w:val="28"/>
          <w:szCs w:val="28"/>
        </w:rPr>
        <w:t>万元。授予中小企业合同金额</w:t>
      </w:r>
      <w:r>
        <w:rPr>
          <w:rFonts w:ascii="仿宋_GB2312" w:eastAsia="仿宋_GB2312"/>
          <w:sz w:val="28"/>
          <w:szCs w:val="28"/>
          <w:highlight w:val="none"/>
        </w:rPr>
        <w:t>213.91</w:t>
      </w:r>
      <w:r>
        <w:rPr>
          <w:rFonts w:hint="eastAsia" w:ascii="仿宋_GB2312" w:eastAsia="仿宋_GB2312"/>
          <w:sz w:val="28"/>
          <w:szCs w:val="28"/>
        </w:rPr>
        <w:t>万元，占政府采购支出总额的</w:t>
      </w:r>
      <w:r>
        <w:rPr>
          <w:rFonts w:ascii="仿宋_GB2312" w:eastAsia="仿宋_GB2312"/>
          <w:sz w:val="28"/>
          <w:szCs w:val="28"/>
          <w:highlight w:val="none"/>
        </w:rPr>
        <w:t>100</w:t>
      </w:r>
      <w:r>
        <w:rPr>
          <w:rFonts w:hint="eastAsia" w:ascii="仿宋_GB2312" w:eastAsia="仿宋_GB2312"/>
          <w:sz w:val="28"/>
          <w:szCs w:val="28"/>
        </w:rPr>
        <w:t>%，其中：授予小微企业合同金额</w:t>
      </w:r>
      <w:r>
        <w:rPr>
          <w:rFonts w:ascii="仿宋_GB2312" w:eastAsia="仿宋_GB2312"/>
          <w:sz w:val="28"/>
          <w:szCs w:val="28"/>
          <w:highlight w:val="none"/>
        </w:rPr>
        <w:t>211.41</w:t>
      </w:r>
      <w:r>
        <w:rPr>
          <w:rFonts w:hint="eastAsia" w:ascii="仿宋_GB2312" w:eastAsia="仿宋_GB2312"/>
          <w:sz w:val="28"/>
          <w:szCs w:val="28"/>
        </w:rPr>
        <w:t>万元，占政府采购支出总额的</w:t>
      </w:r>
      <w:r>
        <w:rPr>
          <w:rFonts w:ascii="仿宋_GB2312" w:eastAsia="仿宋_GB2312"/>
          <w:sz w:val="28"/>
          <w:szCs w:val="28"/>
          <w:highlight w:val="none"/>
        </w:rPr>
        <w:t>98.83</w:t>
      </w:r>
      <w:r>
        <w:rPr>
          <w:rFonts w:hint="eastAsia" w:ascii="仿宋_GB2312" w:eastAsia="仿宋_GB2312"/>
          <w:sz w:val="28"/>
          <w:szCs w:val="28"/>
          <w:highlight w:val="none"/>
        </w:rPr>
        <w:t>%</w:t>
      </w:r>
      <w:r>
        <w:rPr>
          <w:rFonts w:hint="eastAsia" w:ascii="仿宋_GB2312" w:eastAsia="仿宋_GB2312"/>
          <w:sz w:val="28"/>
          <w:szCs w:val="28"/>
        </w:rPr>
        <w:t>。</w:t>
      </w:r>
    </w:p>
    <w:p>
      <w:pPr>
        <w:ind w:firstLine="560" w:firstLineChars="200"/>
        <w:rPr>
          <w:rFonts w:hint="eastAsia" w:ascii="黑体" w:eastAsia="黑体"/>
          <w:sz w:val="28"/>
          <w:szCs w:val="28"/>
          <w:highlight w:val="yellow"/>
        </w:rPr>
      </w:pPr>
      <w:r>
        <w:rPr>
          <w:rFonts w:hint="eastAsia" w:ascii="黑体" w:eastAsia="黑体"/>
          <w:sz w:val="28"/>
          <w:szCs w:val="28"/>
          <w:highlight w:val="none"/>
        </w:rPr>
        <w:t>四、国有资产占用情况</w:t>
      </w:r>
    </w:p>
    <w:p>
      <w:pPr>
        <w:ind w:firstLine="560" w:firstLineChars="200"/>
        <w:rPr>
          <w:rFonts w:ascii="仿宋_GB2312" w:eastAsia="仿宋_GB2312"/>
          <w:sz w:val="32"/>
          <w:szCs w:val="32"/>
        </w:rPr>
      </w:pPr>
      <w:r>
        <w:rPr>
          <w:rFonts w:hint="eastAsia" w:ascii="仿宋_GB2312" w:eastAsia="仿宋_GB2312"/>
          <w:sz w:val="28"/>
          <w:szCs w:val="28"/>
          <w:lang w:val="en-US" w:eastAsia="zh-CN"/>
        </w:rPr>
        <w:t>2023年度新购置车辆0</w:t>
      </w:r>
      <w:r>
        <w:rPr>
          <w:rFonts w:hint="eastAsia" w:ascii="仿宋_GB2312" w:eastAsia="仿宋_GB2312"/>
          <w:sz w:val="28"/>
          <w:szCs w:val="28"/>
        </w:rPr>
        <w:t>台，</w:t>
      </w:r>
      <w:r>
        <w:rPr>
          <w:rFonts w:hint="eastAsia" w:ascii="仿宋_GB2312" w:eastAsia="仿宋_GB2312"/>
          <w:sz w:val="28"/>
          <w:szCs w:val="28"/>
          <w:lang w:eastAsia="zh-CN"/>
        </w:rPr>
        <w:t>共计</w:t>
      </w:r>
      <w:r>
        <w:rPr>
          <w:rFonts w:hint="eastAsia" w:ascii="仿宋_GB2312" w:eastAsia="仿宋_GB2312"/>
          <w:sz w:val="28"/>
          <w:szCs w:val="28"/>
          <w:lang w:val="en-US" w:eastAsia="zh-CN"/>
        </w:rPr>
        <w:t>0</w:t>
      </w:r>
      <w:r>
        <w:rPr>
          <w:rFonts w:hint="eastAsia" w:ascii="仿宋_GB2312" w:eastAsia="仿宋_GB2312"/>
          <w:sz w:val="28"/>
          <w:szCs w:val="28"/>
        </w:rPr>
        <w:t>万元</w:t>
      </w:r>
      <w:r>
        <w:rPr>
          <w:rFonts w:hint="eastAsia" w:ascii="仿宋_GB2312" w:eastAsia="仿宋_GB2312"/>
          <w:sz w:val="28"/>
          <w:szCs w:val="28"/>
          <w:lang w:eastAsia="zh-CN"/>
        </w:rPr>
        <w:t>；新购置</w:t>
      </w:r>
      <w:r>
        <w:rPr>
          <w:rFonts w:hint="eastAsia" w:ascii="仿宋_GB2312" w:eastAsia="仿宋_GB2312"/>
          <w:sz w:val="28"/>
          <w:szCs w:val="28"/>
        </w:rPr>
        <w:t>单位价值100万元</w:t>
      </w:r>
      <w:r>
        <w:rPr>
          <w:rFonts w:hint="eastAsia" w:ascii="仿宋_GB2312" w:eastAsia="仿宋_GB2312"/>
          <w:sz w:val="28"/>
          <w:szCs w:val="28"/>
          <w:lang w:eastAsia="zh-CN"/>
        </w:rPr>
        <w:t>（含）</w:t>
      </w:r>
      <w:r>
        <w:rPr>
          <w:rFonts w:hint="eastAsia" w:ascii="仿宋_GB2312" w:eastAsia="仿宋_GB2312"/>
          <w:sz w:val="28"/>
          <w:szCs w:val="28"/>
        </w:rPr>
        <w:t>以上的设备</w:t>
      </w:r>
      <w:r>
        <w:rPr>
          <w:rFonts w:hint="eastAsia" w:ascii="仿宋_GB2312" w:eastAsia="仿宋_GB2312"/>
          <w:sz w:val="28"/>
          <w:szCs w:val="28"/>
          <w:lang w:val="en-US" w:eastAsia="zh-CN"/>
        </w:rPr>
        <w:t>0</w:t>
      </w:r>
      <w:r>
        <w:rPr>
          <w:rFonts w:hint="eastAsia" w:ascii="仿宋_GB2312" w:eastAsia="仿宋_GB2312"/>
          <w:sz w:val="28"/>
          <w:szCs w:val="28"/>
        </w:rPr>
        <w:t>台（套）</w:t>
      </w:r>
      <w:r>
        <w:rPr>
          <w:rFonts w:hint="eastAsia" w:ascii="仿宋_GB2312" w:eastAsia="仿宋_GB2312"/>
          <w:sz w:val="28"/>
          <w:szCs w:val="28"/>
          <w:lang w:eastAsia="zh-CN"/>
        </w:rPr>
        <w:t>，共计</w:t>
      </w:r>
      <w:r>
        <w:rPr>
          <w:rFonts w:hint="eastAsia" w:ascii="仿宋_GB2312" w:eastAsia="仿宋_GB2312"/>
          <w:sz w:val="28"/>
          <w:szCs w:val="28"/>
          <w:lang w:val="en-US" w:eastAsia="zh-CN"/>
        </w:rPr>
        <w:t>0</w:t>
      </w:r>
      <w:r>
        <w:rPr>
          <w:rFonts w:hint="eastAsia" w:ascii="仿宋_GB2312" w:eastAsia="仿宋_GB2312"/>
          <w:sz w:val="28"/>
          <w:szCs w:val="28"/>
        </w:rPr>
        <w:t>万元。</w:t>
      </w:r>
      <w:r>
        <w:rPr>
          <w:rFonts w:hint="eastAsia" w:ascii="仿宋_GB2312" w:eastAsia="仿宋_GB2312"/>
          <w:sz w:val="28"/>
          <w:szCs w:val="28"/>
          <w:lang w:eastAsia="zh-CN"/>
        </w:rPr>
        <w:t>截至</w:t>
      </w:r>
      <w:r>
        <w:rPr>
          <w:rFonts w:hint="eastAsia" w:ascii="仿宋_GB2312" w:eastAsia="仿宋_GB2312"/>
          <w:sz w:val="28"/>
          <w:szCs w:val="28"/>
          <w:lang w:val="en-US" w:eastAsia="zh-CN"/>
        </w:rPr>
        <w:t>12月31日，</w:t>
      </w:r>
      <w:r>
        <w:rPr>
          <w:rFonts w:hint="eastAsia" w:ascii="仿宋_GB2312" w:eastAsia="仿宋_GB2312"/>
          <w:sz w:val="28"/>
          <w:szCs w:val="28"/>
          <w:lang w:eastAsia="zh-CN"/>
        </w:rPr>
        <w:t>部门共有</w:t>
      </w:r>
      <w:r>
        <w:rPr>
          <w:rFonts w:hint="eastAsia" w:ascii="仿宋_GB2312" w:eastAsia="仿宋_GB2312"/>
          <w:sz w:val="28"/>
          <w:szCs w:val="28"/>
        </w:rPr>
        <w:t>车辆</w:t>
      </w:r>
      <w:r>
        <w:rPr>
          <w:rFonts w:hint="eastAsia" w:ascii="仿宋_GB2312" w:eastAsia="仿宋_GB2312"/>
          <w:sz w:val="28"/>
          <w:szCs w:val="28"/>
          <w:lang w:val="en-US" w:eastAsia="zh-CN"/>
        </w:rPr>
        <w:t>0</w:t>
      </w:r>
      <w:r>
        <w:rPr>
          <w:rFonts w:hint="eastAsia" w:ascii="仿宋_GB2312" w:eastAsia="仿宋_GB2312"/>
          <w:sz w:val="28"/>
          <w:szCs w:val="28"/>
        </w:rPr>
        <w:t>台，</w:t>
      </w:r>
      <w:r>
        <w:rPr>
          <w:rFonts w:hint="eastAsia" w:ascii="仿宋_GB2312" w:eastAsia="仿宋_GB2312"/>
          <w:sz w:val="28"/>
          <w:szCs w:val="28"/>
          <w:lang w:eastAsia="zh-CN"/>
        </w:rPr>
        <w:t>共计</w:t>
      </w:r>
      <w:r>
        <w:rPr>
          <w:rFonts w:hint="eastAsia" w:ascii="仿宋_GB2312" w:eastAsia="仿宋_GB2312"/>
          <w:sz w:val="28"/>
          <w:szCs w:val="28"/>
          <w:lang w:val="en-US" w:eastAsia="zh-CN"/>
        </w:rPr>
        <w:t>0</w:t>
      </w:r>
      <w:r>
        <w:rPr>
          <w:rFonts w:hint="eastAsia" w:ascii="仿宋_GB2312" w:eastAsia="仿宋_GB2312"/>
          <w:sz w:val="28"/>
          <w:szCs w:val="28"/>
        </w:rPr>
        <w:t>万元；单位价值100万元</w:t>
      </w:r>
      <w:r>
        <w:rPr>
          <w:rFonts w:hint="eastAsia" w:ascii="仿宋_GB2312" w:eastAsia="仿宋_GB2312"/>
          <w:sz w:val="28"/>
          <w:szCs w:val="28"/>
          <w:lang w:eastAsia="zh-CN"/>
        </w:rPr>
        <w:t>（含）</w:t>
      </w:r>
      <w:r>
        <w:rPr>
          <w:rFonts w:hint="eastAsia" w:ascii="仿宋_GB2312" w:eastAsia="仿宋_GB2312"/>
          <w:sz w:val="28"/>
          <w:szCs w:val="28"/>
        </w:rPr>
        <w:t>以上的设备</w:t>
      </w:r>
      <w:r>
        <w:rPr>
          <w:rFonts w:hint="eastAsia" w:ascii="仿宋_GB2312" w:eastAsia="仿宋_GB2312"/>
          <w:sz w:val="28"/>
          <w:szCs w:val="28"/>
          <w:lang w:val="en-US" w:eastAsia="zh-CN"/>
        </w:rPr>
        <w:t>0</w:t>
      </w:r>
      <w:r>
        <w:rPr>
          <w:rFonts w:hint="eastAsia" w:ascii="仿宋_GB2312" w:eastAsia="仿宋_GB2312"/>
          <w:sz w:val="28"/>
          <w:szCs w:val="28"/>
        </w:rPr>
        <w:t>台（套）</w:t>
      </w:r>
      <w:r>
        <w:rPr>
          <w:rFonts w:hint="eastAsia" w:ascii="仿宋_GB2312" w:eastAsia="仿宋_GB2312"/>
          <w:sz w:val="28"/>
          <w:szCs w:val="28"/>
          <w:lang w:eastAsia="zh-CN"/>
        </w:rPr>
        <w:t>，共计</w:t>
      </w:r>
      <w:r>
        <w:rPr>
          <w:rFonts w:hint="eastAsia" w:ascii="仿宋_GB2312" w:eastAsia="仿宋_GB2312"/>
          <w:sz w:val="28"/>
          <w:szCs w:val="28"/>
          <w:lang w:val="en-US" w:eastAsia="zh-CN"/>
        </w:rPr>
        <w:t>0</w:t>
      </w:r>
      <w:r>
        <w:rPr>
          <w:rFonts w:hint="eastAsia" w:ascii="仿宋_GB2312" w:eastAsia="仿宋_GB2312"/>
          <w:sz w:val="28"/>
          <w:szCs w:val="28"/>
        </w:rPr>
        <w:t>万元。</w:t>
      </w:r>
    </w:p>
    <w:p>
      <w:pPr>
        <w:ind w:firstLine="560" w:firstLineChars="200"/>
        <w:rPr>
          <w:rFonts w:ascii="黑体" w:eastAsia="黑体"/>
          <w:sz w:val="28"/>
          <w:szCs w:val="28"/>
        </w:rPr>
      </w:pPr>
      <w:r>
        <w:rPr>
          <w:rFonts w:hint="eastAsia" w:ascii="黑体" w:eastAsia="黑体"/>
          <w:sz w:val="28"/>
          <w:szCs w:val="28"/>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pPr>
        <w:ind w:firstLine="560" w:firstLineChars="200"/>
        <w:jc w:val="left"/>
        <w:rPr>
          <w:rFonts w:hint="eastAsia" w:ascii="仿宋_GB2312" w:eastAsia="仿宋_GB2312"/>
          <w:sz w:val="28"/>
          <w:szCs w:val="28"/>
          <w:lang w:eastAsia="zh-CN"/>
        </w:rPr>
      </w:pPr>
      <w:r>
        <w:rPr>
          <w:rFonts w:hint="eastAsia" w:ascii="仿宋_GB2312" w:eastAsia="仿宋_GB2312"/>
          <w:sz w:val="28"/>
          <w:szCs w:val="28"/>
          <w:lang w:eastAsia="zh-CN"/>
        </w:rPr>
        <w:t>本年度无此项支出。</w:t>
      </w:r>
    </w:p>
    <w:p>
      <w:pPr>
        <w:ind w:firstLine="560" w:firstLineChars="200"/>
        <w:jc w:val="left"/>
        <w:rPr>
          <w:rFonts w:hint="eastAsia" w:ascii="仿宋_GB2312" w:eastAsia="仿宋_GB2312"/>
          <w:color w:val="000000"/>
          <w:sz w:val="32"/>
          <w:szCs w:val="32"/>
        </w:rPr>
      </w:pPr>
      <w:r>
        <w:rPr>
          <w:rFonts w:hint="eastAsia" w:ascii="黑体" w:eastAsia="黑体"/>
          <w:sz w:val="28"/>
          <w:szCs w:val="28"/>
        </w:rPr>
        <w:t>六、</w:t>
      </w:r>
      <w:r>
        <w:rPr>
          <w:rFonts w:ascii="黑体" w:eastAsia="黑体"/>
          <w:sz w:val="28"/>
          <w:szCs w:val="28"/>
        </w:rPr>
        <w:t>专业名词解释</w:t>
      </w:r>
    </w:p>
    <w:p>
      <w:pPr>
        <w:keepNext w:val="0"/>
        <w:keepLines w:val="0"/>
        <w:pageBreakBefore w:val="0"/>
        <w:widowControl w:val="0"/>
        <w:kinsoku/>
        <w:wordWrap/>
        <w:overflowPunct/>
        <w:topLinePunct w:val="0"/>
        <w:autoSpaceDE/>
        <w:autoSpaceDN/>
        <w:bidi w:val="0"/>
        <w:adjustRightInd/>
        <w:ind w:firstLine="560" w:firstLineChars="200"/>
        <w:textAlignment w:val="auto"/>
        <w:rPr>
          <w:rFonts w:hint="eastAsia"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pPr>
        <w:keepNext w:val="0"/>
        <w:keepLines w:val="0"/>
        <w:pageBreakBefore w:val="0"/>
        <w:widowControl w:val="0"/>
        <w:kinsoku/>
        <w:wordWrap/>
        <w:overflowPunct/>
        <w:topLinePunct w:val="0"/>
        <w:autoSpaceDE/>
        <w:autoSpaceDN/>
        <w:bidi w:val="0"/>
        <w:adjustRightInd/>
        <w:ind w:firstLine="560" w:firstLineChars="200"/>
        <w:textAlignment w:val="auto"/>
        <w:rPr>
          <w:rFonts w:hint="eastAsia"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pPr>
        <w:keepNext w:val="0"/>
        <w:keepLines w:val="0"/>
        <w:pageBreakBefore w:val="0"/>
        <w:widowControl w:val="0"/>
        <w:kinsoku/>
        <w:wordWrap/>
        <w:overflowPunct/>
        <w:topLinePunct w:val="0"/>
        <w:autoSpaceDE/>
        <w:autoSpaceDN/>
        <w:bidi w:val="0"/>
        <w:adjustRightInd/>
        <w:ind w:firstLine="560" w:firstLineChars="200"/>
        <w:textAlignment w:val="auto"/>
        <w:rPr>
          <w:rFonts w:hint="eastAsia" w:ascii="仿宋_GB2312" w:hAnsi="宋体" w:eastAsia="仿宋_GB2312"/>
          <w:sz w:val="28"/>
          <w:szCs w:val="28"/>
        </w:rPr>
      </w:pPr>
      <w:r>
        <w:rPr>
          <w:rFonts w:hint="eastAsia" w:ascii="仿宋_GB2312" w:eastAsia="仿宋_GB2312"/>
          <w:sz w:val="28"/>
          <w:szCs w:val="28"/>
        </w:rPr>
        <w:t>3.“三公”经费：</w:t>
      </w:r>
      <w:r>
        <w:rPr>
          <w:rFonts w:hint="eastAsia" w:ascii="仿宋_GB2312" w:hAnsi="宋体" w:eastAsia="仿宋_GB2312"/>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pPr>
        <w:keepNext w:val="0"/>
        <w:keepLines w:val="0"/>
        <w:pageBreakBefore w:val="0"/>
        <w:widowControl w:val="0"/>
        <w:kinsoku/>
        <w:wordWrap/>
        <w:overflowPunct/>
        <w:topLinePunct w:val="0"/>
        <w:autoSpaceDE/>
        <w:autoSpaceDN/>
        <w:bidi w:val="0"/>
        <w:adjustRightInd/>
        <w:ind w:firstLine="560" w:firstLineChars="200"/>
        <w:textAlignment w:val="auto"/>
        <w:rPr>
          <w:rFonts w:hint="eastAsia" w:ascii="仿宋_GB2312" w:hAnsi="宋体" w:eastAsia="仿宋_GB2312"/>
          <w:sz w:val="28"/>
          <w:szCs w:val="28"/>
        </w:rPr>
      </w:pPr>
      <w:r>
        <w:rPr>
          <w:rFonts w:hint="eastAsia" w:ascii="仿宋_GB2312" w:eastAsia="仿宋_GB2312"/>
          <w:sz w:val="28"/>
          <w:szCs w:val="28"/>
        </w:rPr>
        <w:t>4</w:t>
      </w:r>
      <w:r>
        <w:rPr>
          <w:rFonts w:ascii="仿宋_GB2312" w:eastAsia="仿宋_GB2312"/>
          <w:sz w:val="28"/>
          <w:szCs w:val="28"/>
        </w:rPr>
        <w:t>.</w:t>
      </w:r>
      <w:r>
        <w:rPr>
          <w:rFonts w:hint="eastAsia" w:ascii="仿宋_GB2312" w:eastAsia="仿宋_GB2312"/>
          <w:sz w:val="28"/>
          <w:szCs w:val="28"/>
        </w:rPr>
        <w:t>机关运行经费：</w:t>
      </w:r>
      <w:r>
        <w:rPr>
          <w:rFonts w:hint="eastAsia" w:ascii="仿宋_GB2312" w:hAnsi="宋体" w:eastAsia="仿宋_GB2312"/>
          <w:sz w:val="28"/>
          <w:szCs w:val="28"/>
        </w:rPr>
        <w:t>指为</w:t>
      </w:r>
      <w:r>
        <w:rPr>
          <w:rFonts w:ascii="仿宋_GB2312" w:hAnsi="宋体" w:eastAsia="仿宋_GB2312"/>
          <w:sz w:val="28"/>
          <w:szCs w:val="28"/>
        </w:rPr>
        <w:t>保障</w:t>
      </w:r>
      <w:r>
        <w:rPr>
          <w:rFonts w:hint="eastAsia" w:ascii="仿宋_GB2312" w:hAnsi="宋体" w:eastAsia="仿宋_GB2312"/>
          <w:sz w:val="28"/>
          <w:szCs w:val="28"/>
        </w:rPr>
        <w:t>行政单位（含参照公务员法管理事业单位）运行用于</w:t>
      </w:r>
      <w:r>
        <w:rPr>
          <w:rFonts w:ascii="仿宋_GB2312" w:hAnsi="宋体" w:eastAsia="仿宋_GB2312"/>
          <w:sz w:val="28"/>
          <w:szCs w:val="28"/>
        </w:rPr>
        <w:t>购买货物和服务的各项资金</w:t>
      </w:r>
      <w:r>
        <w:rPr>
          <w:rFonts w:hint="eastAsia" w:ascii="仿宋_GB2312" w:hAnsi="宋体" w:eastAsia="仿宋_GB2312"/>
          <w:sz w:val="28"/>
          <w:szCs w:val="28"/>
        </w:rPr>
        <w:t>，包括办公及印刷费、邮电费、差旅费、会议费、福利费、日常维修费、专用材料及一般设备购置费、办公用房水电费、办公用房取暖费、办公用房物业管理费、公务用车运行维护费以及其他费用。</w:t>
      </w:r>
    </w:p>
    <w:p>
      <w:pPr>
        <w:keepNext w:val="0"/>
        <w:keepLines w:val="0"/>
        <w:pageBreakBefore w:val="0"/>
        <w:widowControl w:val="0"/>
        <w:kinsoku/>
        <w:wordWrap/>
        <w:overflowPunct/>
        <w:topLinePunct w:val="0"/>
        <w:autoSpaceDE/>
        <w:autoSpaceDN/>
        <w:bidi w:val="0"/>
        <w:adjustRightInd/>
        <w:ind w:firstLine="560" w:firstLineChars="200"/>
        <w:textAlignment w:val="auto"/>
        <w:rPr>
          <w:rFonts w:hint="eastAsia" w:ascii="仿宋_GB2312" w:eastAsia="仿宋_GB2312"/>
          <w:sz w:val="28"/>
          <w:szCs w:val="28"/>
        </w:rPr>
      </w:pPr>
      <w:r>
        <w:rPr>
          <w:rFonts w:hint="eastAsia" w:ascii="仿宋_GB2312" w:eastAsia="仿宋_GB2312"/>
          <w:sz w:val="28"/>
          <w:szCs w:val="28"/>
        </w:rPr>
        <w:t>5</w:t>
      </w:r>
      <w:r>
        <w:rPr>
          <w:rFonts w:ascii="仿宋_GB2312" w:eastAsia="仿宋_GB2312"/>
          <w:sz w:val="28"/>
          <w:szCs w:val="28"/>
        </w:rPr>
        <w:t>.</w:t>
      </w:r>
      <w:r>
        <w:rPr>
          <w:rFonts w:hint="eastAsia" w:ascii="仿宋_GB2312" w:eastAsia="仿宋_GB2312"/>
          <w:sz w:val="28"/>
          <w:szCs w:val="28"/>
        </w:rPr>
        <w:t>政府采购</w:t>
      </w:r>
      <w:r>
        <w:rPr>
          <w:rFonts w:ascii="仿宋_GB2312" w:eastAsia="仿宋_GB2312"/>
          <w:sz w:val="28"/>
          <w:szCs w:val="28"/>
        </w:rPr>
        <w:t>：</w:t>
      </w:r>
      <w:r>
        <w:rPr>
          <w:rFonts w:hint="eastAsia" w:ascii="仿宋_GB2312" w:eastAsia="仿宋_GB2312"/>
          <w:sz w:val="28"/>
          <w:szCs w:val="28"/>
        </w:rPr>
        <w:t>指</w:t>
      </w:r>
      <w:r>
        <w:rPr>
          <w:rFonts w:ascii="仿宋_GB2312" w:eastAsia="仿宋_GB2312"/>
          <w:sz w:val="28"/>
          <w:szCs w:val="28"/>
        </w:rPr>
        <w:t>各级国家机关、事业单位和团体组织，使用</w:t>
      </w:r>
      <w:r>
        <w:rPr>
          <w:rFonts w:hint="eastAsia" w:ascii="仿宋_GB2312" w:eastAsia="仿宋_GB2312"/>
          <w:sz w:val="28"/>
          <w:szCs w:val="28"/>
        </w:rPr>
        <w:t>财政性</w:t>
      </w:r>
      <w:r>
        <w:rPr>
          <w:rFonts w:ascii="仿宋_GB2312" w:eastAsia="仿宋_GB2312"/>
          <w:sz w:val="28"/>
          <w:szCs w:val="28"/>
        </w:rPr>
        <w:t>资金采购依法制定的集中目录以内的或者采购限额标准以上的货物、工程和服务的行为</w:t>
      </w:r>
      <w:r>
        <w:rPr>
          <w:rFonts w:hint="eastAsia" w:ascii="仿宋_GB2312" w:eastAsia="仿宋_GB2312"/>
          <w:sz w:val="28"/>
          <w:szCs w:val="28"/>
        </w:rPr>
        <w:t>，</w:t>
      </w:r>
      <w:r>
        <w:rPr>
          <w:rFonts w:ascii="仿宋_GB2312" w:eastAsia="仿宋_GB2312"/>
          <w:sz w:val="28"/>
          <w:szCs w:val="28"/>
        </w:rPr>
        <w:t>是规范财政支出管理和强化预算约束的有效措施。</w:t>
      </w:r>
    </w:p>
    <w:p>
      <w:pPr>
        <w:keepNext w:val="0"/>
        <w:keepLines w:val="0"/>
        <w:pageBreakBefore w:val="0"/>
        <w:widowControl w:val="0"/>
        <w:kinsoku/>
        <w:wordWrap/>
        <w:overflowPunct/>
        <w:topLinePunct w:val="0"/>
        <w:autoSpaceDE/>
        <w:autoSpaceDN/>
        <w:bidi w:val="0"/>
        <w:adjustRightInd/>
        <w:ind w:firstLine="560" w:firstLineChars="200"/>
        <w:textAlignment w:val="auto"/>
        <w:rPr>
          <w:rFonts w:hint="eastAsia" w:ascii="仿宋_GB2312" w:eastAsia="仿宋_GB2312"/>
          <w:sz w:val="28"/>
          <w:szCs w:val="28"/>
        </w:rPr>
      </w:pPr>
      <w:r>
        <w:rPr>
          <w:rFonts w:hint="eastAsia" w:ascii="仿宋_GB2312" w:eastAsia="仿宋_GB2312"/>
          <w:sz w:val="28"/>
          <w:szCs w:val="28"/>
        </w:rPr>
        <w:t>6</w:t>
      </w:r>
      <w:r>
        <w:rPr>
          <w:rFonts w:ascii="仿宋_GB2312" w:eastAsia="仿宋_GB2312"/>
          <w:sz w:val="28"/>
          <w:szCs w:val="28"/>
        </w:rPr>
        <w:t>.政府购买服务：</w:t>
      </w:r>
      <w:r>
        <w:rPr>
          <w:rFonts w:hint="eastAsia" w:ascii="仿宋_GB2312" w:eastAsia="仿宋_GB2312"/>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pPr>
        <w:keepNext w:val="0"/>
        <w:keepLines w:val="0"/>
        <w:pageBreakBefore w:val="0"/>
        <w:widowControl w:val="0"/>
        <w:kinsoku/>
        <w:wordWrap/>
        <w:overflowPunct/>
        <w:topLinePunct w:val="0"/>
        <w:autoSpaceDE/>
        <w:autoSpaceDN/>
        <w:bidi w:val="0"/>
        <w:adjustRightInd/>
        <w:ind w:firstLine="560" w:firstLineChars="200"/>
        <w:textAlignment w:val="auto"/>
        <w:rPr>
          <w:rFonts w:hint="eastAsia" w:ascii="仿宋_GB2312" w:hAnsi="Times New Roman" w:eastAsia="仿宋_GB2312" w:cs="Times New Roman"/>
          <w:sz w:val="28"/>
          <w:szCs w:val="28"/>
          <w:lang w:val="en-US" w:eastAsia="zh-CN"/>
        </w:rPr>
      </w:pPr>
      <w:r>
        <w:rPr>
          <w:rFonts w:hint="eastAsia" w:ascii="仿宋_GB2312" w:hAnsi="Times New Roman" w:eastAsia="仿宋_GB2312" w:cs="Times New Roman"/>
          <w:sz w:val="28"/>
          <w:szCs w:val="28"/>
          <w:lang w:val="en-US" w:eastAsia="zh-CN"/>
        </w:rPr>
        <w:t>7.</w:t>
      </w:r>
      <w:r>
        <w:rPr>
          <w:rFonts w:hint="eastAsia" w:ascii="仿宋_GB2312" w:eastAsia="仿宋_GB2312"/>
          <w:sz w:val="28"/>
          <w:szCs w:val="28"/>
          <w:lang w:eastAsia="zh-CN"/>
        </w:rPr>
        <w:t>教育支出</w:t>
      </w:r>
      <w:r>
        <w:rPr>
          <w:rFonts w:hint="eastAsia" w:ascii="仿宋_GB2312" w:hAnsi="Times New Roman" w:eastAsia="仿宋_GB2312" w:cs="Times New Roman"/>
          <w:sz w:val="28"/>
          <w:szCs w:val="28"/>
          <w:lang w:val="en-US" w:eastAsia="zh-CN"/>
        </w:rPr>
        <w:t>（类）</w:t>
      </w:r>
      <w:r>
        <w:rPr>
          <w:rFonts w:hint="eastAsia" w:ascii="仿宋_GB2312" w:eastAsia="仿宋_GB2312"/>
          <w:sz w:val="28"/>
          <w:szCs w:val="28"/>
          <w:lang w:eastAsia="zh-CN"/>
        </w:rPr>
        <w:t>进修及培训</w:t>
      </w:r>
      <w:r>
        <w:rPr>
          <w:rFonts w:hint="eastAsia" w:ascii="仿宋_GB2312" w:hAnsi="Times New Roman" w:eastAsia="仿宋_GB2312" w:cs="Times New Roman"/>
          <w:sz w:val="28"/>
          <w:szCs w:val="28"/>
          <w:lang w:val="en-US" w:eastAsia="zh-CN"/>
        </w:rPr>
        <w:t>（款）培训支出（项）：反映各部门安排的用于培训的支出。教育部门的师资培训，党校、行政学院等专业干部教育机构的支出，以及退役士兵、转业士官的培训支出，不在本科目反映。</w:t>
      </w:r>
    </w:p>
    <w:p>
      <w:pPr>
        <w:pStyle w:val="7"/>
        <w:keepNext w:val="0"/>
        <w:keepLines w:val="0"/>
        <w:pageBreakBefore w:val="0"/>
        <w:widowControl w:val="0"/>
        <w:kinsoku/>
        <w:wordWrap/>
        <w:overflowPunct/>
        <w:topLinePunct w:val="0"/>
        <w:autoSpaceDE/>
        <w:autoSpaceDN/>
        <w:bidi w:val="0"/>
        <w:adjustRightInd/>
        <w:ind w:firstLine="360" w:firstLineChars="200"/>
        <w:textAlignment w:val="auto"/>
        <w:rPr>
          <w:rFonts w:hint="default"/>
          <w:lang w:val="en-US" w:eastAsia="zh-CN"/>
        </w:rPr>
      </w:pPr>
    </w:p>
    <w:p>
      <w:pPr>
        <w:keepNext w:val="0"/>
        <w:keepLines w:val="0"/>
        <w:pageBreakBefore w:val="0"/>
        <w:widowControl w:val="0"/>
        <w:kinsoku/>
        <w:wordWrap/>
        <w:overflowPunct/>
        <w:topLinePunct w:val="0"/>
        <w:autoSpaceDE/>
        <w:autoSpaceDN/>
        <w:bidi w:val="0"/>
        <w:adjustRightInd/>
        <w:ind w:firstLine="560" w:firstLineChars="200"/>
        <w:textAlignment w:val="auto"/>
        <w:rPr>
          <w:rFonts w:hint="default" w:ascii="仿宋_GB2312" w:hAnsi="Times New Roman" w:eastAsia="仿宋_GB2312" w:cs="Times New Roman"/>
          <w:sz w:val="28"/>
          <w:szCs w:val="28"/>
          <w:lang w:val="en-US" w:eastAsia="zh-CN"/>
        </w:rPr>
      </w:pPr>
      <w:r>
        <w:rPr>
          <w:rFonts w:hint="eastAsia" w:ascii="仿宋_GB2312" w:hAnsi="Times New Roman" w:eastAsia="仿宋_GB2312" w:cs="Times New Roman"/>
          <w:sz w:val="28"/>
          <w:szCs w:val="28"/>
          <w:lang w:val="en-US" w:eastAsia="zh-CN"/>
        </w:rPr>
        <w:t>8.社会保障和就业支出（类）行政事业单位养老支出（款）行政单位离退休（项）：反映行政单位（包括实行公务员管理的事业单位）开支的离退休经费。</w:t>
      </w:r>
    </w:p>
    <w:p>
      <w:pPr>
        <w:keepNext w:val="0"/>
        <w:keepLines w:val="0"/>
        <w:pageBreakBefore w:val="0"/>
        <w:widowControl w:val="0"/>
        <w:kinsoku/>
        <w:wordWrap/>
        <w:overflowPunct/>
        <w:topLinePunct w:val="0"/>
        <w:autoSpaceDE/>
        <w:autoSpaceDN/>
        <w:bidi w:val="0"/>
        <w:adjustRightInd/>
        <w:ind w:firstLine="560" w:firstLineChars="200"/>
        <w:textAlignment w:val="auto"/>
        <w:rPr>
          <w:rFonts w:hint="default" w:ascii="仿宋_GB2312" w:hAnsi="Times New Roman" w:eastAsia="仿宋_GB2312" w:cs="Times New Roman"/>
          <w:sz w:val="28"/>
          <w:szCs w:val="28"/>
          <w:lang w:val="en-US" w:eastAsia="zh-CN"/>
        </w:rPr>
      </w:pPr>
      <w:r>
        <w:rPr>
          <w:rFonts w:hint="eastAsia" w:ascii="仿宋_GB2312" w:hAnsi="Times New Roman" w:eastAsia="仿宋_GB2312" w:cs="Times New Roman"/>
          <w:sz w:val="28"/>
          <w:szCs w:val="28"/>
          <w:lang w:val="en-US" w:eastAsia="zh-CN"/>
        </w:rPr>
        <w:t>9.社会保障和就业支出（类）行政事业单位养老支出（款）事业单位离退休（项）：反映事业单位开支的离退休经费。</w:t>
      </w:r>
    </w:p>
    <w:p>
      <w:pPr>
        <w:keepNext w:val="0"/>
        <w:keepLines w:val="0"/>
        <w:pageBreakBefore w:val="0"/>
        <w:widowControl w:val="0"/>
        <w:kinsoku/>
        <w:wordWrap/>
        <w:overflowPunct/>
        <w:topLinePunct w:val="0"/>
        <w:autoSpaceDE/>
        <w:autoSpaceDN/>
        <w:bidi w:val="0"/>
        <w:adjustRightInd/>
        <w:ind w:firstLine="560" w:firstLineChars="200"/>
        <w:textAlignment w:val="auto"/>
        <w:rPr>
          <w:rFonts w:hint="default" w:ascii="仿宋_GB2312" w:hAnsi="Times New Roman" w:eastAsia="仿宋_GB2312" w:cs="Times New Roman"/>
          <w:sz w:val="28"/>
          <w:szCs w:val="28"/>
          <w:lang w:val="en-US" w:eastAsia="zh-CN"/>
        </w:rPr>
      </w:pPr>
      <w:r>
        <w:rPr>
          <w:rFonts w:hint="eastAsia" w:ascii="仿宋_GB2312" w:hAnsi="Times New Roman" w:eastAsia="仿宋_GB2312" w:cs="Times New Roman"/>
          <w:sz w:val="28"/>
          <w:szCs w:val="28"/>
          <w:lang w:val="en-US" w:eastAsia="zh-CN"/>
        </w:rPr>
        <w:t>10.社会保障和就业支出（类）行政事业单位养老支出（款）机关事业单位基本养老保险缴费支出（项）：反映机关事业单位实施养老保险制度由单位缴纳的基本养老保险费支出。</w:t>
      </w:r>
    </w:p>
    <w:p>
      <w:pPr>
        <w:keepNext w:val="0"/>
        <w:keepLines w:val="0"/>
        <w:pageBreakBefore w:val="0"/>
        <w:widowControl w:val="0"/>
        <w:kinsoku/>
        <w:wordWrap/>
        <w:overflowPunct/>
        <w:topLinePunct w:val="0"/>
        <w:autoSpaceDE/>
        <w:autoSpaceDN/>
        <w:bidi w:val="0"/>
        <w:adjustRightInd/>
        <w:ind w:firstLine="560" w:firstLineChars="200"/>
        <w:textAlignment w:val="auto"/>
        <w:rPr>
          <w:rFonts w:hint="default" w:ascii="仿宋_GB2312" w:hAnsi="Times New Roman" w:eastAsia="仿宋_GB2312" w:cs="Times New Roman"/>
          <w:sz w:val="28"/>
          <w:szCs w:val="28"/>
          <w:lang w:val="en-US" w:eastAsia="zh-CN"/>
        </w:rPr>
      </w:pPr>
      <w:r>
        <w:rPr>
          <w:rFonts w:hint="eastAsia" w:ascii="仿宋_GB2312" w:hAnsi="Times New Roman" w:eastAsia="仿宋_GB2312" w:cs="Times New Roman"/>
          <w:sz w:val="28"/>
          <w:szCs w:val="28"/>
          <w:lang w:val="en-US" w:eastAsia="zh-CN"/>
        </w:rPr>
        <w:t>11.社会保障和就业支出（类）行政事业单位养老支出（款）机关事业单位职业年金缴费支出（项）：反映机关事业单位实施养老保险制度由单位实际缴纳的职业年金支出。</w:t>
      </w:r>
    </w:p>
    <w:p>
      <w:pPr>
        <w:keepNext w:val="0"/>
        <w:keepLines w:val="0"/>
        <w:pageBreakBefore w:val="0"/>
        <w:widowControl w:val="0"/>
        <w:kinsoku/>
        <w:wordWrap/>
        <w:overflowPunct/>
        <w:topLinePunct w:val="0"/>
        <w:autoSpaceDE/>
        <w:autoSpaceDN/>
        <w:bidi w:val="0"/>
        <w:adjustRightInd/>
        <w:ind w:firstLine="560" w:firstLineChars="200"/>
        <w:textAlignment w:val="auto"/>
        <w:rPr>
          <w:rFonts w:hint="eastAsia" w:ascii="仿宋_GB2312" w:hAnsi="Times New Roman" w:eastAsia="仿宋_GB2312" w:cs="Times New Roman"/>
          <w:sz w:val="28"/>
          <w:szCs w:val="28"/>
          <w:lang w:val="en-US" w:eastAsia="zh-CN"/>
        </w:rPr>
      </w:pPr>
      <w:r>
        <w:rPr>
          <w:rFonts w:hint="eastAsia" w:ascii="仿宋_GB2312" w:hAnsi="Times New Roman" w:eastAsia="仿宋_GB2312" w:cs="Times New Roman"/>
          <w:sz w:val="28"/>
          <w:szCs w:val="28"/>
          <w:lang w:val="en-US" w:eastAsia="zh-CN"/>
        </w:rPr>
        <w:t>12.卫生健康支出（类）行政事业单位医疗（款）行政单位医疗（项）：反映财政部门安排的行政单位(包括实行公务员管理的事业单位)基本医疗保险缴费经费，未参加医疗保险的行政单位的公费医疗经费，按国家规定享受离休人员、红军老战士待遇人员的医疗经费。</w:t>
      </w:r>
    </w:p>
    <w:p>
      <w:pPr>
        <w:keepNext w:val="0"/>
        <w:keepLines w:val="0"/>
        <w:pageBreakBefore w:val="0"/>
        <w:widowControl w:val="0"/>
        <w:kinsoku/>
        <w:wordWrap/>
        <w:overflowPunct/>
        <w:topLinePunct w:val="0"/>
        <w:autoSpaceDE/>
        <w:autoSpaceDN/>
        <w:bidi w:val="0"/>
        <w:adjustRightInd/>
        <w:ind w:firstLine="560" w:firstLineChars="200"/>
        <w:textAlignment w:val="auto"/>
        <w:rPr>
          <w:rFonts w:hint="eastAsia" w:ascii="仿宋_GB2312" w:hAnsi="Times New Roman" w:eastAsia="仿宋_GB2312" w:cs="Times New Roman"/>
          <w:sz w:val="28"/>
          <w:szCs w:val="28"/>
          <w:lang w:val="en-US" w:eastAsia="zh-CN"/>
        </w:rPr>
      </w:pPr>
      <w:r>
        <w:rPr>
          <w:rFonts w:hint="eastAsia" w:ascii="仿宋_GB2312" w:hAnsi="Times New Roman" w:eastAsia="仿宋_GB2312" w:cs="Times New Roman"/>
          <w:sz w:val="28"/>
          <w:szCs w:val="28"/>
          <w:lang w:val="en-US" w:eastAsia="zh-CN"/>
        </w:rPr>
        <w:t>13.卫生健康支出（类）行政事业单位医疗（款）事业单位医疗（项）：反映财政部门安排的事业单位基本医疗保险缴费经费，未参加医疗保险的事业单位的公费医疗经费，按国家规定享受离休人员待遇的医疗经费。</w:t>
      </w:r>
    </w:p>
    <w:p>
      <w:pPr>
        <w:keepNext w:val="0"/>
        <w:keepLines w:val="0"/>
        <w:pageBreakBefore w:val="0"/>
        <w:widowControl w:val="0"/>
        <w:kinsoku/>
        <w:wordWrap/>
        <w:overflowPunct/>
        <w:topLinePunct w:val="0"/>
        <w:autoSpaceDE/>
        <w:autoSpaceDN/>
        <w:bidi w:val="0"/>
        <w:adjustRightInd/>
        <w:ind w:firstLine="560" w:firstLineChars="200"/>
        <w:textAlignment w:val="auto"/>
        <w:rPr>
          <w:rFonts w:hint="eastAsia" w:ascii="仿宋_GB2312" w:hAnsi="Times New Roman" w:eastAsia="仿宋_GB2312" w:cs="Times New Roman"/>
          <w:sz w:val="28"/>
          <w:szCs w:val="28"/>
          <w:lang w:val="en-US" w:eastAsia="zh-CN"/>
        </w:rPr>
      </w:pPr>
      <w:r>
        <w:rPr>
          <w:rFonts w:hint="eastAsia" w:ascii="仿宋_GB2312" w:hAnsi="Times New Roman" w:eastAsia="仿宋_GB2312" w:cs="Times New Roman"/>
          <w:sz w:val="28"/>
          <w:szCs w:val="28"/>
          <w:lang w:val="en-US" w:eastAsia="zh-CN"/>
        </w:rPr>
        <w:t>14.自然资源海洋气象等支出（类）自然资源事务（款）行政运行（项）：反映行政单位(包括实行公务员管理的事业单位)的基本支出。</w:t>
      </w:r>
    </w:p>
    <w:p>
      <w:pPr>
        <w:keepNext w:val="0"/>
        <w:keepLines w:val="0"/>
        <w:pageBreakBefore w:val="0"/>
        <w:widowControl w:val="0"/>
        <w:kinsoku/>
        <w:wordWrap/>
        <w:overflowPunct/>
        <w:topLinePunct w:val="0"/>
        <w:autoSpaceDE/>
        <w:autoSpaceDN/>
        <w:bidi w:val="0"/>
        <w:adjustRightInd/>
        <w:ind w:firstLine="560" w:firstLineChars="200"/>
        <w:textAlignment w:val="auto"/>
        <w:rPr>
          <w:rFonts w:hint="eastAsia" w:ascii="仿宋_GB2312" w:hAnsi="Times New Roman" w:eastAsia="仿宋_GB2312" w:cs="Times New Roman"/>
          <w:sz w:val="28"/>
          <w:szCs w:val="28"/>
          <w:lang w:val="en-US" w:eastAsia="zh-CN"/>
        </w:rPr>
      </w:pPr>
      <w:r>
        <w:rPr>
          <w:rFonts w:hint="eastAsia" w:ascii="仿宋_GB2312" w:hAnsi="Times New Roman" w:eastAsia="仿宋_GB2312" w:cs="Times New Roman"/>
          <w:sz w:val="28"/>
          <w:szCs w:val="28"/>
          <w:lang w:val="en-US" w:eastAsia="zh-CN"/>
        </w:rPr>
        <w:t>15.自然资源海洋气象等支出（类）自然资源事务（款）一般行政管理事务（项）：反映行政单位(包括实行公务员管理的事业单位)未单独设置项级科目的其他项目支出。</w:t>
      </w:r>
    </w:p>
    <w:p>
      <w:pPr>
        <w:keepNext w:val="0"/>
        <w:keepLines w:val="0"/>
        <w:pageBreakBefore w:val="0"/>
        <w:widowControl w:val="0"/>
        <w:kinsoku/>
        <w:wordWrap/>
        <w:overflowPunct/>
        <w:topLinePunct w:val="0"/>
        <w:autoSpaceDE/>
        <w:autoSpaceDN/>
        <w:bidi w:val="0"/>
        <w:adjustRightInd/>
        <w:ind w:firstLine="560" w:firstLineChars="200"/>
        <w:textAlignment w:val="auto"/>
        <w:rPr>
          <w:rFonts w:hint="default" w:ascii="仿宋_GB2312" w:hAnsi="Times New Roman" w:eastAsia="仿宋_GB2312" w:cs="Times New Roman"/>
          <w:sz w:val="28"/>
          <w:szCs w:val="28"/>
          <w:lang w:val="en-US" w:eastAsia="zh-CN"/>
        </w:rPr>
      </w:pPr>
      <w:r>
        <w:rPr>
          <w:rFonts w:hint="eastAsia" w:ascii="仿宋_GB2312" w:hAnsi="Times New Roman" w:eastAsia="仿宋_GB2312" w:cs="Times New Roman"/>
          <w:sz w:val="28"/>
          <w:szCs w:val="28"/>
          <w:lang w:val="en-US" w:eastAsia="zh-CN"/>
        </w:rPr>
        <w:t>16.</w:t>
      </w:r>
      <w:r>
        <w:rPr>
          <w:rFonts w:hint="eastAsia" w:ascii="仿宋_GB2312" w:eastAsia="仿宋_GB2312"/>
          <w:sz w:val="28"/>
          <w:szCs w:val="28"/>
          <w:lang w:val="en-US" w:eastAsia="zh-CN"/>
        </w:rPr>
        <w:t>自然资源海洋气象等支出</w:t>
      </w:r>
      <w:r>
        <w:rPr>
          <w:rFonts w:hint="eastAsia" w:ascii="仿宋_GB2312" w:hAnsi="Times New Roman" w:eastAsia="仿宋_GB2312" w:cs="Times New Roman"/>
          <w:sz w:val="28"/>
          <w:szCs w:val="28"/>
          <w:lang w:val="en-US" w:eastAsia="zh-CN"/>
        </w:rPr>
        <w:t>（类）自然资源事务（款）其他自然资源事务支出（项）：反映除本款级科目下其他项级科目以外其他用于自然资源事务方面的支出。</w:t>
      </w:r>
    </w:p>
    <w:p>
      <w:pPr>
        <w:numPr>
          <w:ilvl w:val="0"/>
          <w:numId w:val="0"/>
        </w:numPr>
        <w:rPr>
          <w:rFonts w:hint="eastAsia" w:ascii="仿宋_GB2312" w:eastAsia="仿宋_GB2312"/>
          <w:sz w:val="28"/>
          <w:szCs w:val="28"/>
          <w:lang w:val="en-US" w:eastAsia="zh-CN"/>
        </w:rPr>
      </w:pPr>
    </w:p>
    <w:p>
      <w:pPr>
        <w:ind w:firstLine="632" w:firstLineChars="200"/>
        <w:rPr>
          <w:rFonts w:hint="eastAsia" w:ascii="仿宋_GB2312" w:hAnsi="Times New Roman" w:eastAsia="仿宋_GB2312" w:cs="Times New Roman"/>
          <w:b/>
          <w:color w:val="000000"/>
          <w:spacing w:val="-2"/>
          <w:sz w:val="32"/>
          <w:szCs w:val="32"/>
        </w:rPr>
      </w:pPr>
    </w:p>
    <w:p>
      <w:pPr>
        <w:ind w:firstLine="640" w:firstLineChars="200"/>
        <w:jc w:val="center"/>
        <w:rPr>
          <w:rFonts w:ascii="黑体" w:eastAsia="黑体"/>
          <w:sz w:val="32"/>
          <w:szCs w:val="32"/>
        </w:rPr>
      </w:pPr>
    </w:p>
    <w:p>
      <w:pPr>
        <w:ind w:firstLine="640" w:firstLineChars="200"/>
        <w:jc w:val="center"/>
        <w:rPr>
          <w:rFonts w:hint="eastAsia" w:ascii="黑体" w:eastAsia="黑体"/>
          <w:sz w:val="32"/>
          <w:szCs w:val="32"/>
        </w:rPr>
      </w:pPr>
    </w:p>
    <w:p>
      <w:pPr>
        <w:ind w:firstLine="640" w:firstLineChars="200"/>
        <w:jc w:val="center"/>
        <w:rPr>
          <w:rFonts w:hint="eastAsia" w:ascii="黑体" w:eastAsia="黑体"/>
          <w:sz w:val="32"/>
          <w:szCs w:val="32"/>
        </w:rPr>
      </w:pPr>
    </w:p>
    <w:p>
      <w:pPr>
        <w:ind w:firstLine="640" w:firstLineChars="200"/>
        <w:jc w:val="center"/>
        <w:rPr>
          <w:rFonts w:hint="eastAsia" w:ascii="黑体" w:eastAsia="黑体"/>
          <w:sz w:val="32"/>
          <w:szCs w:val="32"/>
        </w:rPr>
      </w:pPr>
    </w:p>
    <w:p>
      <w:pPr>
        <w:ind w:firstLine="640" w:firstLineChars="200"/>
        <w:jc w:val="center"/>
        <w:rPr>
          <w:rFonts w:hint="eastAsia" w:ascii="黑体" w:eastAsia="黑体"/>
          <w:sz w:val="32"/>
          <w:szCs w:val="32"/>
        </w:rPr>
      </w:pPr>
    </w:p>
    <w:p>
      <w:pPr>
        <w:ind w:firstLine="640" w:firstLineChars="200"/>
        <w:jc w:val="center"/>
        <w:rPr>
          <w:rFonts w:hint="eastAsia" w:ascii="黑体" w:eastAsia="黑体"/>
          <w:sz w:val="32"/>
          <w:szCs w:val="32"/>
        </w:rPr>
      </w:pPr>
    </w:p>
    <w:p>
      <w:pPr>
        <w:ind w:firstLine="640" w:firstLineChars="200"/>
        <w:jc w:val="center"/>
        <w:rPr>
          <w:rFonts w:hint="eastAsia" w:ascii="黑体" w:eastAsia="黑体"/>
          <w:sz w:val="32"/>
          <w:szCs w:val="32"/>
        </w:rPr>
      </w:pPr>
    </w:p>
    <w:p>
      <w:pPr>
        <w:ind w:firstLine="640" w:firstLineChars="200"/>
        <w:jc w:val="center"/>
        <w:rPr>
          <w:rFonts w:hint="eastAsia" w:ascii="黑体" w:eastAsia="黑体"/>
          <w:sz w:val="32"/>
          <w:szCs w:val="32"/>
        </w:rPr>
      </w:pPr>
    </w:p>
    <w:p>
      <w:pPr>
        <w:ind w:firstLine="640" w:firstLineChars="200"/>
        <w:jc w:val="center"/>
        <w:rPr>
          <w:rFonts w:hint="eastAsia" w:ascii="黑体" w:eastAsia="黑体"/>
          <w:sz w:val="32"/>
          <w:szCs w:val="32"/>
        </w:rPr>
      </w:pPr>
    </w:p>
    <w:p>
      <w:pPr>
        <w:ind w:firstLine="640" w:firstLineChars="200"/>
        <w:jc w:val="center"/>
        <w:rPr>
          <w:rFonts w:hint="eastAsia" w:ascii="黑体" w:eastAsia="黑体"/>
          <w:sz w:val="32"/>
          <w:szCs w:val="32"/>
        </w:rPr>
      </w:pPr>
    </w:p>
    <w:p>
      <w:pPr>
        <w:ind w:firstLine="640" w:firstLineChars="200"/>
        <w:jc w:val="center"/>
        <w:rPr>
          <w:rFonts w:hint="eastAsia" w:ascii="黑体" w:eastAsia="黑体"/>
          <w:sz w:val="32"/>
          <w:szCs w:val="32"/>
        </w:rPr>
      </w:pPr>
      <w:r>
        <w:rPr>
          <w:rFonts w:hint="eastAsia" w:ascii="黑体" w:eastAsia="黑体"/>
          <w:sz w:val="32"/>
          <w:szCs w:val="32"/>
        </w:rPr>
        <w:t>第四部分  202</w:t>
      </w:r>
      <w:r>
        <w:rPr>
          <w:rFonts w:hint="eastAsia" w:ascii="黑体" w:eastAsia="黑体"/>
          <w:sz w:val="32"/>
          <w:szCs w:val="32"/>
          <w:lang w:val="en-US" w:eastAsia="zh-CN"/>
        </w:rPr>
        <w:t>3</w:t>
      </w:r>
      <w:r>
        <w:rPr>
          <w:rFonts w:hint="eastAsia" w:ascii="黑体" w:eastAsia="黑体"/>
          <w:sz w:val="32"/>
          <w:szCs w:val="32"/>
        </w:rPr>
        <w:t>年度部门绩效评价情况</w:t>
      </w:r>
    </w:p>
    <w:p>
      <w:pPr>
        <w:ind w:firstLine="560" w:firstLineChars="200"/>
        <w:rPr>
          <w:rFonts w:hint="eastAsia" w:ascii="黑体" w:eastAsia="黑体"/>
          <w:sz w:val="28"/>
          <w:szCs w:val="28"/>
          <w:highlight w:val="yellow"/>
        </w:rPr>
      </w:pP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ascii="黑体" w:eastAsia="黑体"/>
          <w:sz w:val="28"/>
          <w:szCs w:val="28"/>
        </w:rPr>
      </w:pPr>
      <w:r>
        <w:rPr>
          <w:rFonts w:hint="eastAsia" w:ascii="黑体" w:eastAsia="黑体"/>
          <w:sz w:val="28"/>
          <w:szCs w:val="28"/>
        </w:rPr>
        <w:t>项目</w:t>
      </w:r>
      <w:r>
        <w:rPr>
          <w:rFonts w:ascii="黑体" w:eastAsia="黑体"/>
          <w:sz w:val="28"/>
          <w:szCs w:val="28"/>
        </w:rPr>
        <w:t>支出绩效自评表</w:t>
      </w:r>
      <w:r>
        <w:rPr>
          <w:rFonts w:hint="eastAsia" w:ascii="黑体" w:eastAsia="黑体"/>
          <w:sz w:val="28"/>
          <w:szCs w:val="28"/>
          <w:lang w:eastAsia="zh-CN"/>
        </w:rPr>
        <w:t>（详见附件</w:t>
      </w:r>
      <w:r>
        <w:rPr>
          <w:rFonts w:hint="eastAsia" w:ascii="黑体" w:eastAsia="黑体"/>
          <w:sz w:val="28"/>
          <w:szCs w:val="28"/>
          <w:lang w:val="en-US" w:eastAsia="zh-CN"/>
        </w:rPr>
        <w:t>2</w:t>
      </w:r>
      <w:r>
        <w:rPr>
          <w:rFonts w:hint="eastAsia" w:ascii="黑体" w:eastAsia="黑体"/>
          <w:sz w:val="28"/>
          <w:szCs w:val="28"/>
          <w:lang w:eastAsia="zh-CN"/>
        </w:rPr>
        <w:t>）</w:t>
      </w:r>
    </w:p>
    <w:p>
      <w:pPr>
        <w:rPr>
          <w:rFonts w:hint="eastAsia"/>
        </w:rPr>
      </w:pPr>
    </w:p>
    <w:p>
      <w:pPr>
        <w:pStyle w:val="3"/>
        <w:rPr>
          <w:rFonts w:hint="eastAsia"/>
        </w:rPr>
      </w:pPr>
    </w:p>
    <w:p>
      <w:pPr>
        <w:rPr>
          <w:rFonts w:hint="eastAsia"/>
        </w:rPr>
      </w:pPr>
    </w:p>
    <w:sectPr>
      <w:footerReference r:id="rId4" w:type="default"/>
      <w:footerReference r:id="rId5"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_GB2312">
    <w:panose1 w:val="02010609030101010101"/>
    <w:charset w:val="86"/>
    <w:family w:val="auto"/>
    <w:pitch w:val="default"/>
    <w:sig w:usb0="00000001" w:usb1="080E0000" w:usb2="00000000" w:usb3="00000000" w:csb0="00040000"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14</w:t>
    </w:r>
    <w:r>
      <w:fldChar w:fldCharType="end"/>
    </w:r>
  </w:p>
  <w:p>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23</w:t>
    </w:r>
    <w:r>
      <w:fldChar w:fldCharType="end"/>
    </w:r>
  </w:p>
  <w:p>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15</w:t>
    </w:r>
    <w:r>
      <w:fldChar w:fldCharType="end"/>
    </w:r>
  </w:p>
  <w:p>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B23D2F0"/>
    <w:multiLevelType w:val="singleLevel"/>
    <w:tmpl w:val="CB23D2F0"/>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4"/>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FhMDlmODM4NDM3ZTUzZTJhOWRjZWIxNmVkMjQxNTM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D7CFB"/>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1556"/>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33023"/>
    <w:rsid w:val="00E331F3"/>
    <w:rsid w:val="00E3498D"/>
    <w:rsid w:val="00E41A7A"/>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1D2770A"/>
    <w:rsid w:val="042B5227"/>
    <w:rsid w:val="06AA5076"/>
    <w:rsid w:val="06FF3E0B"/>
    <w:rsid w:val="076C0D50"/>
    <w:rsid w:val="079004AC"/>
    <w:rsid w:val="08874912"/>
    <w:rsid w:val="089068A0"/>
    <w:rsid w:val="0BEE30CD"/>
    <w:rsid w:val="0EDD7F67"/>
    <w:rsid w:val="0F3A3AB3"/>
    <w:rsid w:val="0F8E2C57"/>
    <w:rsid w:val="1059665E"/>
    <w:rsid w:val="10AC13BA"/>
    <w:rsid w:val="11970F5D"/>
    <w:rsid w:val="12456209"/>
    <w:rsid w:val="12953A0A"/>
    <w:rsid w:val="13806FF7"/>
    <w:rsid w:val="14C56689"/>
    <w:rsid w:val="155E203A"/>
    <w:rsid w:val="15AB1C30"/>
    <w:rsid w:val="15B37B4D"/>
    <w:rsid w:val="18784523"/>
    <w:rsid w:val="1AEC0734"/>
    <w:rsid w:val="1BF911B1"/>
    <w:rsid w:val="1D5F1F4B"/>
    <w:rsid w:val="1D870923"/>
    <w:rsid w:val="1D93463F"/>
    <w:rsid w:val="1DA340AC"/>
    <w:rsid w:val="1DEF20B0"/>
    <w:rsid w:val="1F15271A"/>
    <w:rsid w:val="214243FA"/>
    <w:rsid w:val="21B91FE3"/>
    <w:rsid w:val="22D20787"/>
    <w:rsid w:val="247D4E0A"/>
    <w:rsid w:val="257A14F5"/>
    <w:rsid w:val="27196C26"/>
    <w:rsid w:val="271E5714"/>
    <w:rsid w:val="273019A5"/>
    <w:rsid w:val="27347849"/>
    <w:rsid w:val="27F71DE2"/>
    <w:rsid w:val="28120EA5"/>
    <w:rsid w:val="2853794C"/>
    <w:rsid w:val="29B816FE"/>
    <w:rsid w:val="29EF086F"/>
    <w:rsid w:val="2A981DF8"/>
    <w:rsid w:val="2B1E4F76"/>
    <w:rsid w:val="2B7B35E6"/>
    <w:rsid w:val="2C357514"/>
    <w:rsid w:val="2E140F22"/>
    <w:rsid w:val="2EBE07DF"/>
    <w:rsid w:val="2EFFE297"/>
    <w:rsid w:val="2F2D7DC8"/>
    <w:rsid w:val="2FE80EAA"/>
    <w:rsid w:val="301437CA"/>
    <w:rsid w:val="302253C3"/>
    <w:rsid w:val="333021C2"/>
    <w:rsid w:val="336B48A3"/>
    <w:rsid w:val="360A0022"/>
    <w:rsid w:val="370A15FB"/>
    <w:rsid w:val="380E38E6"/>
    <w:rsid w:val="3DD00D25"/>
    <w:rsid w:val="3EC24847"/>
    <w:rsid w:val="3F78666B"/>
    <w:rsid w:val="3F8B71F6"/>
    <w:rsid w:val="407F5DE0"/>
    <w:rsid w:val="41635764"/>
    <w:rsid w:val="42F170C7"/>
    <w:rsid w:val="433E495C"/>
    <w:rsid w:val="4625614E"/>
    <w:rsid w:val="481E7A60"/>
    <w:rsid w:val="4937358C"/>
    <w:rsid w:val="4AC27CB3"/>
    <w:rsid w:val="4ACC6DEF"/>
    <w:rsid w:val="4AFA1D0D"/>
    <w:rsid w:val="4BF72BEF"/>
    <w:rsid w:val="505126EA"/>
    <w:rsid w:val="51270F56"/>
    <w:rsid w:val="51DB3C59"/>
    <w:rsid w:val="52EB05A3"/>
    <w:rsid w:val="553046B3"/>
    <w:rsid w:val="55762E42"/>
    <w:rsid w:val="57A7B272"/>
    <w:rsid w:val="58470068"/>
    <w:rsid w:val="5A1720F9"/>
    <w:rsid w:val="5A1A5642"/>
    <w:rsid w:val="5B9C37C2"/>
    <w:rsid w:val="5BA33255"/>
    <w:rsid w:val="5BA7C654"/>
    <w:rsid w:val="5E6D0466"/>
    <w:rsid w:val="5FF40A7C"/>
    <w:rsid w:val="60820545"/>
    <w:rsid w:val="62D21E82"/>
    <w:rsid w:val="64C0607C"/>
    <w:rsid w:val="65E5022B"/>
    <w:rsid w:val="65FB462F"/>
    <w:rsid w:val="676F09E1"/>
    <w:rsid w:val="67A55E99"/>
    <w:rsid w:val="683A668A"/>
    <w:rsid w:val="68A24AB7"/>
    <w:rsid w:val="69E63915"/>
    <w:rsid w:val="6B2B1F62"/>
    <w:rsid w:val="6C554EC8"/>
    <w:rsid w:val="6CFA38A3"/>
    <w:rsid w:val="6D4177A8"/>
    <w:rsid w:val="6DAC12BE"/>
    <w:rsid w:val="6E887814"/>
    <w:rsid w:val="6F9A4CA5"/>
    <w:rsid w:val="713A694F"/>
    <w:rsid w:val="744B6CD4"/>
    <w:rsid w:val="7637485B"/>
    <w:rsid w:val="7A7F1C49"/>
    <w:rsid w:val="7B5B7AE6"/>
    <w:rsid w:val="7BA7071E"/>
    <w:rsid w:val="7BD440F0"/>
    <w:rsid w:val="7BDF6DA8"/>
    <w:rsid w:val="7C7EDC1A"/>
    <w:rsid w:val="7CCED98D"/>
    <w:rsid w:val="7D08410F"/>
    <w:rsid w:val="7D7B4DA5"/>
    <w:rsid w:val="7DB96DED"/>
    <w:rsid w:val="7DD3AD81"/>
    <w:rsid w:val="7F7FE70F"/>
    <w:rsid w:val="7FFF772F"/>
    <w:rsid w:val="95F35EF6"/>
    <w:rsid w:val="9BFFD860"/>
    <w:rsid w:val="AC5F73DE"/>
    <w:rsid w:val="B5DDD2C8"/>
    <w:rsid w:val="B9DFABD9"/>
    <w:rsid w:val="BC0D83FC"/>
    <w:rsid w:val="BF3BDEFB"/>
    <w:rsid w:val="C75F6086"/>
    <w:rsid w:val="C7F7ED2D"/>
    <w:rsid w:val="CFAF854E"/>
    <w:rsid w:val="D8D7928E"/>
    <w:rsid w:val="D8FE3136"/>
    <w:rsid w:val="DDDE60B7"/>
    <w:rsid w:val="DE9F6A22"/>
    <w:rsid w:val="DF4FCE6A"/>
    <w:rsid w:val="E4FED278"/>
    <w:rsid w:val="EDAA365C"/>
    <w:rsid w:val="EDADFC12"/>
    <w:rsid w:val="F2FD229B"/>
    <w:rsid w:val="F7F709E9"/>
    <w:rsid w:val="F7FF3690"/>
    <w:rsid w:val="F9BD3900"/>
    <w:rsid w:val="FC8B9876"/>
    <w:rsid w:val="FEDFF218"/>
    <w:rsid w:val="FEDFFFFF"/>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2"/>
    <w:basedOn w:val="1"/>
    <w:next w:val="1"/>
    <w:qFormat/>
    <w:uiPriority w:val="0"/>
    <w:pPr>
      <w:keepNext/>
      <w:keepLines/>
      <w:widowControl w:val="0"/>
      <w:spacing w:before="100" w:beforeAutospacing="1" w:after="100" w:afterAutospacing="1"/>
      <w:outlineLvl w:val="1"/>
    </w:pPr>
    <w:rPr>
      <w:rFonts w:ascii="Cambria" w:hAnsi="Cambria" w:eastAsia="黑体" w:cs="Times New Roman"/>
      <w:b/>
      <w:bCs/>
      <w:kern w:val="0"/>
      <w:sz w:val="36"/>
      <w:szCs w:val="32"/>
      <w:lang w:bidi="ar-SA"/>
    </w:rPr>
  </w:style>
  <w:style w:type="character" w:default="1" w:styleId="11">
    <w:name w:val="Default Paragraph Font"/>
    <w:semiHidden/>
    <w:qFormat/>
    <w:uiPriority w:val="0"/>
  </w:style>
  <w:style w:type="table" w:default="1" w:styleId="10">
    <w:name w:val="Normal Table"/>
    <w:semiHidden/>
    <w:qFormat/>
    <w:uiPriority w:val="0"/>
    <w:tblPr>
      <w:tblLayout w:type="fixed"/>
      <w:tblCellMar>
        <w:top w:w="0" w:type="dxa"/>
        <w:left w:w="108" w:type="dxa"/>
        <w:bottom w:w="0" w:type="dxa"/>
        <w:right w:w="108" w:type="dxa"/>
      </w:tblCellMar>
    </w:tblPr>
  </w:style>
  <w:style w:type="paragraph" w:styleId="2">
    <w:name w:val="Normal Indent"/>
    <w:basedOn w:val="1"/>
    <w:qFormat/>
    <w:uiPriority w:val="0"/>
    <w:pPr>
      <w:ind w:firstLine="200" w:firstLineChars="200"/>
    </w:pPr>
  </w:style>
  <w:style w:type="paragraph" w:styleId="4">
    <w:name w:val="Body Text Indent"/>
    <w:basedOn w:val="1"/>
    <w:qFormat/>
    <w:uiPriority w:val="0"/>
    <w:pPr>
      <w:ind w:firstLine="645"/>
    </w:pPr>
    <w:rPr>
      <w:rFonts w:ascii="仿宋_GB2312" w:hAnsi="Calibri" w:eastAsia="仿宋_GB2312"/>
      <w:sz w:val="32"/>
      <w:szCs w:val="32"/>
    </w:rPr>
  </w:style>
  <w:style w:type="paragraph" w:styleId="5">
    <w:name w:val="Date"/>
    <w:basedOn w:val="1"/>
    <w:next w:val="1"/>
    <w:qFormat/>
    <w:uiPriority w:val="0"/>
    <w:pPr>
      <w:ind w:left="100" w:leftChars="2500"/>
    </w:pPr>
  </w:style>
  <w:style w:type="paragraph" w:styleId="6">
    <w:name w:val="Balloon Text"/>
    <w:basedOn w:val="1"/>
    <w:semiHidden/>
    <w:qFormat/>
    <w:uiPriority w:val="0"/>
    <w:rPr>
      <w:sz w:val="18"/>
      <w:szCs w:val="18"/>
    </w:rPr>
  </w:style>
  <w:style w:type="paragraph" w:styleId="7">
    <w:name w:val="footer"/>
    <w:basedOn w:val="1"/>
    <w:next w:val="1"/>
    <w:link w:val="14"/>
    <w:qFormat/>
    <w:uiPriority w:val="0"/>
    <w:pPr>
      <w:tabs>
        <w:tab w:val="center" w:pos="4153"/>
        <w:tab w:val="right" w:pos="8306"/>
      </w:tabs>
      <w:snapToGrid w:val="0"/>
      <w:jc w:val="left"/>
    </w:pPr>
    <w:rPr>
      <w:sz w:val="18"/>
      <w:szCs w:val="18"/>
    </w:rPr>
  </w:style>
  <w:style w:type="paragraph" w:styleId="8">
    <w:name w:val="header"/>
    <w:basedOn w:val="1"/>
    <w:link w:val="15"/>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9">
    <w:name w:val="Normal (Web)"/>
    <w:basedOn w:val="1"/>
    <w:unhideWhenUsed/>
    <w:qFormat/>
    <w:uiPriority w:val="0"/>
    <w:pPr>
      <w:spacing w:before="100" w:beforeAutospacing="1" w:after="100" w:afterAutospacing="1"/>
      <w:ind w:right="238"/>
      <w:jc w:val="left"/>
    </w:pPr>
    <w:rPr>
      <w:b/>
      <w:kern w:val="0"/>
      <w:sz w:val="24"/>
      <w:szCs w:val="20"/>
    </w:rPr>
  </w:style>
  <w:style w:type="character" w:styleId="12">
    <w:name w:val="Strong"/>
    <w:qFormat/>
    <w:uiPriority w:val="0"/>
    <w:rPr>
      <w:b/>
    </w:rPr>
  </w:style>
  <w:style w:type="character" w:styleId="13">
    <w:name w:val="page number"/>
    <w:qFormat/>
    <w:uiPriority w:val="0"/>
  </w:style>
  <w:style w:type="character" w:customStyle="1" w:styleId="14">
    <w:name w:val="页脚 Char"/>
    <w:link w:val="7"/>
    <w:qFormat/>
    <w:uiPriority w:val="0"/>
    <w:rPr>
      <w:rFonts w:eastAsia="宋体"/>
      <w:kern w:val="2"/>
      <w:sz w:val="18"/>
      <w:szCs w:val="18"/>
      <w:lang w:val="en-US" w:eastAsia="zh-CN" w:bidi="ar-SA"/>
    </w:rPr>
  </w:style>
  <w:style w:type="character" w:customStyle="1" w:styleId="15">
    <w:name w:val="页眉 Char"/>
    <w:link w:val="8"/>
    <w:qFormat/>
    <w:uiPriority w:val="0"/>
    <w:rPr>
      <w:rFonts w:ascii="Calibri" w:hAnsi="Calibri" w:eastAsia="宋体"/>
      <w:kern w:val="2"/>
      <w:sz w:val="18"/>
      <w:szCs w:val="18"/>
      <w:lang w:val="en-US" w:eastAsia="zh-CN" w:bidi="ar-SA"/>
    </w:rPr>
  </w:style>
  <w:style w:type="paragraph" w:customStyle="1" w:styleId="16">
    <w:name w:val=" Char Char Char Char Char Char Char"/>
    <w:basedOn w:val="1"/>
    <w:qFormat/>
    <w:uiPriority w:val="0"/>
    <w:rPr>
      <w:rFonts w:ascii="Tahoma" w:hAnsi="Tahoma"/>
      <w:sz w:val="24"/>
      <w:szCs w:val="20"/>
    </w:rPr>
  </w:style>
  <w:style w:type="paragraph" w:customStyle="1" w:styleId="17">
    <w:name w:val="Char1 Char Char Char"/>
    <w:basedOn w:val="1"/>
    <w:qFormat/>
    <w:uiPriority w:val="0"/>
    <w:pPr>
      <w:widowControl/>
      <w:spacing w:after="160" w:line="240" w:lineRule="exact"/>
      <w:jc w:val="left"/>
    </w:pPr>
    <w:rPr>
      <w:szCs w:val="20"/>
    </w:rPr>
  </w:style>
  <w:style w:type="paragraph" w:customStyle="1" w:styleId="18">
    <w:name w:val="Char"/>
    <w:basedOn w:val="1"/>
    <w:qFormat/>
    <w:uiPriority w:val="0"/>
    <w:rPr>
      <w:rFonts w:ascii="Tahoma" w:hAnsi="Tahoma"/>
      <w:sz w:val="24"/>
      <w:szCs w:val="20"/>
    </w:rPr>
  </w:style>
  <w:style w:type="paragraph" w:customStyle="1" w:styleId="19">
    <w:name w:val="Char Char3 Char Char"/>
    <w:basedOn w:val="1"/>
    <w:qFormat/>
    <w:uiPriority w:val="0"/>
    <w:rPr>
      <w:szCs w:val="21"/>
    </w:rPr>
  </w:style>
  <w:style w:type="paragraph" w:customStyle="1" w:styleId="20">
    <w:name w:val="BodyTextIndent2"/>
    <w:basedOn w:val="1"/>
    <w:qFormat/>
    <w:uiPriority w:val="0"/>
    <w:pPr>
      <w:ind w:firstLine="600"/>
    </w:pPr>
    <w:rPr>
      <w:rFonts w:eastAsia="宋体"/>
      <w:sz w:val="32"/>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chart" Target="charts/chart2.xml"/><Relationship Id="rId7" Type="http://schemas.openxmlformats.org/officeDocument/2006/relationships/chart" Target="charts/chart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package" Target="../embeddings/Workbook1.xlsx"/></Relationships>
</file>

<file path=word/charts/_rels/chart2.xml.rels><?xml version="1.0" encoding="UTF-8" standalone="yes"?>
<Relationships xmlns="http://schemas.openxmlformats.org/package/2006/relationships"><Relationship Id="rId3" Type="http://schemas.microsoft.com/office/2011/relationships/chartColorStyle" Target="colors1.xml"/><Relationship Id="rId2" Type="http://schemas.microsoft.com/office/2011/relationships/chartStyle" Target="style1.xml"/><Relationship Id="rId1" Type="http://schemas.openxmlformats.org/officeDocument/2006/relationships/package" Target="../embeddings/Workbook2.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rtlCol="0" anchor="t" anchorCtr="1"/>
          <a:lstStyle/>
          <a:p>
            <a:pPr algn="l">
              <a:defRPr lang="zh-CN" sz="1800" b="1" i="0" u="none" strike="noStrike" kern="1200" baseline="0">
                <a:solidFill>
                  <a:schemeClr val="tx1"/>
                </a:solidFill>
                <a:latin typeface="+mn-lt"/>
                <a:ea typeface="+mn-ea"/>
                <a:cs typeface="+mn-cs"/>
              </a:defRPr>
            </a:pPr>
            <a:r>
              <a:rPr lang="en-US"/>
              <a:t>收入决算</a:t>
            </a:r>
            <a:endParaRPr lang="en-US" sz="1100"/>
          </a:p>
        </c:rich>
      </c:tx>
      <c:layout/>
      <c:overlay val="0"/>
      <c:spPr>
        <a:noFill/>
        <a:ln>
          <a:noFill/>
        </a:ln>
        <a:effectLst/>
      </c:spPr>
    </c:title>
    <c:autoTitleDeleted val="0"/>
    <c:plotArea>
      <c:layout/>
      <c:pieChart>
        <c:varyColors val="1"/>
        <c:ser>
          <c:idx val="0"/>
          <c:order val="0"/>
          <c:tx>
            <c:strRef>
              <c:f>Sheet1!$B$1</c:f>
              <c:strCache>
                <c:ptCount val="1"/>
                <c:pt idx="0">
                  <c:v>收入</c:v>
                </c:pt>
              </c:strCache>
            </c:strRef>
          </c:tx>
          <c:explosion val="0"/>
          <c:dPt>
            <c:idx val="0"/>
            <c:bubble3D val="0"/>
            <c:spPr>
              <a:solidFill>
                <a:schemeClr val="accent1"/>
              </a:solidFill>
              <a:ln>
                <a:solidFill>
                  <a:schemeClr val="bg1"/>
                </a:solidFill>
              </a:ln>
              <a:effectLst/>
            </c:spPr>
          </c:dPt>
          <c:dPt>
            <c:idx val="1"/>
            <c:bubble3D val="0"/>
            <c:spPr>
              <a:solidFill>
                <a:schemeClr val="accent2"/>
              </a:solidFill>
              <a:ln>
                <a:solidFill>
                  <a:schemeClr val="bg1"/>
                </a:solidFill>
              </a:ln>
              <a:effectLst/>
            </c:spPr>
          </c:dPt>
          <c:dLbls>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lumMod val="75000"/>
                        <a:lumOff val="25000"/>
                      </a:schemeClr>
                    </a:solidFill>
                    <a:latin typeface="+mn-lt"/>
                    <a:ea typeface="+mn-ea"/>
                    <a:cs typeface="+mn-cs"/>
                  </a:defRPr>
                </a:pPr>
              </a:p>
            </c:txPr>
            <c:dLblPos val="inEnd"/>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prstDash val="solid"/>
                      <a:round/>
                    </a:ln>
                    <a:effectLst/>
                  </c:spPr>
                </c15:leaderLines>
              </c:ext>
            </c:extLst>
          </c:dLbls>
          <c:cat>
            <c:strRef>
              <c:f>Sheet1!$A$2:$A$3</c:f>
              <c:strCache>
                <c:ptCount val="2"/>
                <c:pt idx="0">
                  <c:v>财政拨款收入</c:v>
                </c:pt>
                <c:pt idx="1">
                  <c:v>其他收入</c:v>
                </c:pt>
              </c:strCache>
            </c:strRef>
          </c:cat>
          <c:val>
            <c:numRef>
              <c:f>Sheet1!$B$2:$B$3</c:f>
              <c:numCache>
                <c:formatCode>General</c:formatCode>
                <c:ptCount val="2"/>
                <c:pt idx="0">
                  <c:v>2525.21</c:v>
                </c:pt>
                <c:pt idx="1">
                  <c:v>0.06</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r"/>
      <c:legendEntry>
        <c:idx val="0"/>
        <c:txPr>
          <a:bodyPr rot="0" spcFirstLastPara="0" vertOverflow="ellipsis" vert="horz" wrap="square" anchor="ctr" anchorCtr="1"/>
          <a:lstStyle/>
          <a:p>
            <a:pPr>
              <a:defRPr lang="zh-CN" sz="900" b="0" i="0" u="none" strike="noStrike" kern="1200" baseline="0">
                <a:solidFill>
                  <a:schemeClr val="bg1">
                    <a:lumMod val="50000"/>
                  </a:schemeClr>
                </a:solidFill>
                <a:latin typeface="+mn-lt"/>
                <a:ea typeface="+mn-ea"/>
                <a:cs typeface="+mn-cs"/>
              </a:defRPr>
            </a:pPr>
          </a:p>
        </c:txPr>
      </c:legendEntry>
      <c:legendEntry>
        <c:idx val="1"/>
        <c:txPr>
          <a:bodyPr rot="0" spcFirstLastPara="0" vertOverflow="ellipsis" vert="horz" wrap="square" anchor="ctr" anchorCtr="1"/>
          <a:lstStyle/>
          <a:p>
            <a:pPr>
              <a:defRPr lang="zh-CN" sz="900" b="0" i="0" u="none" strike="noStrike" kern="1200" baseline="0">
                <a:solidFill>
                  <a:schemeClr val="bg1">
                    <a:lumMod val="50000"/>
                  </a:schemeClr>
                </a:solidFill>
                <a:latin typeface="+mn-lt"/>
                <a:ea typeface="+mn-ea"/>
                <a:cs typeface="+mn-cs"/>
              </a:defRPr>
            </a:pPr>
          </a:p>
        </c:txPr>
      </c:legendEntry>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bg1">
                  <a:lumMod val="50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prstDash val="solid"/>
      <a:round/>
    </a:ln>
    <a:effectLst/>
  </c:spPr>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bg1">
                    <a:lumMod val="50000"/>
                  </a:schemeClr>
                </a:solidFill>
                <a:latin typeface="+mn-lt"/>
                <a:ea typeface="+mn-ea"/>
                <a:cs typeface="+mn-cs"/>
              </a:defRPr>
            </a:pPr>
            <a:r>
              <a:rPr>
                <a:solidFill>
                  <a:schemeClr val="bg1">
                    <a:lumMod val="50000"/>
                  </a:schemeClr>
                </a:solidFill>
              </a:rPr>
              <a:t>支出决算</a:t>
            </a:r>
            <a:endParaRPr>
              <a:solidFill>
                <a:schemeClr val="bg1">
                  <a:lumMod val="50000"/>
                </a:schemeClr>
              </a:solidFill>
            </a:endParaRPr>
          </a:p>
        </c:rich>
      </c:tx>
      <c:layout/>
      <c:overlay val="0"/>
      <c:spPr>
        <a:noFill/>
        <a:ln>
          <a:noFill/>
        </a:ln>
        <a:effectLst/>
      </c:spPr>
    </c:title>
    <c:autoTitleDeleted val="0"/>
    <c:plotArea>
      <c:layout/>
      <c:pieChart>
        <c:varyColors val="1"/>
        <c:ser>
          <c:idx val="0"/>
          <c:order val="0"/>
          <c:tx>
            <c:strRef>
              <c:f>Sheet0!$B$1</c:f>
              <c:strCache>
                <c:ptCount val="1"/>
                <c:pt idx="0">
                  <c:v>支出</c:v>
                </c:pt>
              </c:strCache>
            </c:strRef>
          </c:tx>
          <c:spPr/>
          <c:explosion val="0"/>
          <c:dPt>
            <c:idx val="0"/>
            <c:bubble3D val="0"/>
            <c:spPr>
              <a:solidFill>
                <a:srgbClr val="4F81BD"/>
              </a:solidFill>
              <a:ln w="19050">
                <a:solidFill>
                  <a:srgbClr val="FFFFFF"/>
                </a:solidFill>
              </a:ln>
              <a:effectLst/>
            </c:spPr>
          </c:dPt>
          <c:dPt>
            <c:idx val="1"/>
            <c:bubble3D val="0"/>
            <c:spPr>
              <a:solidFill>
                <a:srgbClr val="C0504D"/>
              </a:solidFill>
              <a:ln w="19050">
                <a:solidFill>
                  <a:srgbClr val="FFFFFF"/>
                </a:solidFill>
              </a:ln>
              <a:effectLst/>
            </c:spPr>
          </c:dPt>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rgbClr val="404040">
                        <a:lumMod val="75000"/>
                        <a:lumOff val="25000"/>
                      </a:srgbClr>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rgbClr val="A6A6A6">
                          <a:lumMod val="35000"/>
                          <a:lumOff val="65000"/>
                        </a:srgbClr>
                      </a:solidFill>
                      <a:round/>
                    </a:ln>
                    <a:effectLst/>
                  </c:spPr>
                </c15:leaderLines>
              </c:ext>
            </c:extLst>
          </c:dLbls>
          <c:cat>
            <c:strRef>
              <c:f>Sheet0!$A$2:$A$3</c:f>
              <c:strCache>
                <c:ptCount val="2"/>
                <c:pt idx="0">
                  <c:v>基本支出</c:v>
                </c:pt>
                <c:pt idx="1">
                  <c:v>项目支出</c:v>
                </c:pt>
              </c:strCache>
            </c:strRef>
          </c:cat>
          <c:val>
            <c:numRef>
              <c:f>Sheet0!$B$2:$B$3</c:f>
              <c:numCache>
                <c:formatCode>General</c:formatCode>
                <c:ptCount val="2"/>
                <c:pt idx="0">
                  <c:v>2022.46</c:v>
                </c:pt>
                <c:pt idx="1">
                  <c:v>488.12</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b"/>
      <c:layout/>
      <c:overlay val="0"/>
      <c:spPr>
        <a:noFill/>
        <a:ln>
          <a:noFill/>
        </a:ln>
        <a:effectLst/>
      </c:spPr>
      <c:txPr>
        <a:bodyPr rot="0" spcFirstLastPara="0" vertOverflow="ellipsis" vert="horz" wrap="square" anchor="ctr" anchorCtr="1"/>
        <a:lstStyle/>
        <a:p>
          <a:pPr>
            <a:defRPr lang="zh-CN" sz="900" b="0" i="0" u="none" strike="noStrike" kern="1200" baseline="0">
              <a:solidFill>
                <a:srgbClr val="595959">
                  <a:lumMod val="65000"/>
                  <a:lumOff val="35000"/>
                </a:srgbClr>
              </a:solidFill>
              <a:latin typeface="+mn-lt"/>
              <a:ea typeface="+mn-ea"/>
              <a:cs typeface="+mn-cs"/>
            </a:defRPr>
          </a:pPr>
        </a:p>
      </c:txPr>
    </c:legend>
    <c:plotVisOnly val="1"/>
    <c:dispBlanksAs val="gap"/>
    <c:showDLblsOverMax val="0"/>
  </c:chart>
  <c:spPr>
    <a:solidFill>
      <a:srgbClr val="FFFFFF"/>
    </a:solidFill>
    <a:ln w="9525" cap="flat" cmpd="sng" algn="ctr">
      <a:solidFill>
        <a:srgbClr val="D9D9D9">
          <a:lumMod val="15000"/>
          <a:lumOff val="85000"/>
        </a:srgbClr>
      </a:solidFill>
      <a:round/>
    </a:ln>
    <a:effectLst/>
  </c:spPr>
  <c:txPr>
    <a:bodyPr/>
    <a:lstStyle/>
    <a:p>
      <a:pPr>
        <a:defRPr lang="zh-CN"/>
      </a:pPr>
    </a:p>
  </c:txPr>
  <c:externalData r:id="rId1">
    <c:autoUpdate val="0"/>
  </c:externalData>
</c:chartSpace>
</file>

<file path=word/charts/colors1.xml><?xml version="1.0" encoding="utf-8"?>
<cs:colorStyle xmlns:cs="http://schemas.microsoft.com/office/drawing/2012/chartStyle" xmlns:a="http://schemas.openxmlformats.org/drawingml/2006/main" meth="cycle" id="10">
  <a:srgbClr val="4F81BD"/>
  <a:srgbClr val="C0504D"/>
  <a:srgbClr val="9BBB59"/>
  <a:srgbClr val="8064A2"/>
  <a:srgbClr val="4BACC6"/>
  <a:srgbClr val="F7964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51">
  <cs:axisTitle>
    <cs:lnRef idx="0"/>
    <cs:fillRef idx="0"/>
    <cs:effectRef idx="0"/>
    <cs:fontRef idx="minor">
      <a:srgbClr val="595959">
        <a:lumMod val="65000"/>
        <a:lumOff val="35000"/>
      </a:srgbClr>
    </cs:fontRef>
    <cs:defRPr sz="1000" kern="1200"/>
  </cs:axisTitle>
  <cs:categoryAxis>
    <cs:lnRef idx="0"/>
    <cs:fillRef idx="0"/>
    <cs:effectRef idx="0"/>
    <cs:fontRef idx="minor">
      <a:srgbClr val="595959">
        <a:lumMod val="65000"/>
        <a:lumOff val="35000"/>
      </a:srgbClr>
    </cs:fontRef>
    <cs:spPr>
      <a:ln w="9525" cap="flat" cmpd="sng" algn="ctr">
        <a:solidFill>
          <a:srgbClr val="D9D9D9">
            <a:lumMod val="15000"/>
            <a:lumOff val="85000"/>
          </a:srgbClr>
        </a:solidFill>
        <a:round/>
      </a:ln>
    </cs:spPr>
    <cs:defRPr sz="900" kern="1200"/>
  </cs:categoryAxis>
  <cs:chartArea mods="allowNoFillOverride allowNoLineOverride">
    <cs:lnRef idx="0"/>
    <cs:fillRef idx="0"/>
    <cs:effectRef idx="0"/>
    <cs:fontRef idx="minor">
      <a:srgbClr val="000000"/>
    </cs:fontRef>
    <cs:spPr>
      <a:solidFill>
        <a:srgbClr val="FFFFFF"/>
      </a:solidFill>
      <a:ln w="9525" cap="flat" cmpd="sng" algn="ctr">
        <a:solidFill>
          <a:srgbClr val="D9D9D9">
            <a:lumMod val="15000"/>
            <a:lumOff val="85000"/>
          </a:srgbClr>
        </a:solidFill>
        <a:round/>
      </a:ln>
    </cs:spPr>
    <cs:defRPr sz="900" kern="1200"/>
  </cs:chartArea>
  <cs:dataLabel>
    <cs:lnRef idx="0"/>
    <cs:fillRef idx="0"/>
    <cs:effectRef idx="0"/>
    <cs:fontRef idx="minor">
      <a:srgbClr val="404040">
        <a:lumMod val="75000"/>
        <a:lumOff val="25000"/>
      </a:srgbClr>
    </cs:fontRef>
    <cs:defRPr sz="900" kern="1200"/>
  </cs:dataLabel>
  <cs:dataLabelCallout>
    <cs:lnRef idx="0"/>
    <cs:fillRef idx="0"/>
    <cs:effectRef idx="0"/>
    <cs:fontRef idx="minor">
      <a:srgbClr val="595959">
        <a:lumMod val="65000"/>
        <a:lumOff val="35000"/>
      </a:srgbClr>
    </cs:fontRef>
    <cs:spPr>
      <a:solidFill>
        <a:srgbClr val="FFFFFF"/>
      </a:solidFill>
      <a:ln>
        <a:solidFill>
          <a:srgbClr val="BFBFBF">
            <a:lumMod val="25000"/>
            <a:lumOff val="75000"/>
          </a:srgb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rgbClr val="000000"/>
    </cs:fontRef>
    <cs:spPr>
      <a:ln w="19050">
        <a:solidFill>
          <a:srgbClr val="FFFFFF"/>
        </a:solidFill>
      </a:ln>
    </cs:spPr>
  </cs:dataPoint>
  <cs:dataPoint3D>
    <cs:lnRef idx="0"/>
    <cs:fillRef idx="1">
      <cs:styleClr val="auto"/>
    </cs:fillRef>
    <cs:effectRef idx="0"/>
    <cs:fontRef idx="minor">
      <a:srgbClr val="000000"/>
    </cs:fontRef>
    <cs:spPr>
      <a:ln w="25400">
        <a:solidFill>
          <a:srgbClr val="FFFFFF"/>
        </a:solidFill>
      </a:ln>
    </cs:spPr>
  </cs:dataPoint3D>
  <cs:dataPointLine>
    <cs:lnRef idx="0">
      <cs:styleClr val="auto"/>
    </cs:lnRef>
    <cs:fillRef idx="0"/>
    <cs:effectRef idx="0"/>
    <cs:fontRef idx="minor">
      <a:srgbClr val="000000"/>
    </cs:fontRef>
    <cs:spPr>
      <a:ln w="28575" cap="rnd">
        <a:solidFill>
          <a:srgbClr val="FFFFFF"/>
        </a:solidFill>
        <a:round/>
      </a:ln>
    </cs:spPr>
  </cs:dataPointLine>
  <cs:dataPointMarker>
    <cs:lnRef idx="0">
      <cs:styleClr val="auto"/>
    </cs:lnRef>
    <cs:fillRef idx="1">
      <cs:styleClr val="auto"/>
    </cs:fillRef>
    <cs:effectRef idx="0"/>
    <cs:fontRef idx="minor">
      <a:srgbClr val="000000"/>
    </cs:fontRef>
    <cs:spPr>
      <a:ln w="9525">
        <a:solidFill>
          <a:srgbClr val="FFFFFF"/>
        </a:solidFill>
      </a:ln>
    </cs:spPr>
  </cs:dataPointMarker>
  <cs:dataPointMarkerLayout symbol="circle" size="5"/>
  <cs:dataPointWireframe>
    <cs:lnRef idx="0">
      <cs:styleClr val="auto"/>
    </cs:lnRef>
    <cs:fillRef idx="0"/>
    <cs:effectRef idx="0"/>
    <cs:fontRef idx="minor">
      <a:srgbClr val="000000"/>
    </cs:fontRef>
    <cs:spPr>
      <a:ln w="9525" cap="rnd">
        <a:solidFill>
          <a:srgbClr val="FFFFFF"/>
        </a:solidFill>
        <a:round/>
      </a:ln>
    </cs:spPr>
  </cs:dataPointWireframe>
  <cs:dataTable>
    <cs:lnRef idx="0"/>
    <cs:fillRef idx="0"/>
    <cs:effectRef idx="0"/>
    <cs:fontRef idx="minor">
      <a:srgbClr val="595959">
        <a:lumMod val="65000"/>
        <a:lumOff val="35000"/>
      </a:srgbClr>
    </cs:fontRef>
    <cs:spPr>
      <a:noFill/>
      <a:ln w="9525" cap="flat" cmpd="sng" algn="ctr">
        <a:solidFill>
          <a:srgbClr val="D9D9D9">
            <a:lumMod val="15000"/>
            <a:lumOff val="85000"/>
          </a:srgbClr>
        </a:solidFill>
        <a:round/>
      </a:ln>
    </cs:spPr>
    <cs:defRPr sz="900" kern="1200"/>
  </cs:dataTable>
  <cs:downBar>
    <cs:lnRef idx="0"/>
    <cs:fillRef idx="0"/>
    <cs:effectRef idx="0"/>
    <cs:fontRef idx="minor">
      <a:srgbClr val="000000"/>
    </cs:fontRef>
    <cs:spPr>
      <a:solidFill>
        <a:srgbClr val="404040">
          <a:lumMod val="75000"/>
          <a:lumOff val="25000"/>
        </a:srgbClr>
      </a:solidFill>
      <a:ln w="9525" cap="flat" cmpd="sng" algn="ctr">
        <a:solidFill>
          <a:srgbClr val="595959">
            <a:lumMod val="65000"/>
            <a:lumOff val="35000"/>
          </a:srgbClr>
        </a:solidFill>
        <a:round/>
      </a:ln>
    </cs:spPr>
  </cs:downBar>
  <cs:dropLine>
    <cs:lnRef idx="0"/>
    <cs:fillRef idx="0"/>
    <cs:effectRef idx="0"/>
    <cs:fontRef idx="minor">
      <a:srgbClr val="000000"/>
    </cs:fontRef>
    <cs:spPr>
      <a:ln w="9525" cap="flat" cmpd="sng" algn="ctr">
        <a:solidFill>
          <a:srgbClr val="A6A6A6">
            <a:lumMod val="35000"/>
            <a:lumOff val="65000"/>
          </a:srgbClr>
        </a:solidFill>
        <a:round/>
      </a:ln>
    </cs:spPr>
  </cs:dropLine>
  <cs:errorBar>
    <cs:lnRef idx="0"/>
    <cs:fillRef idx="0"/>
    <cs:effectRef idx="0"/>
    <cs:fontRef idx="minor">
      <a:srgbClr val="000000"/>
    </cs:fontRef>
    <cs:spPr>
      <a:ln w="9525" cap="flat" cmpd="sng" algn="ctr">
        <a:solidFill>
          <a:srgbClr val="595959">
            <a:lumMod val="65000"/>
            <a:lumOff val="35000"/>
          </a:srgbClr>
        </a:solidFill>
        <a:round/>
      </a:ln>
    </cs:spPr>
  </cs:errorBar>
  <cs:floor>
    <cs:lnRef idx="0"/>
    <cs:fillRef idx="0"/>
    <cs:effectRef idx="0"/>
    <cs:fontRef idx="minor">
      <a:srgbClr val="000000"/>
    </cs:fontRef>
    <cs:spPr>
      <a:noFill/>
      <a:ln>
        <a:noFill/>
      </a:ln>
    </cs:spPr>
  </cs:floor>
  <cs:gridlineMajor>
    <cs:lnRef idx="0"/>
    <cs:fillRef idx="0"/>
    <cs:effectRef idx="0"/>
    <cs:fontRef idx="minor">
      <a:srgbClr val="000000"/>
    </cs:fontRef>
    <cs:spPr>
      <a:ln w="9525" cap="flat" cmpd="sng" algn="ctr">
        <a:solidFill>
          <a:srgbClr val="D9D9D9">
            <a:lumMod val="15000"/>
            <a:lumOff val="85000"/>
          </a:srgbClr>
        </a:solidFill>
        <a:round/>
      </a:ln>
    </cs:spPr>
  </cs:gridlineMajor>
  <cs:gridlineMinor>
    <cs:lnRef idx="0"/>
    <cs:fillRef idx="0"/>
    <cs:effectRef idx="0"/>
    <cs:fontRef idx="minor">
      <a:srgbClr val="000000"/>
    </cs:fontRef>
    <cs:spPr>
      <a:ln w="9525" cap="flat" cmpd="sng" algn="ctr">
        <a:solidFill>
          <a:srgbClr val="F2F2F2">
            <a:lumMod val="5000"/>
            <a:lumOff val="95000"/>
          </a:srgbClr>
        </a:solidFill>
        <a:round/>
      </a:ln>
    </cs:spPr>
  </cs:gridlineMinor>
  <cs:hiLoLine>
    <cs:lnRef idx="0"/>
    <cs:fillRef idx="0"/>
    <cs:effectRef idx="0"/>
    <cs:fontRef idx="minor">
      <a:srgbClr val="000000"/>
    </cs:fontRef>
    <cs:spPr>
      <a:ln w="9525" cap="flat" cmpd="sng" algn="ctr">
        <a:solidFill>
          <a:srgbClr val="808080">
            <a:lumMod val="50000"/>
            <a:lumOff val="50000"/>
          </a:srgbClr>
        </a:solidFill>
        <a:round/>
      </a:ln>
    </cs:spPr>
  </cs:hiLoLine>
  <cs:leaderLine>
    <cs:lnRef idx="0"/>
    <cs:fillRef idx="0"/>
    <cs:effectRef idx="0"/>
    <cs:fontRef idx="minor">
      <a:srgbClr val="000000"/>
    </cs:fontRef>
    <cs:spPr>
      <a:ln w="9525" cap="flat" cmpd="sng" algn="ctr">
        <a:solidFill>
          <a:srgbClr val="A6A6A6">
            <a:lumMod val="35000"/>
            <a:lumOff val="65000"/>
          </a:srgbClr>
        </a:solidFill>
        <a:round/>
      </a:ln>
    </cs:spPr>
  </cs:leaderLine>
  <cs:legend>
    <cs:lnRef idx="0"/>
    <cs:fillRef idx="0"/>
    <cs:effectRef idx="0"/>
    <cs:fontRef idx="minor">
      <a:srgbClr val="595959">
        <a:lumMod val="65000"/>
        <a:lumOff val="35000"/>
      </a:srgbClr>
    </cs:fontRef>
    <cs:defRPr sz="900" kern="1200"/>
  </cs:legend>
  <cs:plotArea mods="allowNoFillOverride allowNoLineOverride">
    <cs:lnRef idx="0"/>
    <cs:fillRef idx="0"/>
    <cs:effectRef idx="0"/>
    <cs:fontRef idx="minor">
      <a:srgbClr val="000000"/>
    </cs:fontRef>
  </cs:plotArea>
  <cs:plotArea3D mods="allowNoFillOverride allowNoLineOverride">
    <cs:lnRef idx="0"/>
    <cs:fillRef idx="0"/>
    <cs:effectRef idx="0"/>
    <cs:fontRef idx="minor">
      <a:srgbClr val="000000"/>
    </cs:fontRef>
  </cs:plotArea3D>
  <cs:seriesAxis>
    <cs:lnRef idx="0"/>
    <cs:fillRef idx="0"/>
    <cs:effectRef idx="0"/>
    <cs:fontRef idx="minor">
      <a:srgbClr val="595959">
        <a:lumMod val="65000"/>
        <a:lumOff val="35000"/>
      </a:srgbClr>
    </cs:fontRef>
    <cs:defRPr sz="900" kern="1200"/>
  </cs:seriesAxis>
  <cs:seriesLine>
    <cs:lnRef idx="0"/>
    <cs:fillRef idx="0"/>
    <cs:effectRef idx="0"/>
    <cs:fontRef idx="minor">
      <a:srgbClr val="000000"/>
    </cs:fontRef>
    <cs:spPr>
      <a:ln w="9525" cap="flat" cmpd="sng" algn="ctr">
        <a:solidFill>
          <a:srgbClr val="A6A6A6">
            <a:lumMod val="35000"/>
            <a:lumOff val="65000"/>
          </a:srgbClr>
        </a:solidFill>
        <a:round/>
      </a:ln>
    </cs:spPr>
  </cs:seriesLine>
  <cs:title>
    <cs:lnRef idx="0"/>
    <cs:fillRef idx="0"/>
    <cs:effectRef idx="0"/>
    <cs:fontRef idx="minor">
      <a:srgbClr val="595959">
        <a:lumMod val="65000"/>
        <a:lumOff val="35000"/>
      </a:srgbClr>
    </cs:fontRef>
    <cs:defRPr sz="1400" b="0" kern="1200" spc="0" baseline="0"/>
  </cs:title>
  <cs:trendline>
    <cs:lnRef idx="0">
      <cs:styleClr val="auto"/>
    </cs:lnRef>
    <cs:fillRef idx="0"/>
    <cs:effectRef idx="0"/>
    <cs:fontRef idx="minor">
      <a:srgbClr val="000000"/>
    </cs:fontRef>
    <cs:spPr>
      <a:ln w="19050" cap="rnd">
        <a:solidFill>
          <a:srgbClr val="FFFFFF"/>
        </a:solidFill>
        <a:prstDash val="sysDot"/>
      </a:ln>
    </cs:spPr>
  </cs:trendline>
  <cs:trendlineLabel>
    <cs:lnRef idx="0"/>
    <cs:fillRef idx="0"/>
    <cs:effectRef idx="0"/>
    <cs:fontRef idx="minor">
      <a:srgbClr val="595959">
        <a:lumMod val="65000"/>
        <a:lumOff val="35000"/>
      </a:srgbClr>
    </cs:fontRef>
    <cs:defRPr sz="900" kern="1200"/>
  </cs:trendlineLabel>
  <cs:upBar>
    <cs:lnRef idx="0"/>
    <cs:fillRef idx="0"/>
    <cs:effectRef idx="0"/>
    <cs:fontRef idx="minor">
      <a:srgbClr val="000000"/>
    </cs:fontRef>
    <cs:spPr>
      <a:solidFill>
        <a:srgbClr val="FFFFFF"/>
      </a:solidFill>
      <a:ln w="9525" cap="flat" cmpd="sng" algn="ctr">
        <a:solidFill>
          <a:srgbClr val="595959">
            <a:lumMod val="65000"/>
            <a:lumOff val="35000"/>
          </a:srgbClr>
        </a:solidFill>
        <a:round/>
      </a:ln>
    </cs:spPr>
  </cs:upBar>
  <cs:valueAxis>
    <cs:lnRef idx="0"/>
    <cs:fillRef idx="0"/>
    <cs:effectRef idx="0"/>
    <cs:fontRef idx="minor">
      <a:srgbClr val="595959">
        <a:lumMod val="65000"/>
        <a:lumOff val="35000"/>
      </a:srgbClr>
    </cs:fontRef>
    <cs:defRPr sz="900" kern="1200"/>
  </cs:valueAxis>
  <cs:wall>
    <cs:lnRef idx="0"/>
    <cs:fillRef idx="0"/>
    <cs:effectRef idx="0"/>
    <cs:fontRef idx="minor">
      <a:srgbClr val="000000"/>
    </cs:fontRef>
    <cs:spPr>
      <a:noFill/>
      <a:ln>
        <a:noFill/>
      </a:ln>
    </cs:spPr>
  </cs:wall>
</cs:chartStyl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14</Pages>
  <Words>3815</Words>
  <Characters>6095</Characters>
  <Lines>77</Lines>
  <Paragraphs>21</Paragraphs>
  <TotalTime>17</TotalTime>
  <ScaleCrop>false</ScaleCrop>
  <LinksUpToDate>false</LinksUpToDate>
  <CharactersWithSpaces>6114</CharactersWithSpaces>
  <Application>WPS Office_11.8.2.8621_F1E327BC-269C-435d-A152-05C5408002CA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2017-07-11T15:16:00Z</dcterms:created>
  <dc:creator>常程</dc:creator>
  <cp:lastModifiedBy>刘金</cp:lastModifiedBy>
  <cp:lastPrinted>2024-06-05T02:20:00Z</cp:lastPrinted>
  <dcterms:modified xsi:type="dcterms:W3CDTF">2024-08-26T06:52:49Z</dcterms:modified>
  <dc:title>北京市财政局关于做好向市人大常委会报送2015年度市级部门决算（草案）</dc:title>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y fmtid="{D5CDD505-2E9C-101B-9397-08002B2CF9AE}" pid="3" name="ICV">
    <vt:lpwstr>0FB640C8C40342C6AC840413986A3DE4</vt:lpwstr>
  </property>
</Properties>
</file>