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bidi w:val="0"/>
        <w:snapToGrid/>
        <w:ind w:firstLine="640" w:firstLineChars="200"/>
        <w:jc w:val="center"/>
        <w:textAlignment w:val="auto"/>
        <w:rPr>
          <w:rFonts w:hint="eastAsia" w:ascii="仿宋_GB2312" w:eastAsia="仿宋_GB2312"/>
          <w:b/>
          <w:sz w:val="32"/>
          <w:szCs w:val="32"/>
        </w:rPr>
      </w:pPr>
    </w:p>
    <w:p>
      <w:pPr>
        <w:pageBreakBefore w:val="0"/>
        <w:widowControl w:val="0"/>
        <w:kinsoku/>
        <w:wordWrap/>
        <w:overflowPunct/>
        <w:topLinePunct w:val="0"/>
        <w:bidi w:val="0"/>
        <w:snapToGrid/>
        <w:ind w:firstLine="1440" w:firstLineChars="200"/>
        <w:jc w:val="center"/>
        <w:textAlignment w:val="auto"/>
        <w:rPr>
          <w:rFonts w:hint="eastAsia" w:ascii="黑体" w:eastAsia="黑体"/>
          <w:sz w:val="72"/>
          <w:szCs w:val="72"/>
        </w:rPr>
      </w:pPr>
    </w:p>
    <w:p>
      <w:pPr>
        <w:pageBreakBefore w:val="0"/>
        <w:widowControl w:val="0"/>
        <w:kinsoku/>
        <w:wordWrap/>
        <w:overflowPunct/>
        <w:topLinePunct w:val="0"/>
        <w:bidi w:val="0"/>
        <w:snapToGrid/>
        <w:ind w:firstLine="1440" w:firstLineChars="200"/>
        <w:jc w:val="center"/>
        <w:textAlignment w:val="auto"/>
        <w:rPr>
          <w:rFonts w:ascii="黑体" w:eastAsia="黑体"/>
          <w:sz w:val="72"/>
          <w:szCs w:val="72"/>
        </w:rPr>
      </w:pPr>
    </w:p>
    <w:p>
      <w:pPr>
        <w:pageBreakBefore w:val="0"/>
        <w:widowControl w:val="0"/>
        <w:kinsoku/>
        <w:wordWrap/>
        <w:overflowPunct/>
        <w:topLinePunct w:val="0"/>
        <w:bidi w:val="0"/>
        <w:snapToGrid/>
        <w:ind w:firstLine="1440" w:firstLineChars="200"/>
        <w:jc w:val="center"/>
        <w:textAlignment w:val="auto"/>
        <w:rPr>
          <w:rFonts w:hint="eastAsia" w:ascii="黑体" w:eastAsia="黑体"/>
          <w:sz w:val="72"/>
          <w:szCs w:val="72"/>
        </w:rPr>
      </w:pPr>
    </w:p>
    <w:p>
      <w:pPr>
        <w:pageBreakBefore w:val="0"/>
        <w:widowControl w:val="0"/>
        <w:kinsoku/>
        <w:wordWrap/>
        <w:overflowPunct/>
        <w:topLinePunct w:val="0"/>
        <w:bidi w:val="0"/>
        <w:snapToGrid/>
        <w:ind w:firstLine="1440" w:firstLineChars="200"/>
        <w:jc w:val="center"/>
        <w:textAlignment w:val="auto"/>
        <w:rPr>
          <w:rFonts w:hint="eastAsia" w:ascii="黑体" w:eastAsia="黑体"/>
          <w:sz w:val="72"/>
          <w:szCs w:val="72"/>
        </w:rPr>
      </w:pPr>
    </w:p>
    <w:p>
      <w:pPr>
        <w:pageBreakBefore w:val="0"/>
        <w:widowControl w:val="0"/>
        <w:kinsoku/>
        <w:wordWrap/>
        <w:overflowPunct/>
        <w:topLinePunct w:val="0"/>
        <w:bidi w:val="0"/>
        <w:snapToGrid/>
        <w:ind w:firstLine="1440" w:firstLineChars="200"/>
        <w:jc w:val="center"/>
        <w:textAlignment w:val="auto"/>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pageBreakBefore w:val="0"/>
        <w:widowControl w:val="0"/>
        <w:kinsoku/>
        <w:wordWrap/>
        <w:overflowPunct/>
        <w:topLinePunct w:val="0"/>
        <w:bidi w:val="0"/>
        <w:snapToGrid/>
        <w:ind w:firstLine="1040" w:firstLineChars="200"/>
        <w:jc w:val="center"/>
        <w:textAlignment w:val="auto"/>
        <w:rPr>
          <w:rFonts w:ascii="黑体" w:eastAsia="黑体"/>
          <w:sz w:val="52"/>
          <w:szCs w:val="52"/>
        </w:rPr>
      </w:pPr>
    </w:p>
    <w:p>
      <w:pPr>
        <w:pageBreakBefore w:val="0"/>
        <w:widowControl w:val="0"/>
        <w:kinsoku/>
        <w:wordWrap/>
        <w:overflowPunct/>
        <w:topLinePunct w:val="0"/>
        <w:bidi w:val="0"/>
        <w:snapToGrid/>
        <w:ind w:firstLine="1040" w:firstLineChars="200"/>
        <w:jc w:val="center"/>
        <w:textAlignment w:val="auto"/>
        <w:rPr>
          <w:rFonts w:ascii="黑体" w:eastAsia="黑体"/>
          <w:sz w:val="52"/>
          <w:szCs w:val="52"/>
        </w:rPr>
      </w:pPr>
    </w:p>
    <w:p>
      <w:pPr>
        <w:pageBreakBefore w:val="0"/>
        <w:widowControl w:val="0"/>
        <w:kinsoku/>
        <w:wordWrap/>
        <w:overflowPunct/>
        <w:topLinePunct w:val="0"/>
        <w:bidi w:val="0"/>
        <w:snapToGrid/>
        <w:ind w:firstLine="1040" w:firstLineChars="200"/>
        <w:jc w:val="center"/>
        <w:textAlignment w:val="auto"/>
        <w:rPr>
          <w:rFonts w:ascii="黑体" w:eastAsia="黑体"/>
          <w:sz w:val="52"/>
          <w:szCs w:val="52"/>
        </w:rPr>
      </w:pPr>
    </w:p>
    <w:p>
      <w:pPr>
        <w:pageBreakBefore w:val="0"/>
        <w:widowControl w:val="0"/>
        <w:kinsoku/>
        <w:wordWrap/>
        <w:overflowPunct/>
        <w:topLinePunct w:val="0"/>
        <w:bidi w:val="0"/>
        <w:snapToGrid/>
        <w:ind w:firstLine="1040" w:firstLineChars="200"/>
        <w:jc w:val="center"/>
        <w:textAlignment w:val="auto"/>
        <w:rPr>
          <w:rFonts w:ascii="黑体" w:eastAsia="黑体"/>
          <w:sz w:val="52"/>
          <w:szCs w:val="52"/>
        </w:rPr>
      </w:pPr>
    </w:p>
    <w:p>
      <w:pPr>
        <w:pageBreakBefore w:val="0"/>
        <w:widowControl w:val="0"/>
        <w:kinsoku/>
        <w:wordWrap/>
        <w:overflowPunct/>
        <w:topLinePunct w:val="0"/>
        <w:bidi w:val="0"/>
        <w:snapToGrid/>
        <w:ind w:firstLine="640" w:firstLineChars="200"/>
        <w:jc w:val="center"/>
        <w:textAlignment w:val="auto"/>
        <w:rPr>
          <w:rFonts w:hint="eastAsia" w:ascii="黑体" w:eastAsia="黑体"/>
          <w:sz w:val="32"/>
          <w:szCs w:val="32"/>
        </w:rPr>
      </w:pPr>
    </w:p>
    <w:p>
      <w:pPr>
        <w:spacing w:line="500" w:lineRule="exact"/>
        <w:ind w:firstLine="645"/>
        <w:jc w:val="center"/>
        <w:rPr>
          <w:rFonts w:ascii="宋体" w:hAnsi="宋体" w:cs="宋体"/>
          <w:b/>
          <w:bCs/>
          <w:kern w:val="0"/>
          <w:sz w:val="44"/>
          <w:szCs w:val="36"/>
        </w:rPr>
      </w:pPr>
      <w:bookmarkStart w:id="0" w:name="_GoBack"/>
      <w:bookmarkEnd w:id="0"/>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ascii="宋体" w:hAnsi="宋体" w:cs="宋体"/>
          <w:b/>
          <w:bCs/>
          <w:spacing w:val="40"/>
          <w:kern w:val="0"/>
          <w:sz w:val="32"/>
          <w:szCs w:val="32"/>
        </w:rPr>
      </w:pP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ascii="宋体" w:hAnsi="宋体" w:cs="宋体"/>
          <w:b/>
          <w:bCs/>
          <w:spacing w:val="40"/>
          <w:kern w:val="0"/>
          <w:sz w:val="32"/>
          <w:szCs w:val="32"/>
        </w:rPr>
      </w:pP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hint="eastAsia" w:ascii="宋体" w:hAnsi="宋体" w:cs="宋体"/>
          <w:b/>
          <w:bCs/>
          <w:spacing w:val="40"/>
          <w:kern w:val="0"/>
          <w:sz w:val="32"/>
          <w:szCs w:val="32"/>
        </w:rPr>
      </w:pP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ascii="宋体" w:hAnsi="宋体" w:cs="宋体"/>
          <w:b/>
          <w:bCs/>
          <w:spacing w:val="40"/>
          <w:kern w:val="0"/>
          <w:sz w:val="32"/>
          <w:szCs w:val="32"/>
        </w:rPr>
      </w:pP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hint="eastAsia" w:ascii="宋体" w:hAnsi="宋体" w:cs="宋体"/>
          <w:b/>
          <w:bCs/>
          <w:spacing w:val="40"/>
          <w:kern w:val="0"/>
          <w:sz w:val="32"/>
          <w:szCs w:val="32"/>
        </w:rPr>
      </w:pPr>
    </w:p>
    <w:p>
      <w:pPr>
        <w:pageBreakBefore w:val="0"/>
        <w:widowControl w:val="0"/>
        <w:tabs>
          <w:tab w:val="center" w:pos="6979"/>
        </w:tabs>
        <w:kinsoku/>
        <w:wordWrap/>
        <w:overflowPunct/>
        <w:topLinePunct w:val="0"/>
        <w:bidi w:val="0"/>
        <w:snapToGrid/>
        <w:spacing w:before="156" w:beforeLines="50" w:after="156" w:afterLines="50"/>
        <w:ind w:firstLine="1040" w:firstLineChars="200"/>
        <w:jc w:val="center"/>
        <w:textAlignment w:val="auto"/>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pageBreakBefore w:val="0"/>
        <w:widowControl w:val="0"/>
        <w:kinsoku/>
        <w:wordWrap/>
        <w:overflowPunct/>
        <w:topLinePunct w:val="0"/>
        <w:bidi w:val="0"/>
        <w:snapToGrid/>
        <w:ind w:firstLine="560" w:firstLineChars="200"/>
        <w:textAlignment w:val="auto"/>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一、单位基本情况</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（一）机构设置、职责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根据北京市编办印发的《北京市规划和自然资源委员会区分局职能配置、内设机构和人员编制规定》（京编办发〔2019〕17号），市规自委《关于划转建设工程消防设计审查职责有关事项的通知》</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京规自党发〔2019〕130号），分局机关设立14个科室，所属1个参公事业单位：北京市大兴区不动产登记中心；</w:t>
      </w:r>
      <w:r>
        <w:rPr>
          <w:rFonts w:hint="eastAsia" w:ascii="仿宋_GB2312" w:eastAsia="仿宋_GB2312" w:cs="Times New Roman"/>
          <w:sz w:val="28"/>
          <w:szCs w:val="28"/>
          <w:lang w:val="en-US" w:eastAsia="zh-CN"/>
        </w:rPr>
        <w:t>1</w:t>
      </w:r>
      <w:r>
        <w:rPr>
          <w:rFonts w:hint="eastAsia" w:ascii="仿宋_GB2312" w:hAnsi="Times New Roman" w:eastAsia="仿宋_GB2312" w:cs="Times New Roman"/>
          <w:sz w:val="28"/>
          <w:szCs w:val="28"/>
        </w:rPr>
        <w:t>个行政执法机构：北京市大兴区规划和自然资源执法队</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rPr>
        <w:t>北京市规划和自然资源委员会大兴分局第一规划和自然资源管理所、北京市规划和自然资源委员会大兴分局第二规划和自然资源管理所、北京市规划和自然资源委员会大兴分局第三规划和自然资源管理所、北京市规划和自然资源委员会大兴分局第四规划和自然资源管理所</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rPr>
        <w:t>1个全额拨款事业单位：北京市大兴区规划和自然资源综合事务中心。</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机构职责如下：</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1.履行本市全民所有土地、矿产、森林、湿地、水等自然资源资产所有者职责和所有国土空间用途管制职责。宣传、贯彻、实施国家关于自然资源和国土空间规划及测绘、勘察设计管理等方面的法律、法规、规章</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政策和标准。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3.负责本区国土空间用途管制工作。负责自然资源和国土空间规划的的实施管理。组织拟订并实施土地等自然资源年度利用计划。负责工程建设项目规划和用地管理相关工作。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4.负责本区自然资源调查监测评价工作。组织自然资源基础调查、专项调查和监测。负责自然资源和不动产统一确权登记工作。依法调处相关权属纠纷。</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6.负责本区耕地保护、基本农田保护管理。负责国土空间用途转用工作。负责土地征收征用管理。负责耕地占补平衡管理。组织实施土地整理复垦。</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负责统筹本区国土空间生态修复。牵头组织编制本市国土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8.负责本区自然资源和国土空间规划方面的科技、信息化建设及统计工作。承担勘察设计、测绘相关监督管理工作。承担自然资源和国土空间规划相关档案的管理工作。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9.负责本区自然资源和国土空间规划管理的督察工作。依法承担工程建设项目的规划核验。查处自然资源开发利用和国土空间规划及勘察设计、测绘违法案件。</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10.完成市规划自然资源委和区委</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区政府交办的其他任务。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11.职能转变。市规划自然资源委大兴分局要贯彻落实党中央、国务院批复的《北京城市总体规划（2016年一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分发挥市场对资源配置的决定性作用，更好发挥政府作用，强化自然资源管理规则、标准、制度的约束性作用，推进自然资源确权登记和评估的便民高效。</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（二）人员构成情况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北京市规划和自然资源委员会大兴分局行政编制</w:t>
      </w:r>
      <w:r>
        <w:rPr>
          <w:rFonts w:hint="eastAsia" w:ascii="仿宋_GB2312" w:eastAsia="仿宋_GB2312" w:cs="Times New Roman"/>
          <w:sz w:val="28"/>
          <w:szCs w:val="28"/>
          <w:lang w:val="en-US" w:eastAsia="zh-CN"/>
        </w:rPr>
        <w:t>125</w:t>
      </w:r>
      <w:r>
        <w:rPr>
          <w:rFonts w:hint="eastAsia" w:ascii="仿宋_GB2312" w:hAnsi="Times New Roman" w:eastAsia="仿宋_GB2312" w:cs="Times New Roman"/>
          <w:sz w:val="28"/>
          <w:szCs w:val="28"/>
        </w:rPr>
        <w:t>人，实际</w:t>
      </w:r>
      <w:r>
        <w:rPr>
          <w:rFonts w:hint="eastAsia" w:ascii="仿宋_GB2312" w:eastAsia="仿宋_GB2312" w:cs="Times New Roman"/>
          <w:sz w:val="28"/>
          <w:szCs w:val="28"/>
          <w:lang w:val="en-US" w:eastAsia="zh-CN"/>
        </w:rPr>
        <w:t>106</w:t>
      </w:r>
      <w:r>
        <w:rPr>
          <w:rFonts w:hint="eastAsia" w:ascii="仿宋_GB2312" w:hAnsi="Times New Roman" w:eastAsia="仿宋_GB2312" w:cs="Times New Roman"/>
          <w:sz w:val="28"/>
          <w:szCs w:val="28"/>
        </w:rPr>
        <w:t>人；事业编制</w:t>
      </w:r>
      <w:r>
        <w:rPr>
          <w:rFonts w:hint="eastAsia" w:ascii="仿宋_GB2312" w:eastAsia="仿宋_GB2312" w:cs="Times New Roman"/>
          <w:sz w:val="28"/>
          <w:szCs w:val="28"/>
          <w:lang w:val="en-US" w:eastAsia="zh-CN"/>
        </w:rPr>
        <w:t>120</w:t>
      </w:r>
      <w:r>
        <w:rPr>
          <w:rFonts w:hint="eastAsia" w:ascii="仿宋_GB2312" w:hAnsi="Times New Roman" w:eastAsia="仿宋_GB2312" w:cs="Times New Roman"/>
          <w:sz w:val="28"/>
          <w:szCs w:val="28"/>
        </w:rPr>
        <w:t>人，实际</w:t>
      </w:r>
      <w:r>
        <w:rPr>
          <w:rFonts w:hint="eastAsia" w:ascii="仿宋_GB2312" w:eastAsia="仿宋_GB2312" w:cs="Times New Roman"/>
          <w:sz w:val="28"/>
          <w:szCs w:val="28"/>
          <w:lang w:val="en-US" w:eastAsia="zh-CN"/>
        </w:rPr>
        <w:t>108</w:t>
      </w:r>
      <w:r>
        <w:rPr>
          <w:rFonts w:hint="eastAsia" w:ascii="仿宋_GB2312" w:hAnsi="Times New Roman" w:eastAsia="仿宋_GB2312" w:cs="Times New Roman"/>
          <w:sz w:val="28"/>
          <w:szCs w:val="28"/>
        </w:rPr>
        <w:t>人。</w:t>
      </w:r>
    </w:p>
    <w:p>
      <w:pPr>
        <w:pageBreakBefore w:val="0"/>
        <w:widowControl w:val="0"/>
        <w:tabs>
          <w:tab w:val="center" w:pos="6979"/>
        </w:tabs>
        <w:kinsoku/>
        <w:wordWrap/>
        <w:overflowPunct/>
        <w:topLinePunct w:val="0"/>
        <w:bidi w:val="0"/>
        <w:snapToGrid/>
        <w:spacing w:line="580" w:lineRule="exact"/>
        <w:ind w:firstLine="640" w:firstLineChars="200"/>
        <w:textAlignment w:val="auto"/>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15157.44</w:t>
      </w:r>
      <w:r>
        <w:rPr>
          <w:rFonts w:hint="eastAsia" w:ascii="仿宋_GB2312" w:eastAsia="仿宋_GB2312"/>
          <w:sz w:val="28"/>
          <w:szCs w:val="28"/>
        </w:rPr>
        <w:t>万元，</w:t>
      </w:r>
      <w:r>
        <w:rPr>
          <w:rFonts w:ascii="仿宋_GB2312" w:eastAsia="仿宋_GB2312"/>
          <w:sz w:val="28"/>
          <w:szCs w:val="28"/>
        </w:rPr>
        <w:t>比上年13867.21</w:t>
      </w:r>
      <w:r>
        <w:rPr>
          <w:rFonts w:hint="eastAsia" w:ascii="仿宋_GB2312" w:eastAsia="仿宋_GB2312"/>
          <w:sz w:val="28"/>
          <w:szCs w:val="28"/>
        </w:rPr>
        <w:t>万元</w:t>
      </w:r>
      <w:r>
        <w:rPr>
          <w:rFonts w:ascii="仿宋_GB2312" w:eastAsia="仿宋_GB2312"/>
          <w:sz w:val="28"/>
          <w:szCs w:val="28"/>
        </w:rPr>
        <w:t>增加</w:t>
      </w:r>
      <w:r>
        <w:rPr>
          <w:rFonts w:hint="eastAsia" w:ascii="仿宋_GB2312" w:eastAsia="仿宋_GB2312"/>
          <w:sz w:val="28"/>
          <w:szCs w:val="28"/>
          <w:lang w:val="en-US" w:eastAsia="zh-CN"/>
        </w:rPr>
        <w:t>1290.23</w:t>
      </w:r>
      <w:r>
        <w:rPr>
          <w:rFonts w:hint="eastAsia" w:ascii="仿宋_GB2312" w:eastAsia="仿宋_GB2312"/>
          <w:sz w:val="28"/>
          <w:szCs w:val="28"/>
        </w:rPr>
        <w:t>万元，增长</w:t>
      </w:r>
      <w:r>
        <w:rPr>
          <w:rFonts w:hint="eastAsia" w:ascii="仿宋_GB2312" w:eastAsia="仿宋_GB2312"/>
          <w:sz w:val="28"/>
          <w:szCs w:val="28"/>
          <w:lang w:val="en-US" w:eastAsia="zh-CN"/>
        </w:rPr>
        <w:t>9.3</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11541.71</w:t>
      </w:r>
      <w:r>
        <w:rPr>
          <w:rFonts w:hint="eastAsia" w:ascii="仿宋_GB2312" w:eastAsia="仿宋_GB2312"/>
          <w:sz w:val="28"/>
          <w:szCs w:val="28"/>
        </w:rPr>
        <w:t>万元，</w:t>
      </w:r>
      <w:r>
        <w:rPr>
          <w:rFonts w:ascii="仿宋_GB2312" w:eastAsia="仿宋_GB2312"/>
          <w:sz w:val="28"/>
          <w:szCs w:val="28"/>
        </w:rPr>
        <w:t>比上年12353.93</w:t>
      </w:r>
      <w:r>
        <w:rPr>
          <w:rFonts w:hint="eastAsia" w:ascii="仿宋_GB2312" w:eastAsia="仿宋_GB2312"/>
          <w:sz w:val="28"/>
          <w:szCs w:val="28"/>
        </w:rPr>
        <w:t>万元减少</w:t>
      </w:r>
      <w:r>
        <w:rPr>
          <w:rFonts w:hint="eastAsia" w:ascii="仿宋_GB2312" w:eastAsia="仿宋_GB2312"/>
          <w:sz w:val="28"/>
          <w:szCs w:val="28"/>
          <w:lang w:val="en-US" w:eastAsia="zh-CN"/>
        </w:rPr>
        <w:t>812.22</w:t>
      </w:r>
      <w:r>
        <w:rPr>
          <w:rFonts w:hint="eastAsia" w:ascii="仿宋_GB2312" w:eastAsia="仿宋_GB2312"/>
          <w:sz w:val="28"/>
          <w:szCs w:val="28"/>
        </w:rPr>
        <w:t>万元，下降</w:t>
      </w:r>
      <w:r>
        <w:rPr>
          <w:rFonts w:hint="eastAsia" w:ascii="仿宋_GB2312" w:eastAsia="仿宋_GB2312"/>
          <w:sz w:val="28"/>
          <w:szCs w:val="28"/>
          <w:lang w:val="en-US" w:eastAsia="zh-CN"/>
        </w:rPr>
        <w:t>6.57</w:t>
      </w:r>
      <w:r>
        <w:rPr>
          <w:rFonts w:hint="eastAsia" w:ascii="仿宋_GB2312" w:eastAsia="仿宋_GB2312"/>
          <w:sz w:val="28"/>
          <w:szCs w:val="28"/>
        </w:rPr>
        <w:t>%</w:t>
      </w:r>
      <w:r>
        <w:rPr>
          <w:rFonts w:hint="eastAsia" w:ascii="仿宋_GB2312" w:eastAsia="仿宋_GB2312"/>
          <w:sz w:val="28"/>
          <w:szCs w:val="28"/>
          <w:lang w:eastAsia="zh-CN"/>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rPr>
      </w:pPr>
      <w:r>
        <w:rPr>
          <w:rFonts w:hint="eastAsia" w:ascii="仿宋_GB2312" w:eastAsia="仿宋_GB2312"/>
          <w:sz w:val="28"/>
          <w:szCs w:val="28"/>
        </w:rPr>
        <w:t>1.财政拨款收入</w:t>
      </w:r>
      <w:r>
        <w:rPr>
          <w:rFonts w:ascii="仿宋_GB2312" w:eastAsia="仿宋_GB2312"/>
          <w:sz w:val="28"/>
          <w:szCs w:val="28"/>
        </w:rPr>
        <w:t>9292.35</w:t>
      </w:r>
      <w:r>
        <w:rPr>
          <w:rFonts w:hint="eastAsia" w:ascii="仿宋_GB2312" w:eastAsia="仿宋_GB2312"/>
          <w:sz w:val="28"/>
          <w:szCs w:val="28"/>
        </w:rPr>
        <w:t>万元，占收入合计的</w:t>
      </w:r>
      <w:r>
        <w:rPr>
          <w:rFonts w:ascii="仿宋_GB2312" w:eastAsia="仿宋_GB2312"/>
          <w:sz w:val="28"/>
          <w:szCs w:val="28"/>
        </w:rPr>
        <w:t>80.51</w:t>
      </w:r>
      <w:r>
        <w:rPr>
          <w:rFonts w:hint="eastAsia" w:ascii="仿宋_GB2312" w:eastAsia="仿宋_GB2312"/>
          <w:sz w:val="28"/>
          <w:szCs w:val="28"/>
        </w:rPr>
        <w:t>%。其中：一般公共预算财政拨款收入</w:t>
      </w:r>
      <w:r>
        <w:rPr>
          <w:rFonts w:ascii="仿宋_GB2312" w:eastAsia="仿宋_GB2312"/>
          <w:sz w:val="28"/>
          <w:szCs w:val="28"/>
        </w:rPr>
        <w:t>9256.75</w:t>
      </w:r>
      <w:r>
        <w:rPr>
          <w:rFonts w:hint="eastAsia" w:ascii="仿宋_GB2312" w:eastAsia="仿宋_GB2312"/>
          <w:sz w:val="28"/>
          <w:szCs w:val="28"/>
        </w:rPr>
        <w:t>万元，占收入合计的</w:t>
      </w:r>
      <w:r>
        <w:rPr>
          <w:rFonts w:ascii="仿宋_GB2312" w:eastAsia="仿宋_GB2312"/>
          <w:sz w:val="28"/>
          <w:szCs w:val="28"/>
        </w:rPr>
        <w:t>80.2</w:t>
      </w:r>
      <w:r>
        <w:rPr>
          <w:rFonts w:hint="eastAsia" w:ascii="仿宋_GB2312" w:eastAsia="仿宋_GB2312"/>
          <w:sz w:val="28"/>
          <w:szCs w:val="28"/>
        </w:rPr>
        <w:t>%；政府性基金预算财政拨款收入</w:t>
      </w:r>
      <w:r>
        <w:rPr>
          <w:rFonts w:ascii="仿宋_GB2312" w:eastAsia="仿宋_GB2312"/>
          <w:sz w:val="28"/>
          <w:szCs w:val="28"/>
        </w:rPr>
        <w:t>35.6</w:t>
      </w:r>
      <w:r>
        <w:rPr>
          <w:rFonts w:hint="eastAsia" w:ascii="仿宋_GB2312" w:eastAsia="仿宋_GB2312"/>
          <w:sz w:val="28"/>
          <w:szCs w:val="28"/>
        </w:rPr>
        <w:t>万元，占收入合计的</w:t>
      </w:r>
      <w:r>
        <w:rPr>
          <w:rFonts w:ascii="仿宋_GB2312" w:eastAsia="仿宋_GB2312"/>
          <w:sz w:val="28"/>
          <w:szCs w:val="28"/>
        </w:rPr>
        <w:t>0.3</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2249.36</w:t>
      </w:r>
      <w:r>
        <w:rPr>
          <w:rFonts w:hint="eastAsia" w:ascii="仿宋_GB2312" w:eastAsia="仿宋_GB2312"/>
          <w:sz w:val="28"/>
          <w:szCs w:val="28"/>
        </w:rPr>
        <w:t>万元，占收入合计的</w:t>
      </w:r>
      <w:r>
        <w:rPr>
          <w:rFonts w:ascii="仿宋_GB2312" w:eastAsia="仿宋_GB2312"/>
          <w:sz w:val="28"/>
          <w:szCs w:val="28"/>
        </w:rPr>
        <w:t>19.48</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640" w:firstLineChars="200"/>
        <w:jc w:val="center"/>
        <w:textAlignment w:val="auto"/>
        <w:rPr>
          <w:rFonts w:hint="default"/>
          <w:lang w:val="en-US"/>
        </w:rPr>
      </w:pPr>
      <w:r>
        <w:rPr>
          <w:rFonts w:hint="eastAsia" w:ascii="仿宋_GB2312" w:eastAsia="仿宋_GB2312"/>
          <w:color w:val="000000"/>
          <w:sz w:val="32"/>
          <w:szCs w:val="32"/>
          <w:highlight w:val="none"/>
          <w:lang w:val="en-US" w:eastAsia="zh-CN"/>
        </w:rPr>
        <w:t>图1：收入决算</w:t>
      </w:r>
    </w:p>
    <w:p>
      <w:pPr>
        <w:pageBreakBefore w:val="0"/>
        <w:widowControl w:val="0"/>
        <w:kinsoku/>
        <w:wordWrap/>
        <w:overflowPunct/>
        <w:topLinePunct w:val="0"/>
        <w:bidi w:val="0"/>
        <w:snapToGrid/>
        <w:ind w:firstLine="420" w:firstLineChars="200"/>
        <w:jc w:val="center"/>
        <w:textAlignment w:val="auto"/>
        <w:rPr>
          <w:rFonts w:hint="eastAsia"/>
          <w:lang w:val="en-US" w:eastAsia="zh-CN"/>
        </w:rPr>
      </w:pPr>
      <w:r>
        <w:rPr>
          <w:rFonts w:hint="eastAsia"/>
          <w:lang w:val="en-US" w:eastAsia="zh-CN"/>
        </w:rPr>
        <w:drawing>
          <wp:inline distT="0" distB="0" distL="114300" distR="114300">
            <wp:extent cx="4556760" cy="2715260"/>
            <wp:effectExtent l="4445" t="4445" r="10795" b="2349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14929.43</w:t>
      </w:r>
      <w:r>
        <w:rPr>
          <w:rFonts w:hint="eastAsia" w:ascii="仿宋_GB2312" w:eastAsia="仿宋_GB2312"/>
          <w:sz w:val="28"/>
          <w:szCs w:val="28"/>
        </w:rPr>
        <w:t>万元，</w:t>
      </w:r>
      <w:r>
        <w:rPr>
          <w:rFonts w:ascii="仿宋_GB2312" w:eastAsia="仿宋_GB2312"/>
          <w:sz w:val="28"/>
          <w:szCs w:val="28"/>
        </w:rPr>
        <w:t>比上年12815.82</w:t>
      </w:r>
      <w:r>
        <w:rPr>
          <w:rFonts w:hint="eastAsia" w:ascii="仿宋_GB2312" w:eastAsia="仿宋_GB2312"/>
          <w:sz w:val="28"/>
          <w:szCs w:val="28"/>
        </w:rPr>
        <w:t>万元</w:t>
      </w:r>
      <w:r>
        <w:rPr>
          <w:rFonts w:ascii="仿宋_GB2312" w:eastAsia="仿宋_GB2312"/>
          <w:sz w:val="28"/>
          <w:szCs w:val="28"/>
        </w:rPr>
        <w:t>增加</w:t>
      </w:r>
      <w:r>
        <w:rPr>
          <w:rFonts w:hint="eastAsia" w:ascii="仿宋_GB2312" w:eastAsia="仿宋_GB2312"/>
          <w:sz w:val="28"/>
          <w:szCs w:val="28"/>
          <w:lang w:val="en-US" w:eastAsia="zh-CN"/>
        </w:rPr>
        <w:t>2113.61</w:t>
      </w:r>
      <w:r>
        <w:rPr>
          <w:rFonts w:hint="eastAsia" w:ascii="仿宋_GB2312" w:eastAsia="仿宋_GB2312"/>
          <w:sz w:val="28"/>
          <w:szCs w:val="28"/>
        </w:rPr>
        <w:t>万元，增长</w:t>
      </w:r>
      <w:r>
        <w:rPr>
          <w:rFonts w:hint="eastAsia" w:ascii="仿宋_GB2312" w:eastAsia="仿宋_GB2312"/>
          <w:sz w:val="28"/>
          <w:szCs w:val="28"/>
          <w:lang w:val="en-US" w:eastAsia="zh-CN"/>
        </w:rPr>
        <w:t>16.49</w:t>
      </w:r>
      <w:r>
        <w:rPr>
          <w:rFonts w:hint="eastAsia" w:ascii="仿宋_GB2312" w:eastAsia="仿宋_GB2312"/>
          <w:sz w:val="28"/>
          <w:szCs w:val="28"/>
        </w:rPr>
        <w:t>%，其中：基本支出</w:t>
      </w:r>
      <w:r>
        <w:rPr>
          <w:rFonts w:ascii="仿宋_GB2312" w:eastAsia="仿宋_GB2312"/>
          <w:sz w:val="28"/>
          <w:szCs w:val="28"/>
        </w:rPr>
        <w:t>7262.38</w:t>
      </w:r>
      <w:r>
        <w:rPr>
          <w:rFonts w:hint="eastAsia" w:ascii="仿宋_GB2312" w:eastAsia="仿宋_GB2312"/>
          <w:sz w:val="28"/>
          <w:szCs w:val="28"/>
        </w:rPr>
        <w:t>万元，占支出合计的</w:t>
      </w:r>
      <w:r>
        <w:rPr>
          <w:rFonts w:ascii="仿宋_GB2312" w:eastAsia="仿宋_GB2312"/>
          <w:sz w:val="28"/>
          <w:szCs w:val="28"/>
        </w:rPr>
        <w:t>48.64</w:t>
      </w:r>
      <w:r>
        <w:rPr>
          <w:rFonts w:hint="eastAsia" w:ascii="仿宋_GB2312" w:eastAsia="仿宋_GB2312"/>
          <w:sz w:val="28"/>
          <w:szCs w:val="28"/>
        </w:rPr>
        <w:t>%；项目支出</w:t>
      </w:r>
      <w:r>
        <w:rPr>
          <w:rFonts w:ascii="仿宋_GB2312" w:eastAsia="仿宋_GB2312"/>
          <w:sz w:val="28"/>
          <w:szCs w:val="28"/>
        </w:rPr>
        <w:t>7667.04</w:t>
      </w:r>
      <w:r>
        <w:rPr>
          <w:rFonts w:hint="eastAsia" w:ascii="仿宋_GB2312" w:eastAsia="仿宋_GB2312"/>
          <w:sz w:val="28"/>
          <w:szCs w:val="28"/>
        </w:rPr>
        <w:t>万元，占支出合计的</w:t>
      </w:r>
      <w:r>
        <w:rPr>
          <w:rFonts w:ascii="仿宋_GB2312" w:eastAsia="仿宋_GB2312"/>
          <w:sz w:val="28"/>
          <w:szCs w:val="28"/>
        </w:rPr>
        <w:t>51.35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pageBreakBefore w:val="0"/>
        <w:widowControl w:val="0"/>
        <w:kinsoku/>
        <w:wordWrap/>
        <w:overflowPunct/>
        <w:topLinePunct w:val="0"/>
        <w:bidi w:val="0"/>
        <w:snapToGrid/>
        <w:ind w:firstLine="640" w:firstLineChars="200"/>
        <w:jc w:val="center"/>
        <w:textAlignment w:val="auto"/>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pageBreakBefore w:val="0"/>
        <w:widowControl w:val="0"/>
        <w:kinsoku/>
        <w:wordWrap/>
        <w:overflowPunct/>
        <w:topLinePunct w:val="0"/>
        <w:bidi w:val="0"/>
        <w:snapToGrid/>
        <w:ind w:firstLine="420" w:firstLineChars="200"/>
        <w:jc w:val="center"/>
        <w:textAlignment w:val="auto"/>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9292.35</w:t>
      </w:r>
      <w:r>
        <w:rPr>
          <w:rFonts w:hint="eastAsia" w:ascii="仿宋_GB2312" w:eastAsia="仿宋_GB2312"/>
          <w:sz w:val="28"/>
          <w:szCs w:val="28"/>
        </w:rPr>
        <w:t>万元，比上年</w:t>
      </w:r>
      <w:r>
        <w:rPr>
          <w:rFonts w:ascii="仿宋_GB2312" w:eastAsia="仿宋_GB2312"/>
          <w:sz w:val="28"/>
          <w:szCs w:val="28"/>
        </w:rPr>
        <w:t>8839.4</w:t>
      </w:r>
      <w:r>
        <w:rPr>
          <w:rFonts w:hint="eastAsia" w:ascii="仿宋_GB2312" w:eastAsia="仿宋_GB2312"/>
          <w:sz w:val="28"/>
          <w:szCs w:val="28"/>
        </w:rPr>
        <w:t>万元</w:t>
      </w:r>
      <w:r>
        <w:rPr>
          <w:rFonts w:ascii="仿宋_GB2312" w:eastAsia="仿宋_GB2312"/>
          <w:sz w:val="28"/>
          <w:szCs w:val="28"/>
        </w:rPr>
        <w:t>增加</w:t>
      </w:r>
      <w:r>
        <w:rPr>
          <w:rFonts w:hint="eastAsia" w:ascii="仿宋_GB2312" w:eastAsia="仿宋_GB2312"/>
          <w:sz w:val="28"/>
          <w:szCs w:val="28"/>
          <w:lang w:val="en-US" w:eastAsia="zh-CN"/>
        </w:rPr>
        <w:t>452.95</w:t>
      </w:r>
      <w:r>
        <w:rPr>
          <w:rFonts w:hint="eastAsia" w:ascii="仿宋_GB2312" w:eastAsia="仿宋_GB2312"/>
          <w:sz w:val="28"/>
          <w:szCs w:val="28"/>
        </w:rPr>
        <w:t>万元，增长</w:t>
      </w:r>
      <w:r>
        <w:rPr>
          <w:rFonts w:hint="eastAsia" w:ascii="仿宋_GB2312" w:eastAsia="仿宋_GB2312"/>
          <w:sz w:val="28"/>
          <w:szCs w:val="28"/>
          <w:lang w:val="en-US" w:eastAsia="zh-CN"/>
        </w:rPr>
        <w:t>5.12</w:t>
      </w:r>
      <w:r>
        <w:rPr>
          <w:rFonts w:hint="eastAsia" w:ascii="仿宋_GB2312" w:eastAsia="仿宋_GB2312"/>
          <w:sz w:val="28"/>
          <w:szCs w:val="28"/>
        </w:rPr>
        <w:t>%。主要原因：</w:t>
      </w:r>
      <w:r>
        <w:rPr>
          <w:rFonts w:hint="eastAsia" w:ascii="仿宋_GB2312" w:eastAsia="仿宋_GB2312"/>
          <w:sz w:val="28"/>
          <w:szCs w:val="28"/>
          <w:lang w:eastAsia="zh-CN"/>
        </w:rPr>
        <w:t>年中追加</w:t>
      </w:r>
      <w:r>
        <w:rPr>
          <w:rFonts w:hint="eastAsia" w:ascii="仿宋_GB2312" w:eastAsia="仿宋_GB2312"/>
          <w:sz w:val="28"/>
          <w:szCs w:val="28"/>
        </w:rPr>
        <w:t>北京市房地一体的宅基地、集体建设用地地籍调查和确权登记工作</w:t>
      </w:r>
      <w:r>
        <w:rPr>
          <w:rFonts w:hint="eastAsia" w:ascii="仿宋_GB2312" w:eastAsia="仿宋_GB2312"/>
          <w:sz w:val="28"/>
          <w:szCs w:val="28"/>
          <w:lang w:val="en-US" w:eastAsia="zh-CN"/>
        </w:rPr>
        <w:t>；落实人员经费相关政策，</w:t>
      </w:r>
      <w:r>
        <w:rPr>
          <w:rFonts w:hint="eastAsia" w:ascii="仿宋_GB2312" w:eastAsia="仿宋_GB2312"/>
          <w:sz w:val="28"/>
          <w:szCs w:val="28"/>
        </w:rPr>
        <w:t>基本经费人员经费按标准调级增加。</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四、一般公共预算财政拨款支出决算情况说明</w:t>
      </w: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9149.88</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2.31万元，</w:t>
      </w:r>
      <w:r>
        <w:rPr>
          <w:rFonts w:hint="eastAsia" w:ascii="仿宋_GB2312" w:eastAsia="仿宋_GB2312"/>
          <w:kern w:val="0"/>
          <w:sz w:val="28"/>
          <w:szCs w:val="28"/>
        </w:rPr>
        <w:t>占本年财政拨款支出</w:t>
      </w:r>
      <w:r>
        <w:rPr>
          <w:rFonts w:hint="eastAsia" w:ascii="仿宋_GB2312" w:eastAsia="仿宋_GB2312"/>
          <w:kern w:val="0"/>
          <w:sz w:val="28"/>
          <w:szCs w:val="28"/>
          <w:lang w:val="en-US" w:eastAsia="zh-CN"/>
        </w:rPr>
        <w:t>0.03</w:t>
      </w:r>
      <w:r>
        <w:rPr>
          <w:rFonts w:hint="eastAsia" w:ascii="仿宋_GB2312" w:eastAsia="仿宋_GB2312"/>
          <w:kern w:val="0"/>
          <w:sz w:val="28"/>
          <w:szCs w:val="28"/>
        </w:rPr>
        <w:t>%；社会保障和就业支出</w:t>
      </w:r>
      <w:r>
        <w:rPr>
          <w:rFonts w:hint="eastAsia" w:ascii="仿宋_GB2312" w:eastAsia="仿宋_GB2312"/>
          <w:kern w:val="0"/>
          <w:sz w:val="28"/>
          <w:szCs w:val="28"/>
          <w:lang w:val="en-US" w:eastAsia="zh-CN"/>
        </w:rPr>
        <w:t>790.27</w:t>
      </w:r>
      <w:r>
        <w:rPr>
          <w:rFonts w:hint="eastAsia" w:ascii="仿宋_GB2312" w:eastAsia="仿宋_GB2312"/>
          <w:kern w:val="0"/>
          <w:sz w:val="28"/>
          <w:szCs w:val="28"/>
        </w:rPr>
        <w:t>万元，占本年财政拨款支出</w:t>
      </w:r>
      <w:r>
        <w:rPr>
          <w:rFonts w:hint="eastAsia" w:ascii="仿宋_GB2312" w:eastAsia="仿宋_GB2312"/>
          <w:kern w:val="0"/>
          <w:sz w:val="28"/>
          <w:szCs w:val="28"/>
          <w:lang w:val="en-US" w:eastAsia="zh-CN"/>
        </w:rPr>
        <w:t>8</w:t>
      </w:r>
      <w:r>
        <w:rPr>
          <w:rFonts w:hint="eastAsia" w:ascii="仿宋_GB2312" w:eastAsia="仿宋_GB2312"/>
          <w:kern w:val="0"/>
          <w:sz w:val="28"/>
          <w:szCs w:val="28"/>
        </w:rPr>
        <w:t>.6</w:t>
      </w:r>
      <w:r>
        <w:rPr>
          <w:rFonts w:hint="eastAsia" w:ascii="仿宋_GB2312" w:eastAsia="仿宋_GB2312"/>
          <w:kern w:val="0"/>
          <w:sz w:val="28"/>
          <w:szCs w:val="28"/>
          <w:lang w:val="en-US" w:eastAsia="zh-CN"/>
        </w:rPr>
        <w:t>4</w:t>
      </w:r>
      <w:r>
        <w:rPr>
          <w:rFonts w:hint="eastAsia" w:ascii="仿宋_GB2312" w:eastAsia="仿宋_GB2312"/>
          <w:kern w:val="0"/>
          <w:sz w:val="28"/>
          <w:szCs w:val="28"/>
        </w:rPr>
        <w:t>%；卫生健康支出</w:t>
      </w:r>
      <w:r>
        <w:rPr>
          <w:rFonts w:hint="eastAsia" w:ascii="仿宋_GB2312" w:eastAsia="仿宋_GB2312"/>
          <w:kern w:val="0"/>
          <w:sz w:val="28"/>
          <w:szCs w:val="28"/>
          <w:lang w:val="en-US" w:eastAsia="zh-CN"/>
        </w:rPr>
        <w:t>503.27</w:t>
      </w:r>
      <w:r>
        <w:rPr>
          <w:rFonts w:hint="eastAsia" w:ascii="仿宋_GB2312" w:eastAsia="仿宋_GB2312"/>
          <w:kern w:val="0"/>
          <w:sz w:val="28"/>
          <w:szCs w:val="28"/>
        </w:rPr>
        <w:t>万元，占本年财政拨款支出</w:t>
      </w:r>
      <w:r>
        <w:rPr>
          <w:rFonts w:hint="eastAsia" w:ascii="仿宋_GB2312" w:eastAsia="仿宋_GB2312"/>
          <w:kern w:val="0"/>
          <w:sz w:val="28"/>
          <w:szCs w:val="28"/>
          <w:lang w:val="en-US" w:eastAsia="zh-CN"/>
        </w:rPr>
        <w:t>5.5</w:t>
      </w:r>
      <w:r>
        <w:rPr>
          <w:rFonts w:hint="eastAsia" w:ascii="仿宋_GB2312" w:eastAsia="仿宋_GB2312"/>
          <w:kern w:val="0"/>
          <w:sz w:val="28"/>
          <w:szCs w:val="28"/>
        </w:rPr>
        <w:t>%；自然资源海洋气象等支出</w:t>
      </w:r>
      <w:r>
        <w:rPr>
          <w:rFonts w:hint="eastAsia" w:ascii="仿宋_GB2312" w:eastAsia="仿宋_GB2312"/>
          <w:kern w:val="0"/>
          <w:sz w:val="28"/>
          <w:szCs w:val="28"/>
          <w:lang w:val="en-US" w:eastAsia="zh-CN"/>
        </w:rPr>
        <w:t>7854.03</w:t>
      </w:r>
      <w:r>
        <w:rPr>
          <w:rFonts w:hint="eastAsia" w:ascii="仿宋_GB2312" w:eastAsia="仿宋_GB2312"/>
          <w:kern w:val="0"/>
          <w:sz w:val="28"/>
          <w:szCs w:val="28"/>
        </w:rPr>
        <w:t>万元，占本年财政拨款支出</w:t>
      </w:r>
      <w:r>
        <w:rPr>
          <w:rFonts w:hint="eastAsia" w:ascii="仿宋_GB2312" w:eastAsia="仿宋_GB2312"/>
          <w:kern w:val="0"/>
          <w:sz w:val="28"/>
          <w:szCs w:val="28"/>
          <w:lang w:val="en-US" w:eastAsia="zh-CN"/>
        </w:rPr>
        <w:t>85.83</w:t>
      </w:r>
      <w:r>
        <w:rPr>
          <w:rFonts w:hint="eastAsia" w:ascii="仿宋_GB2312" w:eastAsia="仿宋_GB2312"/>
          <w:kern w:val="0"/>
          <w:sz w:val="28"/>
          <w:szCs w:val="28"/>
        </w:rPr>
        <w:t>%。</w:t>
      </w:r>
    </w:p>
    <w:p>
      <w:pPr>
        <w:pageBreakBefore w:val="0"/>
        <w:widowControl w:val="0"/>
        <w:numPr>
          <w:ilvl w:val="0"/>
          <w:numId w:val="1"/>
        </w:numPr>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一般公共预算财政拨款支出决算具体情况</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kern w:val="0"/>
          <w:sz w:val="28"/>
          <w:szCs w:val="28"/>
        </w:rPr>
      </w:pPr>
      <w:r>
        <w:rPr>
          <w:rFonts w:hint="eastAsia" w:ascii="仿宋_GB2312" w:eastAsia="仿宋_GB2312"/>
          <w:kern w:val="0"/>
          <w:sz w:val="28"/>
          <w:szCs w:val="28"/>
          <w:lang w:val="en-US" w:eastAsia="zh-CN"/>
        </w:rPr>
        <w:t>1.</w:t>
      </w:r>
      <w:r>
        <w:rPr>
          <w:rFonts w:hint="eastAsia" w:ascii="仿宋_GB2312" w:eastAsia="仿宋_GB2312"/>
          <w:kern w:val="0"/>
          <w:sz w:val="28"/>
          <w:szCs w:val="28"/>
        </w:rPr>
        <w:t>“</w:t>
      </w:r>
      <w:r>
        <w:rPr>
          <w:rFonts w:hint="eastAsia" w:ascii="仿宋_GB2312" w:eastAsia="仿宋_GB2312"/>
          <w:kern w:val="0"/>
          <w:sz w:val="28"/>
          <w:szCs w:val="28"/>
          <w:lang w:val="en-US" w:eastAsia="zh-CN"/>
        </w:rPr>
        <w:t>教育支出</w:t>
      </w:r>
      <w:r>
        <w:rPr>
          <w:rFonts w:hint="eastAsia" w:ascii="仿宋_GB2312" w:eastAsia="仿宋_GB2312"/>
          <w:kern w:val="0"/>
          <w:sz w:val="28"/>
          <w:szCs w:val="28"/>
        </w:rPr>
        <w:t>”(类)202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年度决算</w:t>
      </w:r>
      <w:r>
        <w:rPr>
          <w:rFonts w:hint="eastAsia" w:ascii="仿宋_GB2312" w:eastAsia="仿宋_GB2312"/>
          <w:kern w:val="0"/>
          <w:sz w:val="28"/>
          <w:szCs w:val="28"/>
          <w:lang w:val="en-US" w:eastAsia="zh-CN"/>
        </w:rPr>
        <w:t>2.31</w:t>
      </w:r>
      <w:r>
        <w:rPr>
          <w:rFonts w:hint="eastAsia" w:ascii="仿宋_GB2312" w:eastAsia="仿宋_GB2312"/>
          <w:kern w:val="0"/>
          <w:sz w:val="28"/>
          <w:szCs w:val="28"/>
        </w:rPr>
        <w:t>万元，比202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年年初预算</w:t>
      </w:r>
      <w:r>
        <w:rPr>
          <w:rFonts w:hint="eastAsia" w:ascii="仿宋_GB2312" w:eastAsia="仿宋_GB2312"/>
          <w:kern w:val="0"/>
          <w:sz w:val="28"/>
          <w:szCs w:val="28"/>
          <w:lang w:val="en-US" w:eastAsia="zh-CN"/>
        </w:rPr>
        <w:t>0.95</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增加1.36</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增长143.16</w:t>
      </w:r>
      <w:r>
        <w:rPr>
          <w:rFonts w:hint="eastAsia" w:ascii="仿宋_GB2312" w:eastAsia="仿宋_GB2312"/>
          <w:kern w:val="0"/>
          <w:sz w:val="28"/>
          <w:szCs w:val="28"/>
        </w:rPr>
        <w:t>%。其中：</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“进修及培训支出”（款）2023年度决算2.31万元，比2023年年初预算0.95万元，增加1.36万元，增长143.16%。主要原因：2023年度培训费相应增加。</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kern w:val="0"/>
          <w:sz w:val="28"/>
          <w:szCs w:val="28"/>
        </w:rPr>
      </w:pPr>
      <w:r>
        <w:rPr>
          <w:rFonts w:hint="eastAsia" w:ascii="仿宋_GB2312" w:eastAsia="仿宋_GB2312"/>
          <w:kern w:val="0"/>
          <w:sz w:val="28"/>
          <w:szCs w:val="28"/>
          <w:lang w:val="en-US" w:eastAsia="zh-CN"/>
        </w:rPr>
        <w:t>2.</w:t>
      </w:r>
      <w:r>
        <w:rPr>
          <w:rFonts w:hint="eastAsia" w:ascii="仿宋_GB2312" w:eastAsia="仿宋_GB2312"/>
          <w:kern w:val="0"/>
          <w:sz w:val="28"/>
          <w:szCs w:val="28"/>
        </w:rPr>
        <w:t>“社会保障和就业支出”(类)202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年度决算</w:t>
      </w:r>
      <w:r>
        <w:rPr>
          <w:rFonts w:hint="eastAsia" w:ascii="仿宋_GB2312" w:eastAsia="仿宋_GB2312"/>
          <w:kern w:val="0"/>
          <w:sz w:val="28"/>
          <w:szCs w:val="28"/>
          <w:lang w:val="en-US" w:eastAsia="zh-CN"/>
        </w:rPr>
        <w:t>790.27</w:t>
      </w:r>
      <w:r>
        <w:rPr>
          <w:rFonts w:hint="eastAsia" w:ascii="仿宋_GB2312" w:eastAsia="仿宋_GB2312"/>
          <w:kern w:val="0"/>
          <w:sz w:val="28"/>
          <w:szCs w:val="28"/>
        </w:rPr>
        <w:t>万元，比202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年年初预算</w:t>
      </w:r>
      <w:r>
        <w:rPr>
          <w:rFonts w:hint="eastAsia" w:ascii="仿宋_GB2312" w:eastAsia="仿宋_GB2312"/>
          <w:kern w:val="0"/>
          <w:sz w:val="28"/>
          <w:szCs w:val="28"/>
          <w:lang w:val="en-US" w:eastAsia="zh-CN"/>
        </w:rPr>
        <w:t>717.27</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增加73</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增长10.18</w:t>
      </w:r>
      <w:r>
        <w:rPr>
          <w:rFonts w:hint="eastAsia" w:ascii="仿宋_GB2312" w:eastAsia="仿宋_GB2312"/>
          <w:kern w:val="0"/>
          <w:sz w:val="28"/>
          <w:szCs w:val="28"/>
        </w:rPr>
        <w:t>%。其中：</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kern w:val="0"/>
          <w:sz w:val="28"/>
          <w:szCs w:val="28"/>
        </w:rPr>
        <w:t>“行政事业单位养老支出”（款）202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年度决算</w:t>
      </w:r>
      <w:r>
        <w:rPr>
          <w:rFonts w:hint="eastAsia" w:ascii="仿宋_GB2312" w:eastAsia="仿宋_GB2312"/>
          <w:kern w:val="0"/>
          <w:sz w:val="28"/>
          <w:szCs w:val="28"/>
          <w:lang w:val="en-US" w:eastAsia="zh-CN"/>
        </w:rPr>
        <w:t>790.27</w:t>
      </w:r>
      <w:r>
        <w:rPr>
          <w:rFonts w:hint="eastAsia" w:ascii="仿宋_GB2312" w:eastAsia="仿宋_GB2312"/>
          <w:kern w:val="0"/>
          <w:sz w:val="28"/>
          <w:szCs w:val="28"/>
        </w:rPr>
        <w:t>万元，比202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年年初预算</w:t>
      </w:r>
      <w:r>
        <w:rPr>
          <w:rFonts w:hint="eastAsia" w:ascii="仿宋_GB2312" w:eastAsia="仿宋_GB2312"/>
          <w:kern w:val="0"/>
          <w:sz w:val="28"/>
          <w:szCs w:val="28"/>
          <w:lang w:val="en-US" w:eastAsia="zh-CN"/>
        </w:rPr>
        <w:t>717.27</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增加73</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增长10.18</w:t>
      </w:r>
      <w:r>
        <w:rPr>
          <w:rFonts w:hint="eastAsia" w:ascii="仿宋_GB2312" w:eastAsia="仿宋_GB2312"/>
          <w:kern w:val="0"/>
          <w:sz w:val="28"/>
          <w:szCs w:val="28"/>
        </w:rPr>
        <w:t>%。主要原因：</w:t>
      </w:r>
      <w:r>
        <w:rPr>
          <w:rFonts w:hint="eastAsia" w:ascii="仿宋_GB2312" w:eastAsia="仿宋_GB2312"/>
          <w:sz w:val="28"/>
          <w:szCs w:val="28"/>
          <w:lang w:val="en-US" w:eastAsia="zh-CN"/>
        </w:rPr>
        <w:t>2023年度养老社保基数变动，</w:t>
      </w:r>
      <w:r>
        <w:rPr>
          <w:rFonts w:hint="eastAsia" w:ascii="仿宋_GB2312" w:eastAsia="仿宋_GB2312"/>
          <w:kern w:val="0"/>
          <w:sz w:val="28"/>
          <w:szCs w:val="28"/>
          <w:lang w:eastAsia="zh-CN"/>
        </w:rPr>
        <w:t>新招录</w:t>
      </w:r>
      <w:r>
        <w:rPr>
          <w:rFonts w:hint="eastAsia" w:ascii="仿宋_GB2312" w:eastAsia="仿宋_GB2312"/>
          <w:kern w:val="0"/>
          <w:sz w:val="28"/>
          <w:szCs w:val="28"/>
          <w:lang w:val="en-US" w:eastAsia="zh-CN"/>
        </w:rPr>
        <w:t>工作人员，</w:t>
      </w:r>
      <w:r>
        <w:rPr>
          <w:rFonts w:hint="eastAsia" w:ascii="仿宋_GB2312" w:eastAsia="仿宋_GB2312"/>
          <w:sz w:val="28"/>
          <w:szCs w:val="28"/>
          <w:lang w:val="en-US" w:eastAsia="zh-CN"/>
        </w:rPr>
        <w:t>社保费用相应增加。</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kern w:val="0"/>
          <w:sz w:val="28"/>
          <w:szCs w:val="28"/>
        </w:rPr>
      </w:pPr>
      <w:r>
        <w:rPr>
          <w:rFonts w:hint="eastAsia" w:ascii="仿宋_GB2312" w:eastAsia="仿宋_GB2312"/>
          <w:kern w:val="0"/>
          <w:sz w:val="28"/>
          <w:szCs w:val="28"/>
          <w:lang w:val="en-US" w:eastAsia="zh-CN"/>
        </w:rPr>
        <w:t>3.</w:t>
      </w:r>
      <w:r>
        <w:rPr>
          <w:rFonts w:hint="eastAsia" w:ascii="仿宋_GB2312" w:eastAsia="仿宋_GB2312"/>
          <w:kern w:val="0"/>
          <w:sz w:val="28"/>
          <w:szCs w:val="28"/>
        </w:rPr>
        <w:t>“卫生健康支出”(类)202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年度决算</w:t>
      </w:r>
      <w:r>
        <w:rPr>
          <w:rFonts w:hint="eastAsia" w:ascii="仿宋_GB2312" w:eastAsia="仿宋_GB2312"/>
          <w:kern w:val="0"/>
          <w:sz w:val="28"/>
          <w:szCs w:val="28"/>
          <w:lang w:val="en-US" w:eastAsia="zh-CN"/>
        </w:rPr>
        <w:t>503.27</w:t>
      </w:r>
      <w:r>
        <w:rPr>
          <w:rFonts w:hint="eastAsia" w:ascii="仿宋_GB2312" w:eastAsia="仿宋_GB2312"/>
          <w:kern w:val="0"/>
          <w:sz w:val="28"/>
          <w:szCs w:val="28"/>
        </w:rPr>
        <w:t>万元，比202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年年初预算</w:t>
      </w:r>
      <w:r>
        <w:rPr>
          <w:rFonts w:hint="eastAsia" w:ascii="仿宋_GB2312" w:eastAsia="仿宋_GB2312"/>
          <w:kern w:val="0"/>
          <w:sz w:val="28"/>
          <w:szCs w:val="28"/>
          <w:lang w:val="en-US" w:eastAsia="zh-CN"/>
        </w:rPr>
        <w:t>485.96</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增加17.31</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增长3.56</w:t>
      </w:r>
      <w:r>
        <w:rPr>
          <w:rFonts w:hint="eastAsia" w:ascii="仿宋_GB2312" w:eastAsia="仿宋_GB2312"/>
          <w:kern w:val="0"/>
          <w:sz w:val="28"/>
          <w:szCs w:val="28"/>
        </w:rPr>
        <w:t>%。其中：</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kern w:val="0"/>
          <w:sz w:val="28"/>
          <w:szCs w:val="28"/>
        </w:rPr>
      </w:pPr>
      <w:r>
        <w:rPr>
          <w:rFonts w:hint="eastAsia" w:ascii="仿宋_GB2312" w:eastAsia="仿宋_GB2312"/>
          <w:kern w:val="0"/>
          <w:sz w:val="28"/>
          <w:szCs w:val="28"/>
        </w:rPr>
        <w:t>“行政事业单位医疗支出”（款）202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年度决算</w:t>
      </w:r>
      <w:r>
        <w:rPr>
          <w:rFonts w:hint="eastAsia" w:ascii="仿宋_GB2312" w:eastAsia="仿宋_GB2312"/>
          <w:kern w:val="0"/>
          <w:sz w:val="28"/>
          <w:szCs w:val="28"/>
          <w:lang w:val="en-US" w:eastAsia="zh-CN"/>
        </w:rPr>
        <w:t>503.27</w:t>
      </w:r>
      <w:r>
        <w:rPr>
          <w:rFonts w:hint="eastAsia" w:ascii="仿宋_GB2312" w:eastAsia="仿宋_GB2312"/>
          <w:kern w:val="0"/>
          <w:sz w:val="28"/>
          <w:szCs w:val="28"/>
        </w:rPr>
        <w:t>万元，比202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年年初预算</w:t>
      </w:r>
      <w:r>
        <w:rPr>
          <w:rFonts w:hint="eastAsia" w:ascii="仿宋_GB2312" w:eastAsia="仿宋_GB2312"/>
          <w:kern w:val="0"/>
          <w:sz w:val="28"/>
          <w:szCs w:val="28"/>
          <w:lang w:val="en-US" w:eastAsia="zh-CN"/>
        </w:rPr>
        <w:t>485.96</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增加17.31</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增长3.56</w:t>
      </w:r>
      <w:r>
        <w:rPr>
          <w:rFonts w:hint="eastAsia" w:ascii="仿宋_GB2312" w:eastAsia="仿宋_GB2312"/>
          <w:kern w:val="0"/>
          <w:sz w:val="28"/>
          <w:szCs w:val="28"/>
        </w:rPr>
        <w:t>%。主要原因：</w:t>
      </w:r>
      <w:r>
        <w:rPr>
          <w:rFonts w:hint="eastAsia" w:ascii="仿宋_GB2312" w:eastAsia="仿宋_GB2312"/>
          <w:sz w:val="28"/>
          <w:szCs w:val="28"/>
          <w:lang w:val="en-US" w:eastAsia="zh-CN"/>
        </w:rPr>
        <w:t>2023年度医疗社保基数变动，社保费用相应增加</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kern w:val="0"/>
          <w:sz w:val="28"/>
          <w:szCs w:val="28"/>
        </w:rPr>
      </w:pPr>
      <w:r>
        <w:rPr>
          <w:rFonts w:hint="eastAsia" w:ascii="仿宋_GB2312" w:eastAsia="仿宋_GB2312"/>
          <w:kern w:val="0"/>
          <w:sz w:val="28"/>
          <w:szCs w:val="28"/>
          <w:lang w:val="en-US" w:eastAsia="zh-CN"/>
        </w:rPr>
        <w:t>4.</w:t>
      </w:r>
      <w:r>
        <w:rPr>
          <w:rFonts w:hint="eastAsia" w:ascii="仿宋_GB2312" w:eastAsia="仿宋_GB2312"/>
          <w:kern w:val="0"/>
          <w:sz w:val="28"/>
          <w:szCs w:val="28"/>
        </w:rPr>
        <w:t>“自然资源海洋气象等支出”(类)202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年度决算</w:t>
      </w:r>
      <w:r>
        <w:rPr>
          <w:rFonts w:hint="eastAsia" w:ascii="仿宋_GB2312" w:eastAsia="仿宋_GB2312"/>
          <w:kern w:val="0"/>
          <w:sz w:val="28"/>
          <w:szCs w:val="28"/>
          <w:lang w:val="en-US" w:eastAsia="zh-CN"/>
        </w:rPr>
        <w:t>7854.03</w:t>
      </w:r>
      <w:r>
        <w:rPr>
          <w:rFonts w:hint="eastAsia" w:ascii="仿宋_GB2312" w:eastAsia="仿宋_GB2312"/>
          <w:kern w:val="0"/>
          <w:sz w:val="28"/>
          <w:szCs w:val="28"/>
        </w:rPr>
        <w:t>万元，比202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年年初预算</w:t>
      </w:r>
      <w:r>
        <w:rPr>
          <w:rFonts w:hint="eastAsia" w:ascii="仿宋_GB2312" w:eastAsia="仿宋_GB2312"/>
          <w:kern w:val="0"/>
          <w:sz w:val="28"/>
          <w:szCs w:val="28"/>
          <w:lang w:val="en-US" w:eastAsia="zh-CN"/>
        </w:rPr>
        <w:t>6370.51</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增加1483.52</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增长23.29</w:t>
      </w:r>
      <w:r>
        <w:rPr>
          <w:rFonts w:hint="eastAsia" w:ascii="仿宋_GB2312" w:eastAsia="仿宋_GB2312"/>
          <w:kern w:val="0"/>
          <w:sz w:val="28"/>
          <w:szCs w:val="28"/>
        </w:rPr>
        <w:t>%。其中：</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kern w:val="0"/>
          <w:sz w:val="28"/>
          <w:szCs w:val="28"/>
        </w:rPr>
        <w:t>“自然资源事务支出”（款）202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年度决算</w:t>
      </w:r>
      <w:r>
        <w:rPr>
          <w:rFonts w:hint="eastAsia" w:ascii="仿宋_GB2312" w:eastAsia="仿宋_GB2312"/>
          <w:kern w:val="0"/>
          <w:sz w:val="28"/>
          <w:szCs w:val="28"/>
          <w:lang w:val="en-US" w:eastAsia="zh-CN"/>
        </w:rPr>
        <w:t>7854.03</w:t>
      </w:r>
      <w:r>
        <w:rPr>
          <w:rFonts w:hint="eastAsia" w:ascii="仿宋_GB2312" w:eastAsia="仿宋_GB2312"/>
          <w:kern w:val="0"/>
          <w:sz w:val="28"/>
          <w:szCs w:val="28"/>
        </w:rPr>
        <w:t>万元，比202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年年初预算</w:t>
      </w:r>
      <w:r>
        <w:rPr>
          <w:rFonts w:hint="eastAsia" w:ascii="仿宋_GB2312" w:eastAsia="仿宋_GB2312"/>
          <w:kern w:val="0"/>
          <w:sz w:val="28"/>
          <w:szCs w:val="28"/>
          <w:lang w:val="en-US" w:eastAsia="zh-CN"/>
        </w:rPr>
        <w:t>6370.51</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增加1483.52</w:t>
      </w:r>
      <w:r>
        <w:rPr>
          <w:rFonts w:hint="eastAsia" w:ascii="仿宋_GB2312" w:eastAsia="仿宋_GB2312"/>
          <w:kern w:val="0"/>
          <w:sz w:val="28"/>
          <w:szCs w:val="28"/>
        </w:rPr>
        <w:t>万元，</w:t>
      </w:r>
      <w:r>
        <w:rPr>
          <w:rFonts w:hint="eastAsia" w:ascii="仿宋_GB2312" w:eastAsia="仿宋_GB2312"/>
          <w:kern w:val="0"/>
          <w:sz w:val="28"/>
          <w:szCs w:val="28"/>
          <w:lang w:val="en-US" w:eastAsia="zh-CN"/>
        </w:rPr>
        <w:t>增长23.29</w:t>
      </w:r>
      <w:r>
        <w:rPr>
          <w:rFonts w:hint="eastAsia" w:ascii="仿宋_GB2312" w:eastAsia="仿宋_GB2312"/>
          <w:kern w:val="0"/>
          <w:sz w:val="28"/>
          <w:szCs w:val="28"/>
        </w:rPr>
        <w:t>%。主要原因：</w:t>
      </w:r>
      <w:r>
        <w:rPr>
          <w:rFonts w:hint="eastAsia" w:ascii="仿宋_GB2312" w:eastAsia="仿宋_GB2312"/>
          <w:sz w:val="28"/>
          <w:szCs w:val="28"/>
          <w:lang w:eastAsia="zh-CN"/>
        </w:rPr>
        <w:t>追加</w:t>
      </w:r>
      <w:r>
        <w:rPr>
          <w:rFonts w:hint="eastAsia" w:ascii="仿宋_GB2312" w:eastAsia="仿宋_GB2312"/>
          <w:sz w:val="28"/>
          <w:szCs w:val="28"/>
        </w:rPr>
        <w:t>北京市房地一体的宅基地、集体建设用地地籍调查和确权登记工作</w:t>
      </w:r>
      <w:r>
        <w:rPr>
          <w:rFonts w:hint="eastAsia" w:ascii="仿宋_GB2312" w:eastAsia="仿宋_GB2312"/>
          <w:sz w:val="28"/>
          <w:szCs w:val="28"/>
          <w:lang w:val="en-US" w:eastAsia="zh-CN"/>
        </w:rPr>
        <w:t>；落实人员经费相关政策，</w:t>
      </w:r>
      <w:r>
        <w:rPr>
          <w:rFonts w:hint="eastAsia" w:ascii="仿宋_GB2312" w:eastAsia="仿宋_GB2312"/>
          <w:sz w:val="28"/>
          <w:szCs w:val="28"/>
        </w:rPr>
        <w:t>基本经费人员经费按标准调级增加。</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黑体" w:eastAsia="黑体"/>
          <w:b/>
          <w:sz w:val="28"/>
          <w:szCs w:val="28"/>
        </w:rPr>
        <w:t>五、政府性基金预算财政拨款支出决算情况说明</w:t>
      </w: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hint="eastAsia" w:ascii="仿宋_GB2312" w:eastAsia="仿宋_GB2312"/>
          <w:sz w:val="28"/>
          <w:szCs w:val="28"/>
          <w:lang w:val="en-US" w:eastAsia="zh-CN"/>
        </w:rPr>
        <w:t>35.4</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35.4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kern w:val="0"/>
          <w:sz w:val="28"/>
          <w:szCs w:val="28"/>
        </w:rPr>
      </w:pPr>
      <w:r>
        <w:rPr>
          <w:rFonts w:hint="eastAsia" w:ascii="仿宋_GB2312" w:eastAsia="仿宋_GB2312"/>
          <w:sz w:val="28"/>
          <w:szCs w:val="28"/>
        </w:rPr>
        <w:t>“城乡社区支出”（类）202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35.4</w:t>
      </w:r>
      <w:r>
        <w:rPr>
          <w:rFonts w:hint="eastAsia" w:ascii="仿宋_GB2312" w:eastAsia="仿宋_GB2312"/>
          <w:sz w:val="28"/>
          <w:szCs w:val="28"/>
        </w:rPr>
        <w:t>万元，</w:t>
      </w:r>
      <w:r>
        <w:rPr>
          <w:rFonts w:hint="eastAsia" w:ascii="仿宋_GB2312" w:eastAsia="仿宋_GB2312"/>
          <w:kern w:val="0"/>
          <w:sz w:val="28"/>
          <w:szCs w:val="28"/>
        </w:rPr>
        <w:t>比202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年年初预算</w:t>
      </w:r>
      <w:r>
        <w:rPr>
          <w:rFonts w:hint="eastAsia" w:ascii="仿宋_GB2312" w:eastAsia="仿宋_GB2312"/>
          <w:kern w:val="0"/>
          <w:sz w:val="28"/>
          <w:szCs w:val="28"/>
          <w:lang w:val="en-US" w:eastAsia="zh-CN"/>
        </w:rPr>
        <w:t>35.6</w:t>
      </w:r>
      <w:r>
        <w:rPr>
          <w:rFonts w:hint="eastAsia" w:ascii="仿宋_GB2312" w:eastAsia="仿宋_GB2312"/>
          <w:kern w:val="0"/>
          <w:sz w:val="28"/>
          <w:szCs w:val="28"/>
        </w:rPr>
        <w:t>万元，</w:t>
      </w:r>
      <w:r>
        <w:rPr>
          <w:rFonts w:hint="eastAsia" w:ascii="仿宋_GB2312" w:eastAsia="仿宋_GB2312"/>
          <w:kern w:val="0"/>
          <w:sz w:val="28"/>
          <w:szCs w:val="28"/>
          <w:lang w:eastAsia="zh-CN"/>
        </w:rPr>
        <w:t>减少</w:t>
      </w:r>
      <w:r>
        <w:rPr>
          <w:rFonts w:hint="eastAsia" w:ascii="仿宋_GB2312" w:eastAsia="仿宋_GB2312"/>
          <w:kern w:val="0"/>
          <w:sz w:val="28"/>
          <w:szCs w:val="28"/>
          <w:lang w:val="en-US" w:eastAsia="zh-CN"/>
        </w:rPr>
        <w:t>0.2</w:t>
      </w:r>
      <w:r>
        <w:rPr>
          <w:rFonts w:hint="eastAsia" w:ascii="仿宋_GB2312" w:eastAsia="仿宋_GB2312"/>
          <w:kern w:val="0"/>
          <w:sz w:val="28"/>
          <w:szCs w:val="28"/>
        </w:rPr>
        <w:t>万元，</w:t>
      </w:r>
      <w:r>
        <w:rPr>
          <w:rFonts w:hint="eastAsia" w:ascii="仿宋_GB2312" w:eastAsia="仿宋_GB2312"/>
          <w:kern w:val="0"/>
          <w:sz w:val="28"/>
          <w:szCs w:val="28"/>
          <w:lang w:eastAsia="zh-CN"/>
        </w:rPr>
        <w:t>下降</w:t>
      </w:r>
      <w:r>
        <w:rPr>
          <w:rFonts w:hint="eastAsia" w:ascii="仿宋_GB2312" w:eastAsia="仿宋_GB2312"/>
          <w:kern w:val="0"/>
          <w:sz w:val="28"/>
          <w:szCs w:val="28"/>
          <w:lang w:val="en-US" w:eastAsia="zh-CN"/>
        </w:rPr>
        <w:t>0.56</w:t>
      </w:r>
      <w:r>
        <w:rPr>
          <w:rFonts w:hint="eastAsia" w:ascii="仿宋_GB2312" w:eastAsia="仿宋_GB2312"/>
          <w:kern w:val="0"/>
          <w:sz w:val="28"/>
          <w:szCs w:val="28"/>
        </w:rPr>
        <w:t>%。其中：</w:t>
      </w: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default" w:ascii="仿宋_GB2312" w:eastAsia="仿宋_GB2312"/>
          <w:sz w:val="28"/>
          <w:szCs w:val="28"/>
          <w:lang w:val="en-US"/>
        </w:rPr>
      </w:pP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35.4</w:t>
      </w:r>
      <w:r>
        <w:rPr>
          <w:rFonts w:hint="eastAsia" w:ascii="仿宋_GB2312" w:eastAsia="仿宋_GB2312"/>
          <w:sz w:val="28"/>
          <w:szCs w:val="28"/>
        </w:rPr>
        <w:t>万元，</w:t>
      </w:r>
      <w:r>
        <w:rPr>
          <w:rFonts w:hint="eastAsia" w:ascii="仿宋_GB2312" w:eastAsia="仿宋_GB2312"/>
          <w:kern w:val="0"/>
          <w:sz w:val="28"/>
          <w:szCs w:val="28"/>
        </w:rPr>
        <w:t>比202</w:t>
      </w:r>
      <w:r>
        <w:rPr>
          <w:rFonts w:hint="eastAsia" w:ascii="仿宋_GB2312" w:eastAsia="仿宋_GB2312"/>
          <w:kern w:val="0"/>
          <w:sz w:val="28"/>
          <w:szCs w:val="28"/>
          <w:lang w:val="en-US" w:eastAsia="zh-CN"/>
        </w:rPr>
        <w:t>3</w:t>
      </w:r>
      <w:r>
        <w:rPr>
          <w:rFonts w:hint="eastAsia" w:ascii="仿宋_GB2312" w:eastAsia="仿宋_GB2312"/>
          <w:kern w:val="0"/>
          <w:sz w:val="28"/>
          <w:szCs w:val="28"/>
        </w:rPr>
        <w:t>年年初预算</w:t>
      </w:r>
      <w:r>
        <w:rPr>
          <w:rFonts w:hint="eastAsia" w:ascii="仿宋_GB2312" w:eastAsia="仿宋_GB2312"/>
          <w:kern w:val="0"/>
          <w:sz w:val="28"/>
          <w:szCs w:val="28"/>
          <w:lang w:val="en-US" w:eastAsia="zh-CN"/>
        </w:rPr>
        <w:t>35.6</w:t>
      </w:r>
      <w:r>
        <w:rPr>
          <w:rFonts w:hint="eastAsia" w:ascii="仿宋_GB2312" w:eastAsia="仿宋_GB2312"/>
          <w:kern w:val="0"/>
          <w:sz w:val="28"/>
          <w:szCs w:val="28"/>
        </w:rPr>
        <w:t>万元，</w:t>
      </w:r>
      <w:r>
        <w:rPr>
          <w:rFonts w:hint="eastAsia" w:ascii="仿宋_GB2312" w:eastAsia="仿宋_GB2312"/>
          <w:kern w:val="0"/>
          <w:sz w:val="28"/>
          <w:szCs w:val="28"/>
          <w:lang w:eastAsia="zh-CN"/>
        </w:rPr>
        <w:t>减少</w:t>
      </w:r>
      <w:r>
        <w:rPr>
          <w:rFonts w:hint="eastAsia" w:ascii="仿宋_GB2312" w:eastAsia="仿宋_GB2312"/>
          <w:kern w:val="0"/>
          <w:sz w:val="28"/>
          <w:szCs w:val="28"/>
          <w:lang w:val="en-US" w:eastAsia="zh-CN"/>
        </w:rPr>
        <w:t>0.2</w:t>
      </w:r>
      <w:r>
        <w:rPr>
          <w:rFonts w:hint="eastAsia" w:ascii="仿宋_GB2312" w:eastAsia="仿宋_GB2312"/>
          <w:kern w:val="0"/>
          <w:sz w:val="28"/>
          <w:szCs w:val="28"/>
        </w:rPr>
        <w:t>万元，</w:t>
      </w:r>
      <w:r>
        <w:rPr>
          <w:rFonts w:hint="eastAsia" w:ascii="仿宋_GB2312" w:eastAsia="仿宋_GB2312"/>
          <w:kern w:val="0"/>
          <w:sz w:val="28"/>
          <w:szCs w:val="28"/>
          <w:lang w:eastAsia="zh-CN"/>
        </w:rPr>
        <w:t>下降</w:t>
      </w:r>
      <w:r>
        <w:rPr>
          <w:rFonts w:hint="eastAsia" w:ascii="仿宋_GB2312" w:eastAsia="仿宋_GB2312"/>
          <w:kern w:val="0"/>
          <w:sz w:val="28"/>
          <w:szCs w:val="28"/>
          <w:lang w:val="en-US" w:eastAsia="zh-CN"/>
        </w:rPr>
        <w:t>0.56</w:t>
      </w:r>
      <w:r>
        <w:rPr>
          <w:rFonts w:hint="eastAsia" w:ascii="仿宋_GB2312" w:eastAsia="仿宋_GB2312"/>
          <w:kern w:val="0"/>
          <w:sz w:val="28"/>
          <w:szCs w:val="28"/>
        </w:rPr>
        <w:t>%</w:t>
      </w:r>
      <w:r>
        <w:rPr>
          <w:rFonts w:hint="eastAsia" w:ascii="仿宋_GB2312" w:eastAsia="仿宋_GB2312"/>
          <w:kern w:val="0"/>
          <w:sz w:val="28"/>
          <w:szCs w:val="28"/>
          <w:lang w:eastAsia="zh-CN"/>
        </w:rPr>
        <w:t>，原因：大兴区土地出让合同印花税结余</w:t>
      </w:r>
      <w:r>
        <w:rPr>
          <w:rFonts w:hint="eastAsia" w:ascii="仿宋_GB2312" w:eastAsia="仿宋_GB2312"/>
          <w:sz w:val="28"/>
          <w:szCs w:val="28"/>
          <w:lang w:val="en-US" w:eastAsia="zh-CN"/>
        </w:rPr>
        <w:t>。</w:t>
      </w:r>
    </w:p>
    <w:p>
      <w:pPr>
        <w:pageBreakBefore w:val="0"/>
        <w:widowControl w:val="0"/>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highlight w:val="none"/>
          <w:lang w:eastAsia="zh-CN"/>
        </w:rPr>
      </w:pPr>
      <w:r>
        <w:rPr>
          <w:rFonts w:hint="eastAsia" w:ascii="仿宋_GB2312" w:eastAsia="仿宋_GB2312"/>
          <w:sz w:val="28"/>
          <w:szCs w:val="28"/>
          <w:highlight w:val="none"/>
        </w:rPr>
        <w:t>本年度无此项支出</w:t>
      </w:r>
      <w:r>
        <w:rPr>
          <w:rFonts w:hint="eastAsia" w:ascii="仿宋_GB2312" w:eastAsia="仿宋_GB2312"/>
          <w:sz w:val="28"/>
          <w:szCs w:val="28"/>
          <w:highlight w:val="none"/>
          <w:lang w:eastAsia="zh-CN"/>
        </w:rPr>
        <w:t>。</w:t>
      </w:r>
    </w:p>
    <w:p>
      <w:pPr>
        <w:pageBreakBefore w:val="0"/>
        <w:widowControl w:val="0"/>
        <w:kinsoku/>
        <w:wordWrap/>
        <w:overflowPunct/>
        <w:topLinePunct w:val="0"/>
        <w:bidi w:val="0"/>
        <w:snapToGrid/>
        <w:spacing w:line="580" w:lineRule="exact"/>
        <w:ind w:firstLine="560" w:firstLineChars="200"/>
        <w:textAlignment w:val="auto"/>
        <w:rPr>
          <w:rFonts w:hint="eastAsia" w:ascii="黑体" w:eastAsia="黑体"/>
          <w:sz w:val="28"/>
          <w:szCs w:val="28"/>
        </w:rPr>
      </w:pPr>
      <w:r>
        <w:rPr>
          <w:rFonts w:hint="eastAsia" w:ascii="黑体" w:eastAsia="黑体"/>
          <w:b/>
          <w:sz w:val="28"/>
          <w:szCs w:val="28"/>
        </w:rPr>
        <w:t>七、财政拨款基本支出决算情况说明</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7261.95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pageBreakBefore w:val="0"/>
        <w:widowControl w:val="0"/>
        <w:kinsoku/>
        <w:wordWrap/>
        <w:overflowPunct/>
        <w:topLinePunct w:val="0"/>
        <w:autoSpaceDE w:val="0"/>
        <w:autoSpaceDN w:val="0"/>
        <w:bidi w:val="0"/>
        <w:adjustRightInd w:val="0"/>
        <w:snapToGrid/>
        <w:spacing w:line="580" w:lineRule="exact"/>
        <w:ind w:firstLine="560" w:firstLineChars="200"/>
        <w:jc w:val="center"/>
        <w:textAlignment w:val="auto"/>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pageBreakBefore w:val="0"/>
        <w:widowControl w:val="0"/>
        <w:kinsoku/>
        <w:wordWrap/>
        <w:overflowPunct/>
        <w:topLinePunct w:val="0"/>
        <w:bidi w:val="0"/>
        <w:snapToGrid/>
        <w:spacing w:line="560" w:lineRule="exact"/>
        <w:ind w:firstLine="560" w:firstLineChars="200"/>
        <w:textAlignment w:val="auto"/>
        <w:rPr>
          <w:rFonts w:hint="eastAsia" w:ascii="黑体" w:eastAsia="黑体"/>
          <w:sz w:val="28"/>
          <w:szCs w:val="28"/>
        </w:rPr>
      </w:pPr>
      <w:r>
        <w:rPr>
          <w:rFonts w:hint="eastAsia" w:ascii="黑体" w:eastAsia="黑体"/>
          <w:sz w:val="28"/>
          <w:szCs w:val="28"/>
        </w:rPr>
        <w:t>一、“三公”经费财政拨款决算情况</w:t>
      </w:r>
    </w:p>
    <w:p>
      <w:pPr>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rPr>
        <w:t>“三公”经费包括本单</w:t>
      </w:r>
      <w:r>
        <w:rPr>
          <w:rFonts w:hint="eastAsia" w:ascii="仿宋_GB2312" w:eastAsia="仿宋_GB2312"/>
          <w:sz w:val="28"/>
          <w:szCs w:val="28"/>
          <w:highlight w:val="none"/>
        </w:rPr>
        <w:t>位所属</w:t>
      </w:r>
      <w:r>
        <w:rPr>
          <w:rFonts w:hint="eastAsia" w:ascii="仿宋_GB2312" w:eastAsia="仿宋_GB2312"/>
          <w:bCs/>
          <w:sz w:val="28"/>
          <w:szCs w:val="28"/>
          <w:highlight w:val="none"/>
          <w:lang w:val="en-US" w:eastAsia="zh-CN"/>
        </w:rPr>
        <w:t>2</w:t>
      </w:r>
      <w:r>
        <w:rPr>
          <w:rFonts w:hint="eastAsia" w:ascii="仿宋_GB2312" w:eastAsia="仿宋_GB2312"/>
          <w:sz w:val="28"/>
          <w:szCs w:val="28"/>
          <w:highlight w:val="none"/>
        </w:rPr>
        <w:t>个行政单位、</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个</w:t>
      </w:r>
      <w:r>
        <w:rPr>
          <w:rFonts w:ascii="仿宋_GB2312" w:eastAsia="仿宋_GB2312"/>
          <w:sz w:val="28"/>
          <w:szCs w:val="28"/>
          <w:highlight w:val="none"/>
        </w:rPr>
        <w:t>参</w:t>
      </w:r>
      <w:r>
        <w:rPr>
          <w:rFonts w:hint="eastAsia" w:ascii="仿宋_GB2312" w:eastAsia="仿宋_GB2312"/>
          <w:sz w:val="28"/>
          <w:szCs w:val="28"/>
          <w:highlight w:val="none"/>
        </w:rPr>
        <w:t>照</w:t>
      </w:r>
      <w:r>
        <w:rPr>
          <w:rFonts w:ascii="仿宋_GB2312" w:eastAsia="仿宋_GB2312"/>
          <w:sz w:val="28"/>
          <w:szCs w:val="28"/>
          <w:highlight w:val="none"/>
        </w:rPr>
        <w:t>公务员法管理事业单位</w:t>
      </w:r>
      <w:r>
        <w:rPr>
          <w:rFonts w:hint="eastAsia" w:ascii="仿宋_GB2312" w:eastAsia="仿宋_GB2312"/>
          <w:sz w:val="28"/>
          <w:szCs w:val="28"/>
          <w:highlight w:val="none"/>
          <w:lang w:val="en-US" w:eastAsia="zh-CN"/>
        </w:rPr>
        <w:t>、1</w:t>
      </w:r>
      <w:r>
        <w:rPr>
          <w:rFonts w:hint="eastAsia" w:ascii="仿宋_GB2312" w:eastAsia="仿宋_GB2312"/>
          <w:bCs/>
          <w:sz w:val="28"/>
          <w:szCs w:val="28"/>
          <w:highlight w:val="none"/>
        </w:rPr>
        <w:t>个</w:t>
      </w:r>
      <w:r>
        <w:rPr>
          <w:rFonts w:hint="eastAsia" w:ascii="仿宋_GB2312" w:eastAsia="仿宋_GB2312"/>
          <w:sz w:val="28"/>
          <w:szCs w:val="28"/>
          <w:highlight w:val="none"/>
        </w:rPr>
        <w:t>事业单位。202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年度“三公”经费财政拨款决算数</w:t>
      </w:r>
      <w:r>
        <w:rPr>
          <w:rFonts w:hint="eastAsia" w:ascii="仿宋_GB2312" w:eastAsia="仿宋_GB2312"/>
          <w:sz w:val="28"/>
          <w:szCs w:val="28"/>
          <w:highlight w:val="none"/>
          <w:lang w:val="en-US" w:eastAsia="zh-CN"/>
        </w:rPr>
        <w:t>45.3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年度“三公”经费财政拨款年初预算</w:t>
      </w:r>
      <w:r>
        <w:rPr>
          <w:rFonts w:hint="eastAsia" w:ascii="仿宋_GB2312" w:eastAsia="仿宋_GB2312"/>
          <w:sz w:val="28"/>
          <w:szCs w:val="28"/>
          <w:highlight w:val="none"/>
          <w:lang w:val="en-US" w:eastAsia="zh-CN"/>
        </w:rPr>
        <w:t>持平</w:t>
      </w:r>
      <w:r>
        <w:rPr>
          <w:rFonts w:hint="eastAsia" w:ascii="仿宋_GB2312" w:eastAsia="仿宋_GB2312"/>
          <w:sz w:val="28"/>
          <w:szCs w:val="28"/>
          <w:highlight w:val="none"/>
        </w:rPr>
        <w:t>。其中：</w:t>
      </w:r>
    </w:p>
    <w:p>
      <w:pPr>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1.因公出国（境）费用。本年度无此项支出。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2.公务接待费。本年度无此项支出。</w:t>
      </w:r>
    </w:p>
    <w:p>
      <w:pPr>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45.3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eastAsia="zh-CN"/>
        </w:rPr>
        <w:t>持平</w:t>
      </w:r>
      <w:r>
        <w:rPr>
          <w:rFonts w:hint="eastAsia" w:ascii="仿宋_GB2312" w:eastAsia="仿宋_GB2312"/>
          <w:sz w:val="28"/>
          <w:szCs w:val="28"/>
          <w:highlight w:val="none"/>
        </w:rPr>
        <w:t>。其中，公务用车购置费202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15.3</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15.3</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持平</w:t>
      </w:r>
      <w:r>
        <w:rPr>
          <w:rFonts w:hint="eastAsia" w:ascii="仿宋_GB2312" w:eastAsia="仿宋_GB2312"/>
          <w:sz w:val="28"/>
          <w:szCs w:val="28"/>
          <w:highlight w:val="none"/>
        </w:rPr>
        <w:t>。公务用车运行维护费202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30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ascii="仿宋_GB2312" w:eastAsia="仿宋_GB2312"/>
          <w:sz w:val="28"/>
          <w:szCs w:val="28"/>
          <w:highlight w:val="none"/>
        </w:rPr>
        <w:t>30</w:t>
      </w:r>
      <w:r>
        <w:rPr>
          <w:rFonts w:hint="eastAsia" w:ascii="仿宋_GB2312" w:eastAsia="仿宋_GB2312"/>
          <w:sz w:val="28"/>
          <w:szCs w:val="28"/>
          <w:highlight w:val="none"/>
        </w:rPr>
        <w:t>万</w:t>
      </w:r>
      <w:r>
        <w:rPr>
          <w:rFonts w:hint="eastAsia" w:ascii="仿宋_GB2312" w:eastAsia="仿宋_GB2312"/>
          <w:sz w:val="28"/>
          <w:szCs w:val="28"/>
          <w:highlight w:val="none"/>
          <w:lang w:eastAsia="zh-CN"/>
        </w:rPr>
        <w:t>持平</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年度公务用车运行维护费中，公务用车加油</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万元，公务用车维修</w:t>
      </w:r>
      <w:r>
        <w:rPr>
          <w:rFonts w:hint="eastAsia" w:ascii="仿宋_GB2312" w:eastAsia="仿宋_GB2312"/>
          <w:sz w:val="28"/>
          <w:szCs w:val="28"/>
          <w:highlight w:val="none"/>
          <w:lang w:val="en-US" w:eastAsia="zh-CN"/>
        </w:rPr>
        <w:t>12.88</w:t>
      </w:r>
      <w:r>
        <w:rPr>
          <w:rFonts w:hint="eastAsia" w:ascii="仿宋_GB2312" w:eastAsia="仿宋_GB2312"/>
          <w:sz w:val="28"/>
          <w:szCs w:val="28"/>
          <w:highlight w:val="none"/>
        </w:rPr>
        <w:t>万元，公务用车保险</w:t>
      </w:r>
      <w:r>
        <w:rPr>
          <w:rFonts w:hint="eastAsia" w:ascii="仿宋_GB2312" w:eastAsia="仿宋_GB2312"/>
          <w:sz w:val="28"/>
          <w:szCs w:val="28"/>
          <w:highlight w:val="none"/>
          <w:lang w:val="en-US" w:eastAsia="zh-CN"/>
        </w:rPr>
        <w:t>6.01</w:t>
      </w:r>
      <w:r>
        <w:rPr>
          <w:rFonts w:hint="eastAsia" w:ascii="仿宋_GB2312" w:eastAsia="仿宋_GB2312"/>
          <w:sz w:val="28"/>
          <w:szCs w:val="28"/>
          <w:highlight w:val="none"/>
        </w:rPr>
        <w:t>万元，公务用车其他支出</w:t>
      </w:r>
      <w:r>
        <w:rPr>
          <w:rFonts w:hint="eastAsia" w:ascii="仿宋_GB2312" w:eastAsia="仿宋_GB2312"/>
          <w:sz w:val="28"/>
          <w:szCs w:val="28"/>
          <w:highlight w:val="none"/>
          <w:lang w:val="en-US" w:eastAsia="zh-CN"/>
        </w:rPr>
        <w:t>6.11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年度公务用车保有量</w:t>
      </w:r>
      <w:r>
        <w:rPr>
          <w:rFonts w:hint="eastAsia" w:ascii="仿宋_GB2312" w:eastAsia="仿宋_GB2312"/>
          <w:sz w:val="28"/>
          <w:szCs w:val="28"/>
          <w:highlight w:val="none"/>
          <w:lang w:val="en-US" w:eastAsia="zh-CN"/>
        </w:rPr>
        <w:t>22</w:t>
      </w:r>
      <w:r>
        <w:rPr>
          <w:rFonts w:hint="eastAsia" w:ascii="仿宋_GB2312" w:eastAsia="仿宋_GB2312"/>
          <w:sz w:val="28"/>
          <w:szCs w:val="28"/>
          <w:highlight w:val="none"/>
        </w:rPr>
        <w:t>辆，车</w:t>
      </w:r>
      <w:r>
        <w:rPr>
          <w:rFonts w:hint="eastAsia" w:ascii="仿宋_GB2312" w:eastAsia="仿宋_GB2312"/>
          <w:sz w:val="28"/>
          <w:szCs w:val="28"/>
        </w:rPr>
        <w:t>均运行维护费</w:t>
      </w:r>
      <w:r>
        <w:rPr>
          <w:rFonts w:hint="eastAsia" w:ascii="仿宋_GB2312" w:eastAsia="仿宋_GB2312"/>
          <w:sz w:val="28"/>
          <w:szCs w:val="28"/>
          <w:lang w:val="en-US" w:eastAsia="zh-CN"/>
        </w:rPr>
        <w:t>1.36</w:t>
      </w:r>
      <w:r>
        <w:rPr>
          <w:rFonts w:hint="eastAsia" w:ascii="仿宋_GB2312" w:eastAsia="仿宋_GB2312"/>
          <w:sz w:val="28"/>
          <w:szCs w:val="28"/>
        </w:rPr>
        <w:t>万元。</w:t>
      </w:r>
    </w:p>
    <w:p>
      <w:pPr>
        <w:pageBreakBefore w:val="0"/>
        <w:widowControl w:val="0"/>
        <w:tabs>
          <w:tab w:val="center" w:pos="6979"/>
        </w:tabs>
        <w:kinsoku/>
        <w:wordWrap/>
        <w:overflowPunct/>
        <w:topLinePunct w:val="0"/>
        <w:bidi w:val="0"/>
        <w:snapToGrid/>
        <w:ind w:firstLine="560" w:firstLineChars="200"/>
        <w:textAlignment w:val="auto"/>
        <w:rPr>
          <w:rFonts w:hint="eastAsia" w:ascii="黑体" w:eastAsia="黑体"/>
          <w:sz w:val="28"/>
          <w:szCs w:val="28"/>
        </w:rPr>
      </w:pPr>
      <w:r>
        <w:rPr>
          <w:rFonts w:hint="eastAsia" w:ascii="黑体" w:eastAsia="黑体"/>
          <w:sz w:val="28"/>
          <w:szCs w:val="28"/>
        </w:rPr>
        <w:t>二、机关运行经费支出情况</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659.64</w:t>
      </w:r>
      <w:r>
        <w:rPr>
          <w:rFonts w:hint="eastAsia" w:ascii="仿宋_GB2312" w:eastAsia="仿宋_GB2312"/>
          <w:sz w:val="28"/>
          <w:szCs w:val="28"/>
        </w:rPr>
        <w:t>万元，比上年</w:t>
      </w:r>
      <w:r>
        <w:rPr>
          <w:rFonts w:hint="eastAsia" w:ascii="仿宋_GB2312" w:eastAsia="仿宋_GB2312"/>
          <w:sz w:val="28"/>
          <w:szCs w:val="28"/>
          <w:lang w:val="en-US" w:eastAsia="zh-CN"/>
        </w:rPr>
        <w:t>677.52万元</w:t>
      </w:r>
      <w:r>
        <w:rPr>
          <w:rFonts w:hint="eastAsia" w:ascii="仿宋_GB2312" w:eastAsia="仿宋_GB2312"/>
          <w:sz w:val="28"/>
          <w:szCs w:val="28"/>
        </w:rPr>
        <w:t>减少</w:t>
      </w:r>
      <w:r>
        <w:rPr>
          <w:rFonts w:hint="eastAsia" w:ascii="仿宋_GB2312" w:eastAsia="仿宋_GB2312"/>
          <w:sz w:val="28"/>
          <w:szCs w:val="28"/>
          <w:lang w:val="en-US" w:eastAsia="zh-CN"/>
        </w:rPr>
        <w:t>17.88</w:t>
      </w:r>
      <w:r>
        <w:rPr>
          <w:rFonts w:hint="eastAsia" w:ascii="仿宋_GB2312" w:eastAsia="仿宋_GB2312"/>
          <w:sz w:val="28"/>
          <w:szCs w:val="28"/>
        </w:rPr>
        <w:t>万元，减少原因：</w:t>
      </w:r>
      <w:r>
        <w:rPr>
          <w:rFonts w:hint="eastAsia" w:ascii="仿宋_GB2312" w:eastAsia="仿宋_GB2312"/>
          <w:sz w:val="28"/>
          <w:szCs w:val="28"/>
          <w:lang w:val="en-US" w:eastAsia="zh-CN"/>
        </w:rPr>
        <w:t>坚决落实政府"过紧日子"要求，深入推进节俭型机关建设，降低行政运行成本。</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黑体" w:eastAsia="黑体"/>
          <w:sz w:val="28"/>
          <w:szCs w:val="28"/>
        </w:rPr>
      </w:pPr>
      <w:r>
        <w:rPr>
          <w:rFonts w:hint="eastAsia" w:ascii="黑体" w:eastAsia="黑体"/>
          <w:sz w:val="28"/>
          <w:szCs w:val="28"/>
        </w:rPr>
        <w:t>三、政府采购支出情况</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2507.77</w:t>
      </w:r>
      <w:r>
        <w:rPr>
          <w:rFonts w:hint="eastAsia" w:ascii="仿宋_GB2312" w:eastAsia="仿宋_GB2312"/>
          <w:sz w:val="28"/>
          <w:szCs w:val="28"/>
        </w:rPr>
        <w:t>万元，其中：政府采购货物支出</w:t>
      </w:r>
      <w:r>
        <w:rPr>
          <w:rFonts w:ascii="仿宋_GB2312" w:eastAsia="仿宋_GB2312"/>
          <w:sz w:val="28"/>
          <w:szCs w:val="28"/>
        </w:rPr>
        <w:t>39.81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2467.96</w:t>
      </w:r>
      <w:r>
        <w:rPr>
          <w:rFonts w:hint="eastAsia" w:ascii="仿宋_GB2312" w:eastAsia="仿宋_GB2312"/>
          <w:sz w:val="28"/>
          <w:szCs w:val="28"/>
        </w:rPr>
        <w:t>万元。授予中小企业合同金额</w:t>
      </w:r>
      <w:r>
        <w:rPr>
          <w:rFonts w:ascii="仿宋_GB2312" w:eastAsia="仿宋_GB2312"/>
          <w:sz w:val="28"/>
          <w:szCs w:val="28"/>
          <w:highlight w:val="none"/>
        </w:rPr>
        <w:t>1079.25</w:t>
      </w:r>
      <w:r>
        <w:rPr>
          <w:rFonts w:hint="eastAsia" w:ascii="仿宋_GB2312" w:eastAsia="仿宋_GB2312"/>
          <w:sz w:val="28"/>
          <w:szCs w:val="28"/>
        </w:rPr>
        <w:t>万元，占政府采购支出总额的</w:t>
      </w:r>
      <w:r>
        <w:rPr>
          <w:rFonts w:ascii="仿宋_GB2312" w:eastAsia="仿宋_GB2312"/>
          <w:sz w:val="28"/>
          <w:szCs w:val="28"/>
          <w:highlight w:val="none"/>
        </w:rPr>
        <w:t>43.03</w:t>
      </w:r>
      <w:r>
        <w:rPr>
          <w:rFonts w:hint="eastAsia" w:ascii="仿宋_GB2312" w:eastAsia="仿宋_GB2312"/>
          <w:sz w:val="28"/>
          <w:szCs w:val="28"/>
        </w:rPr>
        <w:t>%，其中：授予小微企业合同金额</w:t>
      </w:r>
      <w:r>
        <w:rPr>
          <w:rFonts w:ascii="仿宋_GB2312" w:eastAsia="仿宋_GB2312"/>
          <w:sz w:val="28"/>
          <w:szCs w:val="28"/>
          <w:highlight w:val="none"/>
        </w:rPr>
        <w:t>660.59</w:t>
      </w:r>
      <w:r>
        <w:rPr>
          <w:rFonts w:hint="eastAsia" w:ascii="仿宋_GB2312" w:eastAsia="仿宋_GB2312"/>
          <w:sz w:val="28"/>
          <w:szCs w:val="28"/>
        </w:rPr>
        <w:t>万元，占政府采购支出总额的</w:t>
      </w:r>
      <w:r>
        <w:rPr>
          <w:rFonts w:ascii="仿宋_GB2312" w:eastAsia="仿宋_GB2312"/>
          <w:sz w:val="28"/>
          <w:szCs w:val="28"/>
          <w:highlight w:val="none"/>
        </w:rPr>
        <w:t>26.34</w:t>
      </w:r>
      <w:r>
        <w:rPr>
          <w:rFonts w:hint="eastAsia" w:ascii="仿宋_GB2312" w:eastAsia="仿宋_GB2312"/>
          <w:sz w:val="28"/>
          <w:szCs w:val="28"/>
          <w:highlight w:val="none"/>
        </w:rPr>
        <w:t>%</w:t>
      </w:r>
      <w:r>
        <w:rPr>
          <w:rFonts w:hint="eastAsia" w:ascii="仿宋_GB2312" w:eastAsia="仿宋_GB2312"/>
          <w:sz w:val="28"/>
          <w:szCs w:val="28"/>
        </w:rPr>
        <w:t>。</w:t>
      </w:r>
    </w:p>
    <w:p>
      <w:pPr>
        <w:pageBreakBefore w:val="0"/>
        <w:widowControl w:val="0"/>
        <w:kinsoku/>
        <w:wordWrap/>
        <w:overflowPunct/>
        <w:topLinePunct w:val="0"/>
        <w:bidi w:val="0"/>
        <w:snapToGrid/>
        <w:ind w:firstLine="560" w:firstLineChars="200"/>
        <w:textAlignment w:val="auto"/>
        <w:rPr>
          <w:rFonts w:hint="eastAsia" w:ascii="黑体" w:eastAsia="黑体"/>
          <w:sz w:val="28"/>
          <w:szCs w:val="28"/>
          <w:highlight w:val="yellow"/>
        </w:rPr>
      </w:pPr>
      <w:r>
        <w:rPr>
          <w:rFonts w:hint="eastAsia" w:ascii="黑体" w:eastAsia="黑体"/>
          <w:sz w:val="28"/>
          <w:szCs w:val="28"/>
          <w:highlight w:val="none"/>
        </w:rPr>
        <w:t>四、国有资产占用情况</w:t>
      </w:r>
    </w:p>
    <w:p>
      <w:pPr>
        <w:pageBreakBefore w:val="0"/>
        <w:widowControl w:val="0"/>
        <w:kinsoku/>
        <w:wordWrap/>
        <w:overflowPunct/>
        <w:topLinePunct w:val="0"/>
        <w:bidi w:val="0"/>
        <w:snapToGrid/>
        <w:ind w:firstLine="560" w:firstLineChars="200"/>
        <w:textAlignment w:val="auto"/>
        <w:rPr>
          <w:rFonts w:ascii="仿宋_GB2312" w:eastAsia="仿宋_GB2312"/>
          <w:sz w:val="32"/>
          <w:szCs w:val="32"/>
        </w:rPr>
      </w:pPr>
      <w:r>
        <w:rPr>
          <w:rFonts w:hint="eastAsia" w:ascii="仿宋_GB2312" w:eastAsia="仿宋_GB2312"/>
          <w:sz w:val="28"/>
          <w:szCs w:val="28"/>
          <w:lang w:val="en-US" w:eastAsia="zh-CN"/>
        </w:rPr>
        <w:t>2023年度新购置车辆1</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15.3</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大兴分局共有</w:t>
      </w:r>
      <w:r>
        <w:rPr>
          <w:rFonts w:hint="eastAsia" w:ascii="仿宋_GB2312" w:eastAsia="仿宋_GB2312"/>
          <w:sz w:val="28"/>
          <w:szCs w:val="28"/>
        </w:rPr>
        <w:t>车辆2</w:t>
      </w:r>
      <w:r>
        <w:rPr>
          <w:rFonts w:hint="eastAsia" w:ascii="仿宋_GB2312" w:eastAsia="仿宋_GB2312"/>
          <w:sz w:val="28"/>
          <w:szCs w:val="28"/>
          <w:lang w:val="en-US" w:eastAsia="zh-CN"/>
        </w:rPr>
        <w:t>2</w:t>
      </w:r>
      <w:r>
        <w:rPr>
          <w:rFonts w:hint="eastAsia" w:ascii="仿宋_GB2312" w:eastAsia="仿宋_GB2312"/>
          <w:sz w:val="28"/>
          <w:szCs w:val="28"/>
        </w:rPr>
        <w:t>台，</w:t>
      </w:r>
      <w:r>
        <w:rPr>
          <w:rFonts w:hint="eastAsia" w:ascii="仿宋_GB2312" w:eastAsia="仿宋_GB2312"/>
          <w:sz w:val="28"/>
          <w:szCs w:val="28"/>
          <w:lang w:val="en-US" w:eastAsia="zh-CN"/>
        </w:rPr>
        <w:t>448.84</w:t>
      </w:r>
      <w:r>
        <w:rPr>
          <w:rFonts w:hint="eastAsia" w:ascii="仿宋_GB2312" w:eastAsia="仿宋_GB2312"/>
          <w:sz w:val="28"/>
          <w:szCs w:val="28"/>
        </w:rPr>
        <w:t>万元；单位价值50万元以上的通用设备1台（套），单位价值100万元以上的专用设备0台（套）。</w:t>
      </w:r>
    </w:p>
    <w:p>
      <w:pPr>
        <w:pageBreakBefore w:val="0"/>
        <w:widowControl w:val="0"/>
        <w:kinsoku/>
        <w:wordWrap/>
        <w:overflowPunct/>
        <w:topLinePunct w:val="0"/>
        <w:bidi w:val="0"/>
        <w:snapToGrid/>
        <w:ind w:firstLine="560" w:firstLineChars="200"/>
        <w:textAlignment w:val="auto"/>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4863.64</w:t>
      </w:r>
      <w:r>
        <w:rPr>
          <w:rFonts w:hint="eastAsia" w:ascii="仿宋_GB2312" w:eastAsia="仿宋_GB2312"/>
          <w:sz w:val="28"/>
          <w:szCs w:val="28"/>
        </w:rPr>
        <w:t>万元。</w:t>
      </w:r>
    </w:p>
    <w:p>
      <w:pPr>
        <w:pageBreakBefore w:val="0"/>
        <w:widowControl w:val="0"/>
        <w:kinsoku/>
        <w:wordWrap/>
        <w:overflowPunct/>
        <w:topLinePunct w:val="0"/>
        <w:bidi w:val="0"/>
        <w:snapToGrid/>
        <w:ind w:firstLine="560" w:firstLineChars="200"/>
        <w:jc w:val="left"/>
        <w:textAlignment w:val="auto"/>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pageBreakBefore w:val="0"/>
        <w:widowControl w:val="0"/>
        <w:kinsoku/>
        <w:wordWrap/>
        <w:overflowPunct/>
        <w:topLinePunct w:val="0"/>
        <w:bidi w:val="0"/>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pageBreakBefore w:val="0"/>
        <w:widowControl w:val="0"/>
        <w:kinsoku/>
        <w:wordWrap/>
        <w:overflowPunct/>
        <w:topLinePunct w:val="0"/>
        <w:bidi w:val="0"/>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7.社会保障和就业支出</w:t>
      </w:r>
      <w:r>
        <w:rPr>
          <w:rFonts w:hint="eastAsia" w:ascii="仿宋_GB2312" w:eastAsia="仿宋_GB2312"/>
          <w:sz w:val="28"/>
          <w:szCs w:val="28"/>
          <w:lang w:eastAsia="zh-CN"/>
        </w:rPr>
        <w:t>（类）行政事业单位养老支出（款）行政单位离退休（项）</w:t>
      </w:r>
      <w:r>
        <w:rPr>
          <w:rFonts w:hint="eastAsia" w:ascii="仿宋_GB2312" w:eastAsia="仿宋_GB2312"/>
          <w:sz w:val="28"/>
          <w:szCs w:val="28"/>
        </w:rPr>
        <w:t>：</w:t>
      </w:r>
      <w:r>
        <w:rPr>
          <w:rFonts w:hint="eastAsia" w:ascii="仿宋_GB2312" w:eastAsia="仿宋_GB2312"/>
          <w:sz w:val="28"/>
          <w:szCs w:val="28"/>
          <w:lang w:eastAsia="zh-CN"/>
        </w:rPr>
        <w:t>反映行政单位（包括实行公务员管理的事业单位）开支的离退休经费</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w:t>
      </w:r>
      <w:r>
        <w:rPr>
          <w:rFonts w:hint="eastAsia" w:ascii="仿宋_GB2312" w:eastAsia="仿宋_GB2312"/>
          <w:sz w:val="28"/>
          <w:szCs w:val="28"/>
          <w:lang w:eastAsia="zh-CN"/>
        </w:rPr>
        <w:t>（类）行政事业单位养老支出（款）事业单位离退休（项）</w:t>
      </w:r>
      <w:r>
        <w:rPr>
          <w:rFonts w:hint="eastAsia" w:ascii="仿宋_GB2312" w:eastAsia="仿宋_GB2312"/>
          <w:sz w:val="28"/>
          <w:szCs w:val="28"/>
        </w:rPr>
        <w:t>：</w:t>
      </w:r>
      <w:r>
        <w:rPr>
          <w:rFonts w:hint="eastAsia" w:ascii="仿宋_GB2312" w:eastAsia="仿宋_GB2312"/>
          <w:sz w:val="28"/>
          <w:szCs w:val="28"/>
          <w:lang w:eastAsia="zh-CN"/>
        </w:rPr>
        <w:t>反映事业单位开支的离退休经费</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w:t>
      </w:r>
      <w:r>
        <w:rPr>
          <w:rFonts w:hint="eastAsia" w:ascii="仿宋_GB2312" w:eastAsia="仿宋_GB2312"/>
          <w:sz w:val="28"/>
          <w:szCs w:val="28"/>
          <w:lang w:eastAsia="zh-CN"/>
        </w:rPr>
        <w:t>（类）行政事业单位养老支出（款）机关事业单位基本养老保险缴费支出（项）</w:t>
      </w:r>
      <w:r>
        <w:rPr>
          <w:rFonts w:hint="eastAsia" w:ascii="仿宋_GB2312" w:eastAsia="仿宋_GB2312"/>
          <w:sz w:val="28"/>
          <w:szCs w:val="28"/>
        </w:rPr>
        <w:t>：</w:t>
      </w:r>
      <w:r>
        <w:rPr>
          <w:rFonts w:hint="eastAsia" w:ascii="仿宋_GB2312" w:eastAsia="仿宋_GB2312"/>
          <w:sz w:val="28"/>
          <w:szCs w:val="28"/>
          <w:lang w:eastAsia="zh-CN"/>
        </w:rPr>
        <w:t>反映机关事业单位实施养老保险制度由单位缴纳的基本养老保险支出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w:t>
      </w:r>
      <w:r>
        <w:rPr>
          <w:rFonts w:hint="eastAsia" w:ascii="仿宋_GB2312" w:eastAsia="仿宋_GB2312"/>
          <w:sz w:val="28"/>
          <w:szCs w:val="28"/>
          <w:lang w:eastAsia="zh-CN"/>
        </w:rPr>
        <w:t>（类）行政事业单位养老支出（款）机关事业单位职业年金缴费支出（项）</w:t>
      </w:r>
      <w:r>
        <w:rPr>
          <w:rFonts w:hint="eastAsia" w:ascii="仿宋_GB2312" w:eastAsia="仿宋_GB2312"/>
          <w:sz w:val="28"/>
          <w:szCs w:val="28"/>
        </w:rPr>
        <w:t>：</w:t>
      </w:r>
      <w:r>
        <w:rPr>
          <w:rFonts w:hint="eastAsia" w:ascii="仿宋_GB2312" w:eastAsia="仿宋_GB2312"/>
          <w:sz w:val="28"/>
          <w:szCs w:val="28"/>
          <w:lang w:eastAsia="zh-CN"/>
        </w:rPr>
        <w:t>反映机关事业单位实施养老保险制度由单位缴纳的职业年金支出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11</w:t>
      </w:r>
      <w:r>
        <w:rPr>
          <w:rFonts w:hint="eastAsia" w:ascii="仿宋_GB2312" w:eastAsia="仿宋_GB2312"/>
          <w:sz w:val="28"/>
          <w:szCs w:val="28"/>
          <w:lang w:eastAsia="zh-CN"/>
        </w:rPr>
        <w:t>.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12</w:t>
      </w:r>
      <w:r>
        <w:rPr>
          <w:rFonts w:hint="eastAsia" w:ascii="仿宋_GB2312" w:eastAsia="仿宋_GB2312"/>
          <w:sz w:val="28"/>
          <w:szCs w:val="28"/>
          <w:lang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13</w:t>
      </w:r>
      <w:r>
        <w:rPr>
          <w:rFonts w:hint="eastAsia" w:ascii="仿宋_GB2312" w:eastAsia="仿宋_GB2312"/>
          <w:sz w:val="28"/>
          <w:szCs w:val="28"/>
          <w:lang w:eastAsia="zh-CN"/>
        </w:rPr>
        <w:t>.城乡社区支出（类）城乡社区管理实务（款）其他城乡社区管理事务支出（项）：反映其他用于城乡社区管理事务方面的支出。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14</w:t>
      </w:r>
      <w:r>
        <w:rPr>
          <w:rFonts w:hint="eastAsia" w:ascii="仿宋_GB2312" w:eastAsia="仿宋_GB2312"/>
          <w:sz w:val="28"/>
          <w:szCs w:val="28"/>
          <w:lang w:eastAsia="zh-CN"/>
        </w:rPr>
        <w:t>.城乡社区支出（类）城乡社区规划与管理（款）城乡社区规划与管理（项）：反映城乡社区、防灾减灾、历史名城规划制定与管理等方面的支出。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15</w:t>
      </w:r>
      <w:r>
        <w:rPr>
          <w:rFonts w:hint="eastAsia" w:ascii="仿宋_GB2312" w:eastAsia="仿宋_GB2312"/>
          <w:sz w:val="28"/>
          <w:szCs w:val="28"/>
          <w:lang w:eastAsia="zh-CN"/>
        </w:rPr>
        <w:t>.城乡社区支出（类）国有土地使用权出让收入安排的支出（款）土地开发支出（项）：反映新疆生产建设兵团和地方政府用于前期土地开发性支出以及与前期土地开发相关的费用等支出。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16.城乡社区支出（类）国有土地使用权出让收入安排的支出（款）农村基础设施建设支出（项）：反映土地出让收入用于农村供水保障、村庄公共设施建设和管护以及与农业农村直接相关的以工代赈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17</w:t>
      </w:r>
      <w:r>
        <w:rPr>
          <w:rFonts w:hint="eastAsia" w:ascii="仿宋_GB2312" w:eastAsia="仿宋_GB2312"/>
          <w:sz w:val="28"/>
          <w:szCs w:val="28"/>
          <w:lang w:eastAsia="zh-CN"/>
        </w:rPr>
        <w:t>.城乡社区支出（类）国有土地使用权出让收入安排的支出（款）土地出让业务支出（项）：反映土地出让收入用于土地出让业务费用的开支。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18</w:t>
      </w:r>
      <w:r>
        <w:rPr>
          <w:rFonts w:hint="eastAsia" w:ascii="仿宋_GB2312" w:eastAsia="仿宋_GB2312"/>
          <w:sz w:val="28"/>
          <w:szCs w:val="28"/>
          <w:lang w:eastAsia="zh-CN"/>
        </w:rPr>
        <w:t>.自然资源海洋气象等支出（类）自然资源事务（款）行政运行（项）：反映行政单位（包括实行公务员管理的事业单位）的基本支出。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19</w:t>
      </w:r>
      <w:r>
        <w:rPr>
          <w:rFonts w:hint="eastAsia" w:ascii="仿宋_GB2312" w:eastAsia="仿宋_GB2312"/>
          <w:sz w:val="28"/>
          <w:szCs w:val="28"/>
          <w:lang w:eastAsia="zh-CN"/>
        </w:rPr>
        <w:t>.自然资源海洋气象等支出（类）自然资源事务（款）一般行政管理事务（项）：反映行政单位（包括实行公务员管理的事业单位）的未单独设置项级科目的其他项目支出。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20</w:t>
      </w:r>
      <w:r>
        <w:rPr>
          <w:rFonts w:hint="eastAsia" w:ascii="仿宋_GB2312" w:eastAsia="仿宋_GB2312"/>
          <w:sz w:val="28"/>
          <w:szCs w:val="28"/>
          <w:lang w:eastAsia="zh-CN"/>
        </w:rPr>
        <w:t>.自然资源海洋气象等支出（类）自然资源事务（款）自然资源规划及管理（项）：反映用于国土空间规划、国土空间开发适宜性评价等方面的支出。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21.自然资源海洋气象等支出（类）自然资源事务（款）自然资源利用与保护（项）：反映用于自然资源有偿使用与合理开发利用，国土空间生态修复，国土整治，耕地保护等方面的支出。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22.自然资源海洋气象等支出（类）自然资源事务（款）自然资源调查与确权登记（项）：反映自然资源部门用于自然资源调查监测评价，自然资源统一确权登记等方面的支出。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23</w:t>
      </w:r>
      <w:r>
        <w:rPr>
          <w:rFonts w:hint="eastAsia" w:ascii="仿宋_GB2312" w:eastAsia="仿宋_GB2312"/>
          <w:sz w:val="28"/>
          <w:szCs w:val="28"/>
          <w:lang w:eastAsia="zh-CN"/>
        </w:rPr>
        <w:t>.自然资源海洋气象等支出（类）自然资源事务（款）事业运行（项）：反映行政单位的基本支出，不包括行政单位（包括实行公务员管理的事业单位）后勤服务中心、医务室等附属事业单位。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24</w:t>
      </w:r>
      <w:r>
        <w:rPr>
          <w:rFonts w:hint="eastAsia" w:ascii="仿宋_GB2312" w:eastAsia="仿宋_GB2312"/>
          <w:sz w:val="28"/>
          <w:szCs w:val="28"/>
          <w:lang w:eastAsia="zh-CN"/>
        </w:rPr>
        <w:t>.自然资源海洋气象等支出（类）自然资源事务（款）其他自然资源事务支出（项）：反映其他用于自然资源事务方面的支出。</w:t>
      </w:r>
    </w:p>
    <w:p>
      <w:pPr>
        <w:pageBreakBefore w:val="0"/>
        <w:widowControl w:val="0"/>
        <w:kinsoku/>
        <w:wordWrap/>
        <w:overflowPunct/>
        <w:topLinePunct w:val="0"/>
        <w:bidi w:val="0"/>
        <w:snapToGrid/>
        <w:ind w:firstLine="632" w:firstLineChars="200"/>
        <w:textAlignment w:val="auto"/>
        <w:rPr>
          <w:rFonts w:hint="eastAsia" w:ascii="仿宋_GB2312" w:hAnsi="Times New Roman" w:eastAsia="仿宋_GB2312" w:cs="Times New Roman"/>
          <w:b/>
          <w:color w:val="000000"/>
          <w:spacing w:val="-2"/>
          <w:sz w:val="32"/>
          <w:szCs w:val="32"/>
        </w:rPr>
      </w:pPr>
    </w:p>
    <w:p>
      <w:pPr>
        <w:pageBreakBefore w:val="0"/>
        <w:widowControl w:val="0"/>
        <w:kinsoku/>
        <w:wordWrap/>
        <w:overflowPunct/>
        <w:topLinePunct w:val="0"/>
        <w:bidi w:val="0"/>
        <w:snapToGrid/>
        <w:ind w:firstLine="640" w:firstLineChars="200"/>
        <w:jc w:val="center"/>
        <w:textAlignment w:val="auto"/>
        <w:rPr>
          <w:rFonts w:ascii="黑体" w:eastAsia="黑体"/>
          <w:sz w:val="32"/>
          <w:szCs w:val="32"/>
        </w:rPr>
      </w:pPr>
    </w:p>
    <w:p>
      <w:pPr>
        <w:pageBreakBefore w:val="0"/>
        <w:widowControl w:val="0"/>
        <w:kinsoku/>
        <w:wordWrap/>
        <w:overflowPunct/>
        <w:topLinePunct w:val="0"/>
        <w:bidi w:val="0"/>
        <w:snapToGrid/>
        <w:ind w:firstLine="640" w:firstLineChars="200"/>
        <w:jc w:val="center"/>
        <w:textAlignment w:val="auto"/>
        <w:rPr>
          <w:rFonts w:hint="eastAsia" w:ascii="黑体" w:eastAsia="黑体"/>
          <w:sz w:val="32"/>
          <w:szCs w:val="32"/>
        </w:rPr>
      </w:pPr>
    </w:p>
    <w:p>
      <w:pPr>
        <w:pageBreakBefore w:val="0"/>
        <w:widowControl w:val="0"/>
        <w:kinsoku/>
        <w:wordWrap/>
        <w:overflowPunct/>
        <w:topLinePunct w:val="0"/>
        <w:bidi w:val="0"/>
        <w:snapToGrid/>
        <w:ind w:firstLine="640" w:firstLineChars="200"/>
        <w:jc w:val="center"/>
        <w:textAlignment w:val="auto"/>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pageBreakBefore w:val="0"/>
        <w:widowControl w:val="0"/>
        <w:kinsoku/>
        <w:wordWrap/>
        <w:overflowPunct/>
        <w:topLinePunct w:val="0"/>
        <w:bidi w:val="0"/>
        <w:snapToGrid/>
        <w:ind w:firstLine="560" w:firstLineChars="200"/>
        <w:textAlignment w:val="auto"/>
        <w:rPr>
          <w:rFonts w:hint="eastAsia" w:ascii="黑体" w:eastAsia="黑体"/>
          <w:sz w:val="28"/>
          <w:szCs w:val="28"/>
          <w:highlight w:val="yellow"/>
        </w:rPr>
      </w:pPr>
    </w:p>
    <w:p>
      <w:pPr>
        <w:pageBreakBefore w:val="0"/>
        <w:widowControl w:val="0"/>
        <w:kinsoku/>
        <w:wordWrap/>
        <w:overflowPunct/>
        <w:topLinePunct w:val="0"/>
        <w:bidi w:val="0"/>
        <w:snapToGrid/>
        <w:ind w:firstLine="560" w:firstLineChars="200"/>
        <w:textAlignment w:val="auto"/>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eastAsia="zh-CN"/>
        </w:rPr>
        <w:t>详见附件</w:t>
      </w:r>
      <w:r>
        <w:rPr>
          <w:rFonts w:hint="eastAsia" w:ascii="仿宋_GB2312" w:eastAsia="仿宋_GB2312"/>
          <w:sz w:val="28"/>
          <w:szCs w:val="28"/>
          <w:lang w:val="en-US" w:eastAsia="zh-CN"/>
        </w:rPr>
        <w:t>2</w:t>
      </w:r>
    </w:p>
    <w:p>
      <w:pPr>
        <w:pStyle w:val="2"/>
        <w:pageBreakBefore w:val="0"/>
        <w:widowControl w:val="0"/>
        <w:kinsoku/>
        <w:wordWrap/>
        <w:overflowPunct/>
        <w:topLinePunct w:val="0"/>
        <w:bidi w:val="0"/>
        <w:snapToGrid/>
        <w:ind w:firstLine="640" w:firstLineChars="200"/>
        <w:textAlignment w:val="auto"/>
        <w:rPr>
          <w:rFonts w:hint="eastAsia" w:ascii="黑体" w:eastAsia="黑体"/>
          <w:sz w:val="32"/>
          <w:szCs w:val="32"/>
        </w:rPr>
      </w:pPr>
    </w:p>
    <w:p>
      <w:pPr>
        <w:pageBreakBefore w:val="0"/>
        <w:widowControl w:val="0"/>
        <w:kinsoku/>
        <w:wordWrap/>
        <w:overflowPunct/>
        <w:topLinePunct w:val="0"/>
        <w:bidi w:val="0"/>
        <w:snapToGrid/>
        <w:ind w:firstLine="420" w:firstLineChars="200"/>
        <w:textAlignment w:val="auto"/>
        <w:rPr>
          <w:rFonts w:hint="eastAsia"/>
        </w:rPr>
      </w:pPr>
    </w:p>
    <w:p>
      <w:pPr>
        <w:pStyle w:val="3"/>
        <w:pageBreakBefore w:val="0"/>
        <w:widowControl w:val="0"/>
        <w:kinsoku/>
        <w:wordWrap/>
        <w:overflowPunct/>
        <w:topLinePunct w:val="0"/>
        <w:bidi w:val="0"/>
        <w:snapToGrid/>
        <w:ind w:firstLine="720" w:firstLineChars="200"/>
        <w:textAlignment w:val="auto"/>
        <w:rPr>
          <w:rFonts w:hint="eastAsia"/>
        </w:rPr>
      </w:pPr>
    </w:p>
    <w:p>
      <w:pPr>
        <w:pageBreakBefore w:val="0"/>
        <w:widowControl w:val="0"/>
        <w:kinsoku/>
        <w:wordWrap/>
        <w:overflowPunct/>
        <w:topLinePunct w:val="0"/>
        <w:bidi w:val="0"/>
        <w:snapToGrid/>
        <w:ind w:firstLine="420" w:firstLineChars="200"/>
        <w:textAlignment w:val="auto"/>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14</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07F4B"/>
    <w:multiLevelType w:val="singleLevel"/>
    <w:tmpl w:val="1AF07F4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549C"/>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E67"/>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203AE1"/>
    <w:rsid w:val="01412CDA"/>
    <w:rsid w:val="01985CE9"/>
    <w:rsid w:val="01BD78A0"/>
    <w:rsid w:val="02140AE6"/>
    <w:rsid w:val="02393033"/>
    <w:rsid w:val="028A44FF"/>
    <w:rsid w:val="036C3A57"/>
    <w:rsid w:val="03787739"/>
    <w:rsid w:val="03795DE2"/>
    <w:rsid w:val="03927F68"/>
    <w:rsid w:val="03A07B5D"/>
    <w:rsid w:val="04AF3590"/>
    <w:rsid w:val="04D34272"/>
    <w:rsid w:val="04EB5D4B"/>
    <w:rsid w:val="050C4130"/>
    <w:rsid w:val="052E7009"/>
    <w:rsid w:val="067D1464"/>
    <w:rsid w:val="06A91E2A"/>
    <w:rsid w:val="072523FC"/>
    <w:rsid w:val="07273F9F"/>
    <w:rsid w:val="074848F6"/>
    <w:rsid w:val="078359C8"/>
    <w:rsid w:val="078866AE"/>
    <w:rsid w:val="079004AC"/>
    <w:rsid w:val="07A35A31"/>
    <w:rsid w:val="07DB34E6"/>
    <w:rsid w:val="093D045F"/>
    <w:rsid w:val="09FF791C"/>
    <w:rsid w:val="0A000F7D"/>
    <w:rsid w:val="0A686D57"/>
    <w:rsid w:val="0A782B60"/>
    <w:rsid w:val="0AA474BB"/>
    <w:rsid w:val="0AAD1D20"/>
    <w:rsid w:val="0AF31FCB"/>
    <w:rsid w:val="0B292A22"/>
    <w:rsid w:val="0B614494"/>
    <w:rsid w:val="0C2128E8"/>
    <w:rsid w:val="0C333509"/>
    <w:rsid w:val="0C375801"/>
    <w:rsid w:val="0C487F97"/>
    <w:rsid w:val="0CD80799"/>
    <w:rsid w:val="0CDB0C6D"/>
    <w:rsid w:val="0D0C431F"/>
    <w:rsid w:val="0D3E5E29"/>
    <w:rsid w:val="0D993706"/>
    <w:rsid w:val="0E426B10"/>
    <w:rsid w:val="0EEC3DD3"/>
    <w:rsid w:val="0F4E4D67"/>
    <w:rsid w:val="0F57695F"/>
    <w:rsid w:val="0F863DEA"/>
    <w:rsid w:val="0F8E2C57"/>
    <w:rsid w:val="0F9B789E"/>
    <w:rsid w:val="0FAE1A85"/>
    <w:rsid w:val="0FAF3F05"/>
    <w:rsid w:val="0FB92E0E"/>
    <w:rsid w:val="104C6F28"/>
    <w:rsid w:val="1059665E"/>
    <w:rsid w:val="10AC13BA"/>
    <w:rsid w:val="11874E9B"/>
    <w:rsid w:val="11AF2C84"/>
    <w:rsid w:val="11F83785"/>
    <w:rsid w:val="1201267C"/>
    <w:rsid w:val="125D12AD"/>
    <w:rsid w:val="12901B96"/>
    <w:rsid w:val="13054C66"/>
    <w:rsid w:val="147A2407"/>
    <w:rsid w:val="148558DD"/>
    <w:rsid w:val="14C37D40"/>
    <w:rsid w:val="14C67BC0"/>
    <w:rsid w:val="14DB5C76"/>
    <w:rsid w:val="14E15771"/>
    <w:rsid w:val="15C3670A"/>
    <w:rsid w:val="15D2394B"/>
    <w:rsid w:val="162854D3"/>
    <w:rsid w:val="1651789E"/>
    <w:rsid w:val="16C1191B"/>
    <w:rsid w:val="17AD6EE8"/>
    <w:rsid w:val="17B5636C"/>
    <w:rsid w:val="18B939CC"/>
    <w:rsid w:val="18DA287B"/>
    <w:rsid w:val="1964204D"/>
    <w:rsid w:val="1A0E10D5"/>
    <w:rsid w:val="1A3B5D19"/>
    <w:rsid w:val="1A446049"/>
    <w:rsid w:val="1A5A3D69"/>
    <w:rsid w:val="1A7D784D"/>
    <w:rsid w:val="1AB71E12"/>
    <w:rsid w:val="1AC036D6"/>
    <w:rsid w:val="1AEC0734"/>
    <w:rsid w:val="1B030614"/>
    <w:rsid w:val="1B237D07"/>
    <w:rsid w:val="1B4C5BA2"/>
    <w:rsid w:val="1B8E4B88"/>
    <w:rsid w:val="1C0858B3"/>
    <w:rsid w:val="1C345C54"/>
    <w:rsid w:val="1CEB6CA3"/>
    <w:rsid w:val="1DBD1215"/>
    <w:rsid w:val="1DC87A1E"/>
    <w:rsid w:val="1DDC5AB8"/>
    <w:rsid w:val="1DED0232"/>
    <w:rsid w:val="1DEF20B0"/>
    <w:rsid w:val="1EF56538"/>
    <w:rsid w:val="1EF65F0A"/>
    <w:rsid w:val="1F0B54C0"/>
    <w:rsid w:val="1F1D632F"/>
    <w:rsid w:val="1FA1256B"/>
    <w:rsid w:val="1FA240F3"/>
    <w:rsid w:val="1FB41BB2"/>
    <w:rsid w:val="1FDF2477"/>
    <w:rsid w:val="20F86BC7"/>
    <w:rsid w:val="214243FA"/>
    <w:rsid w:val="21BB6732"/>
    <w:rsid w:val="21DE72CD"/>
    <w:rsid w:val="22BD779F"/>
    <w:rsid w:val="22C10D96"/>
    <w:rsid w:val="22FE7144"/>
    <w:rsid w:val="235E0CF1"/>
    <w:rsid w:val="23884A41"/>
    <w:rsid w:val="238B634C"/>
    <w:rsid w:val="23C41D83"/>
    <w:rsid w:val="23D76206"/>
    <w:rsid w:val="24425057"/>
    <w:rsid w:val="24AF2617"/>
    <w:rsid w:val="252E2EF7"/>
    <w:rsid w:val="257A14F5"/>
    <w:rsid w:val="257E39E8"/>
    <w:rsid w:val="25BF0EC2"/>
    <w:rsid w:val="25D76D30"/>
    <w:rsid w:val="26E054FD"/>
    <w:rsid w:val="26F97215"/>
    <w:rsid w:val="27086287"/>
    <w:rsid w:val="27196C26"/>
    <w:rsid w:val="272721A5"/>
    <w:rsid w:val="27EE22B7"/>
    <w:rsid w:val="27F00E6A"/>
    <w:rsid w:val="28434E4B"/>
    <w:rsid w:val="288D48EF"/>
    <w:rsid w:val="28B607BA"/>
    <w:rsid w:val="28BC7B3C"/>
    <w:rsid w:val="28CC7FC7"/>
    <w:rsid w:val="29923DD3"/>
    <w:rsid w:val="29EE6A99"/>
    <w:rsid w:val="29EF086F"/>
    <w:rsid w:val="2A0F1079"/>
    <w:rsid w:val="2A3E0883"/>
    <w:rsid w:val="2B2F7EAB"/>
    <w:rsid w:val="2B5C76BE"/>
    <w:rsid w:val="2B717681"/>
    <w:rsid w:val="2C332F56"/>
    <w:rsid w:val="2C4F35FE"/>
    <w:rsid w:val="2C6945C7"/>
    <w:rsid w:val="2E0C546B"/>
    <w:rsid w:val="2E6429B7"/>
    <w:rsid w:val="2E884241"/>
    <w:rsid w:val="2EFFE297"/>
    <w:rsid w:val="2F7C0BC4"/>
    <w:rsid w:val="2FF900E9"/>
    <w:rsid w:val="301437CA"/>
    <w:rsid w:val="305F7529"/>
    <w:rsid w:val="30DE2284"/>
    <w:rsid w:val="31182442"/>
    <w:rsid w:val="31502A74"/>
    <w:rsid w:val="319B081C"/>
    <w:rsid w:val="32F35831"/>
    <w:rsid w:val="330475C8"/>
    <w:rsid w:val="330C0450"/>
    <w:rsid w:val="3334099C"/>
    <w:rsid w:val="3351341B"/>
    <w:rsid w:val="33C45279"/>
    <w:rsid w:val="33F22117"/>
    <w:rsid w:val="34645D03"/>
    <w:rsid w:val="35695561"/>
    <w:rsid w:val="35EB6386"/>
    <w:rsid w:val="362C71F0"/>
    <w:rsid w:val="3649225E"/>
    <w:rsid w:val="36522650"/>
    <w:rsid w:val="365E28A6"/>
    <w:rsid w:val="36D048ED"/>
    <w:rsid w:val="36FF7558"/>
    <w:rsid w:val="37186E65"/>
    <w:rsid w:val="37A83B53"/>
    <w:rsid w:val="3800299C"/>
    <w:rsid w:val="3A5D59D2"/>
    <w:rsid w:val="3A6B388C"/>
    <w:rsid w:val="3AB258C4"/>
    <w:rsid w:val="3AFB152A"/>
    <w:rsid w:val="3B260B28"/>
    <w:rsid w:val="3B934BDC"/>
    <w:rsid w:val="3BF37A27"/>
    <w:rsid w:val="3C306448"/>
    <w:rsid w:val="3CDF2E41"/>
    <w:rsid w:val="3D024D00"/>
    <w:rsid w:val="3D0839FB"/>
    <w:rsid w:val="3D1B14F0"/>
    <w:rsid w:val="3D411791"/>
    <w:rsid w:val="3D880F55"/>
    <w:rsid w:val="3DB21F76"/>
    <w:rsid w:val="3DD63ADB"/>
    <w:rsid w:val="3E436D08"/>
    <w:rsid w:val="3E5B4DD3"/>
    <w:rsid w:val="3E7F3F1E"/>
    <w:rsid w:val="3F98067A"/>
    <w:rsid w:val="3FC02CD9"/>
    <w:rsid w:val="4015645D"/>
    <w:rsid w:val="40730D78"/>
    <w:rsid w:val="409C5D6F"/>
    <w:rsid w:val="411575C6"/>
    <w:rsid w:val="424E21B5"/>
    <w:rsid w:val="425F19B8"/>
    <w:rsid w:val="428B46A9"/>
    <w:rsid w:val="42B202BA"/>
    <w:rsid w:val="42C4506D"/>
    <w:rsid w:val="42C7055F"/>
    <w:rsid w:val="42C8272F"/>
    <w:rsid w:val="42F2747E"/>
    <w:rsid w:val="42FD5E47"/>
    <w:rsid w:val="433E495C"/>
    <w:rsid w:val="43847C6A"/>
    <w:rsid w:val="43876D74"/>
    <w:rsid w:val="43DE30D3"/>
    <w:rsid w:val="43E72480"/>
    <w:rsid w:val="448A248C"/>
    <w:rsid w:val="44D9587E"/>
    <w:rsid w:val="45BE6ED2"/>
    <w:rsid w:val="465944C0"/>
    <w:rsid w:val="466D52AE"/>
    <w:rsid w:val="4675344B"/>
    <w:rsid w:val="46B31E96"/>
    <w:rsid w:val="46C747A3"/>
    <w:rsid w:val="46E349A2"/>
    <w:rsid w:val="47335C67"/>
    <w:rsid w:val="47705F76"/>
    <w:rsid w:val="47D31AA2"/>
    <w:rsid w:val="47FA5D20"/>
    <w:rsid w:val="483272EE"/>
    <w:rsid w:val="48390E97"/>
    <w:rsid w:val="485663AE"/>
    <w:rsid w:val="48AF4D14"/>
    <w:rsid w:val="49157D32"/>
    <w:rsid w:val="49252BE6"/>
    <w:rsid w:val="4964485E"/>
    <w:rsid w:val="497D6F5C"/>
    <w:rsid w:val="498316EF"/>
    <w:rsid w:val="4A572FFE"/>
    <w:rsid w:val="4A754F83"/>
    <w:rsid w:val="4A8A3068"/>
    <w:rsid w:val="4AC27CB3"/>
    <w:rsid w:val="4B8842CA"/>
    <w:rsid w:val="4BF72BEF"/>
    <w:rsid w:val="4BFC7A8D"/>
    <w:rsid w:val="4C033CEE"/>
    <w:rsid w:val="4C581344"/>
    <w:rsid w:val="4CBA571C"/>
    <w:rsid w:val="4D0A2F9F"/>
    <w:rsid w:val="4D353886"/>
    <w:rsid w:val="4D3702FB"/>
    <w:rsid w:val="4DDC2D5E"/>
    <w:rsid w:val="4EA45CAB"/>
    <w:rsid w:val="4FA036A5"/>
    <w:rsid w:val="4FA27B81"/>
    <w:rsid w:val="4FBF2ED7"/>
    <w:rsid w:val="50343E69"/>
    <w:rsid w:val="50EF022F"/>
    <w:rsid w:val="5109355A"/>
    <w:rsid w:val="51327212"/>
    <w:rsid w:val="514748DD"/>
    <w:rsid w:val="51DB3C59"/>
    <w:rsid w:val="52CD7AF9"/>
    <w:rsid w:val="52DF307B"/>
    <w:rsid w:val="536405DD"/>
    <w:rsid w:val="539678D5"/>
    <w:rsid w:val="53D7179A"/>
    <w:rsid w:val="53FC42BD"/>
    <w:rsid w:val="540B1194"/>
    <w:rsid w:val="541A6093"/>
    <w:rsid w:val="542302EE"/>
    <w:rsid w:val="544901C8"/>
    <w:rsid w:val="545B1D0D"/>
    <w:rsid w:val="546A5915"/>
    <w:rsid w:val="548428A4"/>
    <w:rsid w:val="54A13BCE"/>
    <w:rsid w:val="55104C18"/>
    <w:rsid w:val="55725707"/>
    <w:rsid w:val="55762E42"/>
    <w:rsid w:val="559F5D52"/>
    <w:rsid w:val="55C33535"/>
    <w:rsid w:val="55E80AB4"/>
    <w:rsid w:val="55FF3523"/>
    <w:rsid w:val="560B2986"/>
    <w:rsid w:val="56316FC0"/>
    <w:rsid w:val="568B7507"/>
    <w:rsid w:val="56D32C24"/>
    <w:rsid w:val="56E85C06"/>
    <w:rsid w:val="574867D5"/>
    <w:rsid w:val="57A7B272"/>
    <w:rsid w:val="57BC776C"/>
    <w:rsid w:val="582B528F"/>
    <w:rsid w:val="58425100"/>
    <w:rsid w:val="58470068"/>
    <w:rsid w:val="58D02262"/>
    <w:rsid w:val="58D04D84"/>
    <w:rsid w:val="58DE48B8"/>
    <w:rsid w:val="58F4349B"/>
    <w:rsid w:val="58F5616F"/>
    <w:rsid w:val="595D790F"/>
    <w:rsid w:val="5A1720F9"/>
    <w:rsid w:val="5A1C323B"/>
    <w:rsid w:val="5A4D660B"/>
    <w:rsid w:val="5A5D6F1E"/>
    <w:rsid w:val="5AD94A92"/>
    <w:rsid w:val="5AF523D2"/>
    <w:rsid w:val="5B0C3B56"/>
    <w:rsid w:val="5B9C37C2"/>
    <w:rsid w:val="5BA7C654"/>
    <w:rsid w:val="5BF06CA9"/>
    <w:rsid w:val="5BF1303E"/>
    <w:rsid w:val="5C512476"/>
    <w:rsid w:val="5CA30931"/>
    <w:rsid w:val="5CF64120"/>
    <w:rsid w:val="5D353301"/>
    <w:rsid w:val="5D6C4821"/>
    <w:rsid w:val="5DC215AF"/>
    <w:rsid w:val="5DC73E9C"/>
    <w:rsid w:val="5E0A3C39"/>
    <w:rsid w:val="5E2E01F9"/>
    <w:rsid w:val="5EBB77AC"/>
    <w:rsid w:val="5F302CC7"/>
    <w:rsid w:val="5F994B9A"/>
    <w:rsid w:val="5F9A0962"/>
    <w:rsid w:val="60CC3C2E"/>
    <w:rsid w:val="60E42C1B"/>
    <w:rsid w:val="60E77D2B"/>
    <w:rsid w:val="60F2542F"/>
    <w:rsid w:val="61467A31"/>
    <w:rsid w:val="61C4720E"/>
    <w:rsid w:val="62051485"/>
    <w:rsid w:val="62140F58"/>
    <w:rsid w:val="623B0C58"/>
    <w:rsid w:val="625E4AC0"/>
    <w:rsid w:val="628D154C"/>
    <w:rsid w:val="62B12718"/>
    <w:rsid w:val="62E77A36"/>
    <w:rsid w:val="63D25DC8"/>
    <w:rsid w:val="6479781C"/>
    <w:rsid w:val="64816B50"/>
    <w:rsid w:val="64C0607C"/>
    <w:rsid w:val="64DE531F"/>
    <w:rsid w:val="650432BE"/>
    <w:rsid w:val="6541298C"/>
    <w:rsid w:val="65472DB8"/>
    <w:rsid w:val="65544C28"/>
    <w:rsid w:val="655E1252"/>
    <w:rsid w:val="659A5C05"/>
    <w:rsid w:val="65A261D2"/>
    <w:rsid w:val="65BD1D85"/>
    <w:rsid w:val="65D432E5"/>
    <w:rsid w:val="668A1432"/>
    <w:rsid w:val="66994466"/>
    <w:rsid w:val="66A51913"/>
    <w:rsid w:val="66C834EB"/>
    <w:rsid w:val="66FA2591"/>
    <w:rsid w:val="67006588"/>
    <w:rsid w:val="670D02DB"/>
    <w:rsid w:val="67654604"/>
    <w:rsid w:val="676F09E1"/>
    <w:rsid w:val="67A06D80"/>
    <w:rsid w:val="67B40AAE"/>
    <w:rsid w:val="67FE2352"/>
    <w:rsid w:val="684B577C"/>
    <w:rsid w:val="68F511D5"/>
    <w:rsid w:val="69417F83"/>
    <w:rsid w:val="69B10CA7"/>
    <w:rsid w:val="6A774AD2"/>
    <w:rsid w:val="6AA95255"/>
    <w:rsid w:val="6B1D73B1"/>
    <w:rsid w:val="6B242D50"/>
    <w:rsid w:val="6BC47CBB"/>
    <w:rsid w:val="6BF9019E"/>
    <w:rsid w:val="6C253AF2"/>
    <w:rsid w:val="6C995B68"/>
    <w:rsid w:val="6D127272"/>
    <w:rsid w:val="6D735821"/>
    <w:rsid w:val="6D772FC0"/>
    <w:rsid w:val="6E4E62E3"/>
    <w:rsid w:val="6F814867"/>
    <w:rsid w:val="6FCB480D"/>
    <w:rsid w:val="6FF726EB"/>
    <w:rsid w:val="7009623D"/>
    <w:rsid w:val="70DA2B09"/>
    <w:rsid w:val="70F059B1"/>
    <w:rsid w:val="7250614E"/>
    <w:rsid w:val="739D55C2"/>
    <w:rsid w:val="73C07E1B"/>
    <w:rsid w:val="7470144A"/>
    <w:rsid w:val="7540304C"/>
    <w:rsid w:val="7543221B"/>
    <w:rsid w:val="76693F1A"/>
    <w:rsid w:val="76842A40"/>
    <w:rsid w:val="76BE4B49"/>
    <w:rsid w:val="76D503A3"/>
    <w:rsid w:val="76DB5CBF"/>
    <w:rsid w:val="76DE6D22"/>
    <w:rsid w:val="76DE734D"/>
    <w:rsid w:val="77CB0A5C"/>
    <w:rsid w:val="78434CDB"/>
    <w:rsid w:val="785A0E46"/>
    <w:rsid w:val="78A32B63"/>
    <w:rsid w:val="78B031E9"/>
    <w:rsid w:val="79210C57"/>
    <w:rsid w:val="798356CA"/>
    <w:rsid w:val="79DC5D90"/>
    <w:rsid w:val="7A7F1C49"/>
    <w:rsid w:val="7AF46BAC"/>
    <w:rsid w:val="7B183050"/>
    <w:rsid w:val="7B5B7AE6"/>
    <w:rsid w:val="7BA7071E"/>
    <w:rsid w:val="7BDF6DA8"/>
    <w:rsid w:val="7C7EDC1A"/>
    <w:rsid w:val="7C9D18DB"/>
    <w:rsid w:val="7CA07515"/>
    <w:rsid w:val="7CC02C9B"/>
    <w:rsid w:val="7CCED98D"/>
    <w:rsid w:val="7D08410F"/>
    <w:rsid w:val="7D743733"/>
    <w:rsid w:val="7DB96DED"/>
    <w:rsid w:val="7DCD0773"/>
    <w:rsid w:val="7DD3AD81"/>
    <w:rsid w:val="7DE16CE7"/>
    <w:rsid w:val="7E674C87"/>
    <w:rsid w:val="7F286F6B"/>
    <w:rsid w:val="7F667F1A"/>
    <w:rsid w:val="7F7FE70F"/>
    <w:rsid w:val="7F885629"/>
    <w:rsid w:val="7FA55E7D"/>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paragraph" w:styleId="4">
    <w:name w:val="heading 3"/>
    <w:basedOn w:val="1"/>
    <w:next w:val="1"/>
    <w:unhideWhenUsed/>
    <w:qFormat/>
    <w:uiPriority w:val="0"/>
    <w:pPr>
      <w:keepNext w:val="0"/>
      <w:keepLines w:val="0"/>
      <w:widowControl w:val="0"/>
      <w:suppressLineNumbers w:val="0"/>
      <w:spacing w:before="100" w:beforeAutospacing="1" w:after="100" w:afterAutospacing="1"/>
      <w:jc w:val="left"/>
      <w:outlineLvl w:val="2"/>
    </w:pPr>
    <w:rPr>
      <w:rFonts w:hint="eastAsia" w:ascii="宋体" w:hAnsi="Times New Roman" w:eastAsia="宋体" w:cs="宋体"/>
      <w:b/>
      <w:bCs/>
      <w:kern w:val="0"/>
      <w:sz w:val="27"/>
      <w:szCs w:val="27"/>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next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Sheet1!$A$2:$A$3</c:f>
              <c:strCache>
                <c:ptCount val="2"/>
                <c:pt idx="0">
                  <c:v>财政拨款收入</c:v>
                </c:pt>
                <c:pt idx="1">
                  <c:v>其他收入</c:v>
                </c:pt>
              </c:strCache>
            </c:strRef>
          </c:cat>
          <c:val>
            <c:numRef>
              <c:f>Sheet1!$B$2:$B$3</c:f>
              <c:numCache>
                <c:formatCode>General</c:formatCode>
                <c:ptCount val="2"/>
                <c:pt idx="0">
                  <c:v>9292.35</c:v>
                </c:pt>
                <c:pt idx="1">
                  <c:v>2249.36</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7262.38</c:v>
                </c:pt>
                <c:pt idx="1">
                  <c:v>7667.04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0</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2024-08-26T02:10:28Z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