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pStyle w:val="2"/>
        <w:rPr>
          <w:rFonts w:hint="eastAsia"/>
        </w:rPr>
      </w:pPr>
    </w:p>
    <w:p>
      <w:pPr>
        <w:jc w:val="center"/>
        <w:rPr>
          <w:rFonts w:hint="eastAsia" w:ascii="宋体" w:hAnsi="宋体"/>
          <w:sz w:val="36"/>
          <w:szCs w:val="36"/>
        </w:rPr>
      </w:pPr>
    </w:p>
    <w:p>
      <w:pPr>
        <w:jc w:val="center"/>
        <w:rPr>
          <w:rFonts w:ascii="黑体" w:eastAsia="黑体"/>
          <w:sz w:val="52"/>
          <w:szCs w:val="52"/>
        </w:rPr>
      </w:pPr>
    </w:p>
    <w:p>
      <w:pPr>
        <w:pStyle w:val="2"/>
      </w:pPr>
    </w:p>
    <w:p>
      <w:pPr>
        <w:jc w:val="center"/>
        <w:rPr>
          <w:rFonts w:ascii="黑体" w:eastAsia="黑体"/>
          <w:sz w:val="52"/>
          <w:szCs w:val="52"/>
        </w:rPr>
      </w:pPr>
    </w:p>
    <w:p>
      <w:pPr>
        <w:jc w:val="center"/>
        <w:rPr>
          <w:rFonts w:ascii="黑体" w:eastAsia="黑体"/>
          <w:sz w:val="52"/>
          <w:szCs w:val="52"/>
        </w:rPr>
      </w:pPr>
    </w:p>
    <w:p>
      <w:pPr>
        <w:pStyle w:val="2"/>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eastAsia" w:ascii="仿宋_GB2312" w:eastAsia="仿宋_GB2312"/>
          <w:kern w:val="0"/>
          <w:sz w:val="28"/>
          <w:szCs w:val="28"/>
          <w:lang w:val="en-US" w:eastAsia="zh-CN" w:bidi="ar-SA"/>
        </w:rPr>
      </w:pPr>
      <w:r>
        <w:rPr>
          <w:rFonts w:hint="eastAsia" w:ascii="仿宋_GB2312" w:eastAsia="仿宋_GB2312"/>
          <w:kern w:val="0"/>
          <w:sz w:val="28"/>
          <w:szCs w:val="28"/>
          <w:lang w:val="en-US" w:eastAsia="zh-CN" w:bidi="ar-SA"/>
        </w:rPr>
        <w:t>我单位设科室14个，下属单位三个，其中，北京市顺义区规划和自然资源执法队为副处级单位，下设四个规划和自然资源管理所；北京市顺义区不动产登记事务中心，为副处级公益一类事业单位，属参照公务员法管理事业单位；北京市顺义区规划和自然资源综合事务中心，为副处级公益一类事业单位，属全额拨款事业单位。</w:t>
      </w:r>
    </w:p>
    <w:p>
      <w:pPr>
        <w:snapToGrid w:val="0"/>
        <w:spacing w:line="520" w:lineRule="exact"/>
        <w:ind w:firstLine="560" w:firstLineChars="200"/>
        <w:rPr>
          <w:rFonts w:hint="eastAsia" w:ascii="仿宋_GB2312" w:eastAsia="仿宋_GB2312"/>
          <w:kern w:val="0"/>
          <w:sz w:val="28"/>
          <w:szCs w:val="28"/>
          <w:lang w:val="en-US" w:eastAsia="zh-CN" w:bidi="ar-SA"/>
        </w:rPr>
      </w:pPr>
      <w:r>
        <w:rPr>
          <w:rFonts w:hint="eastAsia" w:ascii="仿宋_GB2312" w:eastAsia="仿宋_GB2312"/>
          <w:kern w:val="0"/>
          <w:sz w:val="28"/>
          <w:szCs w:val="28"/>
          <w:lang w:val="en-US" w:eastAsia="zh-CN" w:bidi="ar-SA"/>
        </w:rPr>
        <w:t>分局负责本区规划和自然资源管理，推进国土空间规划全域覆盖和“多规合一”，加强规划的编制和实施，维护规划的严肃性和权威性。同时，根据《北京市总体规划（2016-2035年）》有关要求，顺义分局强化减量发展、中心城区人口和功能疏解承接等职责。</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履行本区全民所有土地、矿产、森林、湿地、水等自然资源资产所有者职责和所有国土空间用途管制职责，宣传、贯彻、实施有关城乡规划和国土资源管理方面的法律、法规、规章、政策和标准。</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贯彻落实本区城市总体规划，按规定组织编制、实施本区国土空间规划、分区规划，控制性详细规划和公共服务、公共甘泉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负责本区国土空间用途管制工作。负责自然资源和国土空间规划的实施管理。组织拟订并实施土地等自然资源年度利用计划。负责工程建设项目规划和用地管理相关工作。</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负责本区自然资源调查监测评价工作。组织自然资源基础调查、装箱调查和监测。负责自然资源和不动产统一确权登记工作。依法调处相关权属纠纷。</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本区自然资源资产有偿使用工作。负责全民所有自然资源资产核算，编制全民所有自然资源负责表。负责自然资源资产价值评估管理，依法收缴相关资产收益。负责自然资源资产的合理开发利用。组织开展自然资源分等定级价格评估，开展自然资源利用评价考核，指导节约集约利用。负责自然资源市场监管。</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负责本区</w:t>
      </w:r>
      <w:r>
        <w:rPr>
          <w:rFonts w:hint="eastAsia" w:ascii="仿宋_GB2312" w:eastAsia="仿宋_GB2312"/>
          <w:sz w:val="28"/>
          <w:szCs w:val="28"/>
          <w:lang w:eastAsia="zh-CN"/>
        </w:rPr>
        <w:t>耕地</w:t>
      </w:r>
      <w:r>
        <w:rPr>
          <w:rFonts w:hint="eastAsia" w:ascii="仿宋_GB2312" w:eastAsia="仿宋_GB2312"/>
          <w:sz w:val="28"/>
          <w:szCs w:val="28"/>
        </w:rPr>
        <w:t>保护、基本农田保护管理，负责国土空间用途转用工作。负责土地征收征用管理。负责更低占补平衡管理。组织实施土地整理复垦。</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w:t>
      </w:r>
      <w:r>
        <w:rPr>
          <w:rFonts w:hint="eastAsia" w:ascii="仿宋_GB2312" w:eastAsia="仿宋_GB2312"/>
          <w:sz w:val="28"/>
          <w:szCs w:val="28"/>
          <w:lang w:eastAsia="zh-CN"/>
        </w:rPr>
        <w:t>统筹</w:t>
      </w:r>
      <w:r>
        <w:rPr>
          <w:rFonts w:hint="eastAsia" w:ascii="仿宋_GB2312" w:eastAsia="仿宋_GB2312"/>
          <w:sz w:val="28"/>
          <w:szCs w:val="28"/>
        </w:rPr>
        <w:t>本区国土空间生态修复。牵头组织编制国土空间生态修复规划并实施有关生态修复工程。负责国土空间综合整治、矿山地质环境修复治理等工作。负责地质灾害预防和治理，承担地质灾害应急救援的技术支撑工作。负责矿产资源合理利用和管护的监督管理。</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负责本区自然资源和国土空间规划方面的科技、信息化建设以及统计工作。承担勘察设计、测绘相关监督管理工作。承担自然资源和国土空间规划相关档案的管理工作。</w:t>
      </w:r>
    </w:p>
    <w:p>
      <w:pPr>
        <w:numPr>
          <w:ilvl w:val="0"/>
          <w:numId w:val="1"/>
        </w:num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负责本区自然资源和国土空间规划管理的督查工作。依法承担工程建设项目的规划核验。查出自然资源开发利用和国土空间规划及勘察设计、测绘违法案件。</w:t>
      </w:r>
    </w:p>
    <w:p>
      <w:pPr>
        <w:pStyle w:val="2"/>
        <w:rPr>
          <w:rFonts w:hint="eastAsia"/>
        </w:rPr>
      </w:pPr>
      <w:r>
        <w:rPr>
          <w:rFonts w:hint="eastAsia" w:ascii="仿宋_GB2312" w:eastAsia="仿宋_GB2312"/>
          <w:sz w:val="28"/>
          <w:szCs w:val="28"/>
          <w:lang w:eastAsia="zh-CN"/>
        </w:rPr>
        <w:t>完成</w:t>
      </w:r>
      <w:r>
        <w:rPr>
          <w:rFonts w:hint="eastAsia" w:ascii="仿宋_GB2312" w:eastAsia="仿宋_GB2312"/>
          <w:sz w:val="28"/>
          <w:szCs w:val="28"/>
        </w:rPr>
        <w:t>市规划</w:t>
      </w:r>
      <w:r>
        <w:rPr>
          <w:rFonts w:hint="eastAsia" w:ascii="仿宋_GB2312" w:eastAsia="仿宋_GB2312"/>
          <w:sz w:val="28"/>
          <w:szCs w:val="28"/>
          <w:lang w:eastAsia="zh-CN"/>
        </w:rPr>
        <w:t>自然资源委</w:t>
      </w:r>
      <w:r>
        <w:rPr>
          <w:rFonts w:hint="eastAsia" w:ascii="仿宋_GB2312" w:eastAsia="仿宋_GB2312"/>
          <w:sz w:val="28"/>
          <w:szCs w:val="28"/>
        </w:rPr>
        <w:t>和区政府交办的其他</w:t>
      </w:r>
      <w:r>
        <w:rPr>
          <w:rFonts w:hint="eastAsia" w:ascii="仿宋_GB2312" w:eastAsia="仿宋_GB2312"/>
          <w:sz w:val="28"/>
          <w:szCs w:val="28"/>
          <w:lang w:eastAsia="zh-CN"/>
        </w:rPr>
        <w:t>任务</w:t>
      </w:r>
      <w:r>
        <w:rPr>
          <w:rFonts w:hint="eastAsia" w:ascii="仿宋_GB2312" w:eastAsia="仿宋_GB2312"/>
          <w:sz w:val="28"/>
          <w:szCs w:val="28"/>
        </w:rPr>
        <w:t>。</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123</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119</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110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98</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12073.88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3943.41</w:t>
      </w:r>
      <w:r>
        <w:rPr>
          <w:rFonts w:hint="eastAsia" w:ascii="仿宋_GB2312" w:eastAsia="仿宋_GB2312"/>
          <w:sz w:val="28"/>
          <w:szCs w:val="28"/>
        </w:rPr>
        <w:t>万元，下降</w:t>
      </w:r>
      <w:r>
        <w:rPr>
          <w:rFonts w:hint="eastAsia" w:ascii="仿宋_GB2312" w:eastAsia="仿宋_GB2312"/>
          <w:sz w:val="28"/>
          <w:szCs w:val="28"/>
          <w:lang w:val="en-US" w:eastAsia="zh-CN"/>
        </w:rPr>
        <w:t>24.62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年度本年收入合计</w:t>
      </w:r>
      <w:r>
        <w:rPr>
          <w:rFonts w:ascii="仿宋_GB2312" w:eastAsia="仿宋_GB2312"/>
          <w:color w:val="auto"/>
          <w:sz w:val="28"/>
          <w:szCs w:val="28"/>
          <w:highlight w:val="none"/>
        </w:rPr>
        <w:t>11682.77</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3328.84</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22.18</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p>
    <w:p>
      <w:pPr>
        <w:tabs>
          <w:tab w:val="center" w:pos="6979"/>
        </w:tabs>
        <w:spacing w:line="580" w:lineRule="exact"/>
        <w:ind w:firstLine="560" w:firstLineChars="200"/>
        <w:rPr>
          <w:rFonts w:hint="eastAsia"/>
          <w:color w:val="auto"/>
          <w:highlight w:val="none"/>
        </w:rPr>
      </w:pPr>
      <w:r>
        <w:rPr>
          <w:rFonts w:hint="eastAsia" w:ascii="仿宋_GB2312" w:eastAsia="仿宋_GB2312"/>
          <w:color w:val="auto"/>
          <w:sz w:val="28"/>
          <w:szCs w:val="28"/>
          <w:highlight w:val="none"/>
        </w:rPr>
        <w:t>1.财政拨款收入</w:t>
      </w:r>
      <w:r>
        <w:rPr>
          <w:rFonts w:ascii="仿宋_GB2312" w:eastAsia="仿宋_GB2312"/>
          <w:color w:val="auto"/>
          <w:sz w:val="28"/>
          <w:szCs w:val="28"/>
          <w:highlight w:val="none"/>
        </w:rPr>
        <w:t>9262.5</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79.28</w:t>
      </w:r>
      <w:r>
        <w:rPr>
          <w:rFonts w:hint="eastAsia" w:ascii="仿宋_GB2312" w:eastAsia="仿宋_GB2312"/>
          <w:color w:val="auto"/>
          <w:sz w:val="28"/>
          <w:szCs w:val="28"/>
          <w:highlight w:val="none"/>
        </w:rPr>
        <w:t>%。其中：一般公共预算财政拨款收入</w:t>
      </w:r>
      <w:r>
        <w:rPr>
          <w:rFonts w:ascii="仿宋_GB2312" w:eastAsia="仿宋_GB2312"/>
          <w:color w:val="auto"/>
          <w:sz w:val="28"/>
          <w:szCs w:val="28"/>
          <w:highlight w:val="none"/>
        </w:rPr>
        <w:t>9063.58</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77.58</w:t>
      </w:r>
      <w:r>
        <w:rPr>
          <w:rFonts w:hint="eastAsia" w:ascii="仿宋_GB2312" w:eastAsia="仿宋_GB2312"/>
          <w:color w:val="auto"/>
          <w:sz w:val="28"/>
          <w:szCs w:val="28"/>
          <w:highlight w:val="none"/>
        </w:rPr>
        <w:t>%；政府性基金预算财政拨款收入</w:t>
      </w:r>
      <w:r>
        <w:rPr>
          <w:rFonts w:ascii="仿宋_GB2312" w:eastAsia="仿宋_GB2312"/>
          <w:color w:val="auto"/>
          <w:sz w:val="28"/>
          <w:szCs w:val="28"/>
          <w:highlight w:val="none"/>
        </w:rPr>
        <w:t>198.92</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1.7</w:t>
      </w:r>
      <w:r>
        <w:rPr>
          <w:rFonts w:hint="eastAsia" w:ascii="仿宋_GB2312" w:eastAsia="仿宋_GB2312"/>
          <w:color w:val="auto"/>
          <w:sz w:val="28"/>
          <w:szCs w:val="28"/>
          <w:highlight w:val="none"/>
        </w:rPr>
        <w:t>%；国有资本经营预算财政拨款收入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2.上级补助收入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3.事业收入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4.经营收入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5.附属单位上缴收入</w:t>
      </w:r>
      <w:r>
        <w:rPr>
          <w:rFonts w:ascii="仿宋_GB2312" w:eastAsia="仿宋_GB2312"/>
          <w:color w:val="auto"/>
          <w:sz w:val="28"/>
          <w:szCs w:val="28"/>
          <w:highlight w:val="none"/>
        </w:rPr>
        <w:t>0</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0</w:t>
      </w:r>
      <w:r>
        <w:rPr>
          <w:rFonts w:hint="eastAsia" w:ascii="仿宋_GB2312" w:eastAsia="仿宋_GB2312"/>
          <w:color w:val="auto"/>
          <w:sz w:val="28"/>
          <w:szCs w:val="28"/>
          <w:highlight w:val="none"/>
        </w:rPr>
        <w:t>%；</w:t>
      </w:r>
    </w:p>
    <w:p>
      <w:pPr>
        <w:tabs>
          <w:tab w:val="center" w:pos="6979"/>
        </w:tabs>
        <w:spacing w:line="58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6.其他收入</w:t>
      </w:r>
      <w:r>
        <w:rPr>
          <w:rFonts w:ascii="仿宋_GB2312" w:eastAsia="仿宋_GB2312"/>
          <w:color w:val="auto"/>
          <w:sz w:val="28"/>
          <w:szCs w:val="28"/>
          <w:highlight w:val="none"/>
        </w:rPr>
        <w:t>2420.27</w:t>
      </w:r>
      <w:r>
        <w:rPr>
          <w:rFonts w:hint="eastAsia" w:ascii="仿宋_GB2312" w:eastAsia="仿宋_GB2312"/>
          <w:color w:val="auto"/>
          <w:sz w:val="28"/>
          <w:szCs w:val="28"/>
          <w:highlight w:val="none"/>
        </w:rPr>
        <w:t>万元，占收入合计的</w:t>
      </w:r>
      <w:r>
        <w:rPr>
          <w:rFonts w:ascii="仿宋_GB2312" w:eastAsia="仿宋_GB2312"/>
          <w:color w:val="auto"/>
          <w:sz w:val="28"/>
          <w:szCs w:val="28"/>
          <w:highlight w:val="none"/>
        </w:rPr>
        <w:t>20.7</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3845560" cy="2654300"/>
            <wp:effectExtent l="4445" t="4445" r="5715" b="825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11656.07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3617.5</w:t>
      </w:r>
      <w:r>
        <w:rPr>
          <w:rFonts w:hint="eastAsia" w:ascii="仿宋_GB2312" w:eastAsia="仿宋_GB2312"/>
          <w:sz w:val="28"/>
          <w:szCs w:val="28"/>
        </w:rPr>
        <w:t>万元，下降</w:t>
      </w:r>
      <w:r>
        <w:rPr>
          <w:rFonts w:hint="eastAsia" w:ascii="仿宋_GB2312" w:eastAsia="仿宋_GB2312"/>
          <w:sz w:val="28"/>
          <w:szCs w:val="28"/>
          <w:lang w:val="en-US" w:eastAsia="zh-CN"/>
        </w:rPr>
        <w:t>23.68</w:t>
      </w:r>
      <w:r>
        <w:rPr>
          <w:rFonts w:hint="eastAsia" w:ascii="仿宋_GB2312" w:eastAsia="仿宋_GB2312"/>
          <w:sz w:val="28"/>
          <w:szCs w:val="28"/>
        </w:rPr>
        <w:t>%，其中：基本支出</w:t>
      </w:r>
      <w:r>
        <w:rPr>
          <w:rFonts w:ascii="仿宋_GB2312" w:eastAsia="仿宋_GB2312"/>
          <w:sz w:val="28"/>
          <w:szCs w:val="28"/>
        </w:rPr>
        <w:t>7504.71</w:t>
      </w:r>
      <w:r>
        <w:rPr>
          <w:rFonts w:hint="eastAsia" w:ascii="仿宋_GB2312" w:eastAsia="仿宋_GB2312"/>
          <w:sz w:val="28"/>
          <w:szCs w:val="28"/>
        </w:rPr>
        <w:t>万元，占支出合计的</w:t>
      </w:r>
      <w:r>
        <w:rPr>
          <w:rFonts w:ascii="仿宋_GB2312" w:eastAsia="仿宋_GB2312"/>
          <w:sz w:val="28"/>
          <w:szCs w:val="28"/>
        </w:rPr>
        <w:t>64.3</w:t>
      </w:r>
      <w:r>
        <w:rPr>
          <w:rFonts w:ascii="仿宋_GB2312" w:eastAsia="仿宋_GB2312"/>
          <w:sz w:val="28"/>
          <w:szCs w:val="28"/>
          <w:highlight w:val="none"/>
        </w:rPr>
        <w:t>8</w:t>
      </w:r>
      <w:r>
        <w:rPr>
          <w:rFonts w:hint="eastAsia" w:ascii="仿宋_GB2312" w:eastAsia="仿宋_GB2312"/>
          <w:sz w:val="28"/>
          <w:szCs w:val="28"/>
        </w:rPr>
        <w:t>%；项目支出</w:t>
      </w:r>
      <w:r>
        <w:rPr>
          <w:rFonts w:ascii="仿宋_GB2312" w:eastAsia="仿宋_GB2312"/>
          <w:sz w:val="28"/>
          <w:szCs w:val="28"/>
        </w:rPr>
        <w:t>4151.36</w:t>
      </w:r>
      <w:r>
        <w:rPr>
          <w:rFonts w:hint="eastAsia" w:ascii="仿宋_GB2312" w:eastAsia="仿宋_GB2312"/>
          <w:sz w:val="28"/>
          <w:szCs w:val="28"/>
        </w:rPr>
        <w:t>万元，占支出合计的</w:t>
      </w:r>
      <w:r>
        <w:rPr>
          <w:rFonts w:ascii="仿宋_GB2312" w:eastAsia="仿宋_GB2312"/>
          <w:sz w:val="28"/>
          <w:szCs w:val="28"/>
        </w:rPr>
        <w:t>35.6</w:t>
      </w:r>
      <w:r>
        <w:rPr>
          <w:rFonts w:hint="eastAsia" w:ascii="仿宋_GB2312" w:eastAsia="仿宋_GB2312"/>
          <w:sz w:val="28"/>
          <w:szCs w:val="28"/>
          <w:lang w:val="en-US" w:eastAsia="zh-CN"/>
        </w:rPr>
        <w:t>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160520" cy="2895600"/>
            <wp:effectExtent l="4445" t="4445" r="10795" b="1079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9289.41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491.81</w:t>
      </w:r>
      <w:r>
        <w:rPr>
          <w:rFonts w:hint="eastAsia" w:ascii="仿宋_GB2312" w:eastAsia="仿宋_GB2312"/>
          <w:sz w:val="28"/>
          <w:szCs w:val="28"/>
        </w:rPr>
        <w:t>万元，增长</w:t>
      </w:r>
      <w:r>
        <w:rPr>
          <w:rFonts w:hint="eastAsia" w:ascii="仿宋_GB2312" w:eastAsia="仿宋_GB2312"/>
          <w:sz w:val="28"/>
          <w:szCs w:val="28"/>
          <w:lang w:val="en-US" w:eastAsia="zh-CN"/>
        </w:rPr>
        <w:t>5.59</w:t>
      </w:r>
      <w:r>
        <w:rPr>
          <w:rFonts w:hint="eastAsia" w:ascii="仿宋_GB2312" w:eastAsia="仿宋_GB2312"/>
          <w:sz w:val="28"/>
          <w:szCs w:val="28"/>
        </w:rPr>
        <w:t>%。主要原因：</w:t>
      </w:r>
      <w:r>
        <w:rPr>
          <w:rFonts w:hint="eastAsia" w:ascii="仿宋_GB2312" w:eastAsia="仿宋_GB2312"/>
          <w:sz w:val="28"/>
          <w:szCs w:val="28"/>
          <w:lang w:val="en-US" w:eastAsia="zh-CN"/>
        </w:rPr>
        <w:t>人员经费合理增长，新增北京市房地一体的宅基地、集体建设用地地籍调查和确权登记风险评估服务、北京市房地一体的宅基地、集体建设用地地籍调查和确权登记工作、搬家运输服务等项目支出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0000FF"/>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9015.07</w:t>
      </w:r>
      <w:r>
        <w:rPr>
          <w:rFonts w:hint="eastAsia" w:ascii="仿宋_GB2312" w:eastAsia="仿宋_GB2312"/>
          <w:sz w:val="28"/>
          <w:szCs w:val="28"/>
        </w:rPr>
        <w:t>万元，主要用于以下方面（按大类）</w:t>
      </w:r>
      <w:r>
        <w:rPr>
          <w:rFonts w:hint="eastAsia" w:ascii="仿宋_GB2312" w:eastAsia="仿宋_GB2312"/>
          <w:color w:val="auto"/>
          <w:sz w:val="28"/>
          <w:szCs w:val="28"/>
        </w:rPr>
        <w:t>：</w:t>
      </w:r>
      <w:r>
        <w:rPr>
          <w:rFonts w:hint="eastAsia" w:ascii="仿宋_GB2312" w:eastAsia="仿宋_GB2312"/>
          <w:color w:val="auto"/>
          <w:sz w:val="28"/>
          <w:szCs w:val="28"/>
          <w:lang w:eastAsia="zh-CN"/>
        </w:rPr>
        <w:t>教育支出</w:t>
      </w:r>
      <w:r>
        <w:rPr>
          <w:rFonts w:hint="eastAsia" w:ascii="仿宋_GB2312" w:eastAsia="仿宋_GB2312"/>
          <w:color w:val="auto"/>
          <w:sz w:val="28"/>
          <w:szCs w:val="28"/>
          <w:lang w:val="en-US" w:eastAsia="zh-CN"/>
        </w:rPr>
        <w:t>2.53万元，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0.03</w:t>
      </w:r>
      <w:r>
        <w:rPr>
          <w:rFonts w:hint="eastAsia" w:ascii="仿宋_GB2312" w:eastAsia="仿宋_GB2312"/>
          <w:color w:val="auto"/>
          <w:sz w:val="28"/>
          <w:szCs w:val="28"/>
        </w:rPr>
        <w:t>%</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lang w:val="en-US" w:eastAsia="zh-CN"/>
        </w:rPr>
        <w:t>771.86万元，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8.56</w:t>
      </w:r>
      <w:r>
        <w:rPr>
          <w:rFonts w:hint="eastAsia" w:ascii="仿宋_GB2312" w:eastAsia="仿宋_GB2312"/>
          <w:color w:val="auto"/>
          <w:sz w:val="28"/>
          <w:szCs w:val="28"/>
        </w:rPr>
        <w:t>%；</w:t>
      </w:r>
      <w:r>
        <w:rPr>
          <w:rFonts w:hint="eastAsia" w:ascii="仿宋_GB2312" w:eastAsia="仿宋_GB2312"/>
          <w:color w:val="auto"/>
          <w:sz w:val="28"/>
          <w:szCs w:val="28"/>
          <w:lang w:eastAsia="zh-CN"/>
        </w:rPr>
        <w:t>卫生健康支出</w:t>
      </w:r>
      <w:r>
        <w:rPr>
          <w:rFonts w:hint="eastAsia" w:ascii="仿宋_GB2312" w:eastAsia="仿宋_GB2312"/>
          <w:color w:val="auto"/>
          <w:sz w:val="28"/>
          <w:szCs w:val="28"/>
          <w:lang w:val="en-US" w:eastAsia="zh-CN"/>
        </w:rPr>
        <w:t>546.73万元，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6.06</w:t>
      </w:r>
      <w:r>
        <w:rPr>
          <w:rFonts w:hint="eastAsia" w:ascii="仿宋_GB2312" w:eastAsia="仿宋_GB2312"/>
          <w:color w:val="auto"/>
          <w:sz w:val="28"/>
          <w:szCs w:val="28"/>
        </w:rPr>
        <w:t>%</w:t>
      </w:r>
      <w:r>
        <w:rPr>
          <w:rFonts w:hint="eastAsia" w:ascii="仿宋_GB2312" w:eastAsia="仿宋_GB2312"/>
          <w:color w:val="auto"/>
          <w:sz w:val="28"/>
          <w:szCs w:val="28"/>
          <w:lang w:eastAsia="zh-CN"/>
        </w:rPr>
        <w:t>；自然资源海洋气象等支出</w:t>
      </w:r>
      <w:r>
        <w:rPr>
          <w:rFonts w:hint="eastAsia" w:ascii="仿宋_GB2312" w:eastAsia="仿宋_GB2312"/>
          <w:color w:val="auto"/>
          <w:sz w:val="28"/>
          <w:szCs w:val="28"/>
          <w:lang w:val="en-US" w:eastAsia="zh-CN"/>
        </w:rPr>
        <w:t>7693.95万元，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85.35</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w:t>
      </w:r>
      <w:r>
        <w:rPr>
          <w:rFonts w:hint="eastAsia" w:ascii="仿宋_GB2312" w:eastAsia="仿宋_GB2312"/>
          <w:color w:val="auto"/>
          <w:sz w:val="28"/>
          <w:szCs w:val="28"/>
          <w:lang w:eastAsia="zh-CN"/>
        </w:rPr>
        <w:t>“教育支出”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2.53</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1.27</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33.42</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“进修及培训”</w:t>
      </w:r>
      <w:r>
        <w:rPr>
          <w:rFonts w:hint="eastAsia" w:ascii="仿宋_GB2312" w:eastAsia="仿宋_GB2312"/>
          <w:color w:val="auto"/>
          <w:sz w:val="28"/>
          <w:szCs w:val="28"/>
        </w:rPr>
        <w:t>(款)</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2.53</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年初预算</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1.27</w:t>
      </w:r>
      <w:r>
        <w:rPr>
          <w:rFonts w:hint="eastAsia" w:ascii="仿宋_GB2312" w:eastAsia="仿宋_GB2312"/>
          <w:color w:val="auto"/>
          <w:sz w:val="28"/>
          <w:szCs w:val="28"/>
        </w:rPr>
        <w:t>万元，下降</w:t>
      </w:r>
      <w:r>
        <w:rPr>
          <w:rFonts w:hint="eastAsia" w:ascii="仿宋_GB2312" w:eastAsia="仿宋_GB2312"/>
          <w:color w:val="auto"/>
          <w:sz w:val="28"/>
          <w:szCs w:val="28"/>
          <w:lang w:val="en-US" w:eastAsia="zh-CN"/>
        </w:rPr>
        <w:t>33.42</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主要原因：落实厉行勤俭节约要求，严格控制教育培训标准，培训费支出减少。</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w:t>
      </w:r>
      <w:r>
        <w:rPr>
          <w:rFonts w:hint="eastAsia" w:ascii="仿宋_GB2312" w:eastAsia="仿宋_GB2312"/>
          <w:color w:val="auto"/>
          <w:sz w:val="28"/>
          <w:szCs w:val="28"/>
          <w:lang w:eastAsia="zh-CN"/>
        </w:rPr>
        <w:t>社会保障和就业支出</w:t>
      </w:r>
      <w:r>
        <w:rPr>
          <w:rFonts w:hint="eastAsia" w:ascii="仿宋_GB2312" w:eastAsia="仿宋_GB2312"/>
          <w:color w:val="auto"/>
          <w:sz w:val="28"/>
          <w:szCs w:val="28"/>
        </w:rPr>
        <w:t>”(类)</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771.86</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59.82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8.40</w:t>
      </w: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rPr>
        <w:t>“</w:t>
      </w:r>
      <w:r>
        <w:rPr>
          <w:rFonts w:hint="eastAsia" w:ascii="仿宋_GB2312" w:eastAsia="仿宋_GB2312"/>
          <w:color w:val="auto"/>
          <w:sz w:val="28"/>
          <w:szCs w:val="28"/>
          <w:lang w:eastAsia="zh-CN"/>
        </w:rPr>
        <w:t>行政事业单位养老支出</w:t>
      </w:r>
      <w:r>
        <w:rPr>
          <w:rFonts w:hint="eastAsia" w:ascii="仿宋_GB2312" w:eastAsia="仿宋_GB2312"/>
          <w:color w:val="auto"/>
          <w:sz w:val="28"/>
          <w:szCs w:val="28"/>
        </w:rPr>
        <w:t>”（款）</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度决算</w:t>
      </w:r>
      <w:r>
        <w:rPr>
          <w:rFonts w:hint="eastAsia" w:ascii="仿宋_GB2312" w:eastAsia="仿宋_GB2312"/>
          <w:color w:val="auto"/>
          <w:sz w:val="28"/>
          <w:szCs w:val="28"/>
          <w:lang w:val="en-US" w:eastAsia="zh-CN"/>
        </w:rPr>
        <w:t>771.86</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2023年</w:t>
      </w:r>
      <w:r>
        <w:rPr>
          <w:rFonts w:hint="eastAsia" w:ascii="仿宋_GB2312" w:eastAsia="仿宋_GB2312"/>
          <w:color w:val="auto"/>
          <w:sz w:val="28"/>
          <w:szCs w:val="28"/>
        </w:rPr>
        <w:t>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lang w:val="en-US" w:eastAsia="zh-CN"/>
        </w:rPr>
        <w:t>59.82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增长</w:t>
      </w:r>
      <w:r>
        <w:rPr>
          <w:rFonts w:hint="eastAsia" w:ascii="仿宋_GB2312" w:eastAsia="仿宋_GB2312"/>
          <w:color w:val="auto"/>
          <w:sz w:val="28"/>
          <w:szCs w:val="28"/>
          <w:lang w:val="en-US" w:eastAsia="zh-CN"/>
        </w:rPr>
        <w:t>8.40</w:t>
      </w:r>
      <w:r>
        <w:rPr>
          <w:rFonts w:hint="eastAsia" w:ascii="仿宋_GB2312" w:eastAsia="仿宋_GB2312"/>
          <w:color w:val="auto"/>
          <w:sz w:val="28"/>
          <w:szCs w:val="28"/>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人员经费合理增加以及新增新入职人员</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3、“卫生健康支出”(类)2023年度决算</w:t>
      </w:r>
      <w:r>
        <w:rPr>
          <w:rFonts w:hint="eastAsia" w:ascii="仿宋_GB2312" w:eastAsia="仿宋_GB2312"/>
          <w:color w:val="auto"/>
          <w:sz w:val="28"/>
          <w:szCs w:val="28"/>
          <w:lang w:val="en-US" w:eastAsia="zh-CN"/>
        </w:rPr>
        <w:t>546.73</w:t>
      </w:r>
      <w:r>
        <w:rPr>
          <w:rFonts w:hint="eastAsia" w:ascii="仿宋_GB2312" w:eastAsia="仿宋_GB2312"/>
          <w:color w:val="auto"/>
          <w:sz w:val="28"/>
          <w:szCs w:val="28"/>
          <w:highlight w:val="none"/>
          <w:lang w:val="en-US" w:eastAsia="zh-CN"/>
        </w:rPr>
        <w:t>万元，比2023年年初预算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highlight w:val="none"/>
          <w:lang w:val="en-US" w:eastAsia="zh-CN"/>
        </w:rPr>
        <w:t>48.85万元，</w:t>
      </w:r>
      <w:r>
        <w:rPr>
          <w:rFonts w:hint="eastAsia" w:ascii="仿宋_GB2312" w:eastAsia="仿宋_GB2312"/>
          <w:color w:val="auto"/>
          <w:sz w:val="28"/>
          <w:szCs w:val="28"/>
          <w:lang w:eastAsia="zh-CN"/>
        </w:rPr>
        <w:t>增长</w:t>
      </w:r>
      <w:r>
        <w:rPr>
          <w:rFonts w:hint="eastAsia" w:ascii="仿宋_GB2312" w:eastAsia="仿宋_GB2312"/>
          <w:color w:val="auto"/>
          <w:sz w:val="28"/>
          <w:szCs w:val="28"/>
          <w:highlight w:val="none"/>
          <w:lang w:val="en-US" w:eastAsia="zh-CN"/>
        </w:rPr>
        <w:t>9.81%。其中：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kern w:val="2"/>
          <w:sz w:val="28"/>
          <w:szCs w:val="28"/>
          <w:highlight w:val="none"/>
          <w:lang w:val="en-US" w:eastAsia="zh-CN" w:bidi="ar-SA"/>
        </w:rPr>
        <w:t>“行政事业单位医疗”</w:t>
      </w:r>
      <w:r>
        <w:rPr>
          <w:rFonts w:hint="eastAsia" w:ascii="仿宋_GB2312" w:eastAsia="仿宋_GB2312"/>
          <w:color w:val="auto"/>
          <w:sz w:val="28"/>
          <w:szCs w:val="28"/>
          <w:highlight w:val="none"/>
        </w:rPr>
        <w:t>（款）</w:t>
      </w:r>
      <w:r>
        <w:rPr>
          <w:rFonts w:hint="eastAsia" w:ascii="仿宋_GB2312" w:eastAsia="仿宋_GB2312"/>
          <w:color w:val="auto"/>
          <w:sz w:val="28"/>
          <w:szCs w:val="28"/>
          <w:highlight w:val="none"/>
          <w:lang w:eastAsia="zh-CN"/>
        </w:rPr>
        <w:t>2023年</w:t>
      </w:r>
      <w:r>
        <w:rPr>
          <w:rFonts w:hint="eastAsia" w:ascii="仿宋_GB2312" w:eastAsia="仿宋_GB2312"/>
          <w:color w:val="auto"/>
          <w:sz w:val="28"/>
          <w:szCs w:val="28"/>
          <w:highlight w:val="none"/>
        </w:rPr>
        <w:t>度决</w:t>
      </w:r>
      <w:r>
        <w:rPr>
          <w:rFonts w:hint="eastAsia" w:ascii="仿宋_GB2312" w:eastAsia="仿宋_GB2312"/>
          <w:color w:val="auto"/>
          <w:sz w:val="28"/>
          <w:szCs w:val="28"/>
          <w:highlight w:val="none"/>
          <w:lang w:val="en-US" w:eastAsia="zh-CN"/>
        </w:rPr>
        <w:t>算</w:t>
      </w:r>
      <w:r>
        <w:rPr>
          <w:rFonts w:hint="eastAsia" w:ascii="仿宋_GB2312" w:eastAsia="仿宋_GB2312"/>
          <w:color w:val="auto"/>
          <w:sz w:val="28"/>
          <w:szCs w:val="28"/>
          <w:lang w:val="en-US" w:eastAsia="zh-CN"/>
        </w:rPr>
        <w:t>546.73</w:t>
      </w:r>
      <w:r>
        <w:rPr>
          <w:rFonts w:hint="eastAsia" w:ascii="仿宋_GB2312" w:eastAsia="仿宋_GB2312"/>
          <w:color w:val="auto"/>
          <w:sz w:val="28"/>
          <w:szCs w:val="28"/>
          <w:highlight w:val="none"/>
          <w:lang w:val="en-US" w:eastAsia="zh-CN"/>
        </w:rPr>
        <w:t>万元，比2023年年初预算</w:t>
      </w:r>
      <w:r>
        <w:rPr>
          <w:rFonts w:hint="eastAsia" w:ascii="仿宋_GB2312" w:eastAsia="仿宋_GB2312"/>
          <w:color w:val="auto"/>
          <w:sz w:val="28"/>
          <w:szCs w:val="28"/>
          <w:lang w:eastAsia="zh-CN"/>
        </w:rPr>
        <w:t>增加</w:t>
      </w:r>
      <w:r>
        <w:rPr>
          <w:rFonts w:hint="eastAsia" w:ascii="仿宋_GB2312" w:eastAsia="仿宋_GB2312"/>
          <w:color w:val="auto"/>
          <w:sz w:val="28"/>
          <w:szCs w:val="28"/>
          <w:highlight w:val="none"/>
          <w:lang w:val="en-US" w:eastAsia="zh-CN"/>
        </w:rPr>
        <w:t>48.85万元，</w:t>
      </w:r>
      <w:r>
        <w:rPr>
          <w:rFonts w:hint="eastAsia" w:ascii="仿宋_GB2312" w:eastAsia="仿宋_GB2312"/>
          <w:color w:val="auto"/>
          <w:sz w:val="28"/>
          <w:szCs w:val="28"/>
          <w:lang w:eastAsia="zh-CN"/>
        </w:rPr>
        <w:t>增长</w:t>
      </w:r>
      <w:r>
        <w:rPr>
          <w:rFonts w:hint="eastAsia" w:ascii="仿宋_GB2312" w:eastAsia="仿宋_GB2312"/>
          <w:color w:val="auto"/>
          <w:sz w:val="28"/>
          <w:szCs w:val="28"/>
          <w:highlight w:val="none"/>
          <w:lang w:val="en-US" w:eastAsia="zh-CN"/>
        </w:rPr>
        <w:t>9.81%。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人员经费合理增加以及新增新入职人员</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r>
        <w:rPr>
          <w:rFonts w:hint="eastAsia" w:ascii="仿宋_GB2312" w:eastAsia="仿宋_GB2312"/>
          <w:color w:val="auto"/>
          <w:sz w:val="28"/>
          <w:szCs w:val="28"/>
          <w:highlight w:val="none"/>
          <w:lang w:eastAsia="zh-CN"/>
        </w:rPr>
        <w:t>自然资源海洋气象等支出</w:t>
      </w:r>
      <w:r>
        <w:rPr>
          <w:rFonts w:hint="eastAsia" w:ascii="仿宋_GB2312" w:hAnsi="仿宋_GB2312" w:eastAsia="仿宋_GB2312" w:cs="仿宋_GB2312"/>
          <w:color w:val="auto"/>
          <w:sz w:val="28"/>
          <w:szCs w:val="28"/>
          <w:highlight w:val="none"/>
          <w:lang w:val="en-US" w:eastAsia="zh-CN"/>
        </w:rPr>
        <w:t>”</w:t>
      </w:r>
      <w:r>
        <w:rPr>
          <w:rFonts w:hint="eastAsia" w:ascii="仿宋_GB2312" w:eastAsia="仿宋_GB2312"/>
          <w:color w:val="auto"/>
          <w:sz w:val="28"/>
          <w:szCs w:val="28"/>
          <w:highlight w:val="none"/>
          <w:lang w:val="en-US" w:eastAsia="zh-CN"/>
        </w:rPr>
        <w:t>(类)2023年度决算</w:t>
      </w:r>
      <w:r>
        <w:rPr>
          <w:rFonts w:hint="eastAsia" w:ascii="仿宋_GB2312" w:eastAsia="仿宋_GB2312"/>
          <w:color w:val="auto"/>
          <w:sz w:val="28"/>
          <w:szCs w:val="28"/>
          <w:lang w:val="en-US" w:eastAsia="zh-CN"/>
        </w:rPr>
        <w:t>7693.95</w:t>
      </w:r>
      <w:r>
        <w:rPr>
          <w:rFonts w:hint="eastAsia" w:ascii="仿宋_GB2312" w:eastAsia="仿宋_GB2312"/>
          <w:color w:val="auto"/>
          <w:sz w:val="28"/>
          <w:szCs w:val="28"/>
          <w:highlight w:val="none"/>
          <w:lang w:val="en-US" w:eastAsia="zh-CN"/>
        </w:rPr>
        <w:t>万元，比2023年年初预算增加709.87万元，增长10.16%。其中：</w:t>
      </w:r>
    </w:p>
    <w:p>
      <w:pPr>
        <w:spacing w:line="580" w:lineRule="exact"/>
        <w:ind w:firstLine="560" w:firstLineChars="200"/>
        <w:rPr>
          <w:rFonts w:ascii="仿宋_GB2312" w:eastAsia="仿宋_GB2312"/>
          <w:color w:val="auto"/>
          <w:sz w:val="28"/>
          <w:szCs w:val="28"/>
        </w:rPr>
      </w:pPr>
      <w:r>
        <w:rPr>
          <w:rFonts w:hint="eastAsia" w:ascii="仿宋_GB2312" w:eastAsia="仿宋_GB2312"/>
          <w:color w:val="auto"/>
          <w:sz w:val="28"/>
          <w:szCs w:val="28"/>
          <w:highlight w:val="none"/>
          <w:lang w:val="en-US" w:eastAsia="zh-CN"/>
        </w:rPr>
        <w:t>“自然资源事务”（款）2023年度决算</w:t>
      </w:r>
      <w:r>
        <w:rPr>
          <w:rFonts w:hint="eastAsia" w:ascii="仿宋_GB2312" w:eastAsia="仿宋_GB2312"/>
          <w:color w:val="auto"/>
          <w:sz w:val="28"/>
          <w:szCs w:val="28"/>
          <w:lang w:val="en-US" w:eastAsia="zh-CN"/>
        </w:rPr>
        <w:t>7693.95</w:t>
      </w:r>
      <w:r>
        <w:rPr>
          <w:rFonts w:hint="eastAsia" w:ascii="仿宋_GB2312" w:eastAsia="仿宋_GB2312"/>
          <w:color w:val="auto"/>
          <w:sz w:val="28"/>
          <w:szCs w:val="28"/>
          <w:highlight w:val="none"/>
          <w:lang w:val="en-US" w:eastAsia="zh-CN"/>
        </w:rPr>
        <w:t>万元，比2023年年初预算增加709.87万元，增长10.16%。主要原因：人员经费合理增长，以及追加北京市自然资源统一确权登记项目、北京市房地一体的宅基地、集体建设用地地籍调查和确权登记工作项目、设备购置等项目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225.82</w:t>
      </w:r>
      <w:r>
        <w:rPr>
          <w:rFonts w:hint="eastAsia" w:ascii="仿宋_GB2312" w:eastAsia="仿宋_GB2312"/>
          <w:sz w:val="28"/>
          <w:szCs w:val="28"/>
        </w:rPr>
        <w:t>万元，主要用于以下方面（按大类）：城乡社区支出</w:t>
      </w:r>
      <w:r>
        <w:rPr>
          <w:rFonts w:ascii="仿宋_GB2312" w:eastAsia="仿宋_GB2312"/>
          <w:sz w:val="28"/>
          <w:szCs w:val="28"/>
        </w:rPr>
        <w:t>225.82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225.82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41.01</w:t>
      </w:r>
      <w:r>
        <w:rPr>
          <w:rFonts w:hint="eastAsia" w:ascii="仿宋_GB2312" w:eastAsia="仿宋_GB2312"/>
          <w:sz w:val="28"/>
          <w:szCs w:val="28"/>
        </w:rPr>
        <w:t>万元，下降</w:t>
      </w:r>
      <w:r>
        <w:rPr>
          <w:rFonts w:hint="eastAsia" w:ascii="仿宋_GB2312" w:eastAsia="仿宋_GB2312"/>
          <w:sz w:val="28"/>
          <w:szCs w:val="28"/>
          <w:lang w:val="en-US" w:eastAsia="zh-CN"/>
        </w:rPr>
        <w:t>15.37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“国有土地使用权出让收入安排的支出”（款）</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225.82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41.01</w:t>
      </w:r>
      <w:r>
        <w:rPr>
          <w:rFonts w:hint="eastAsia" w:ascii="仿宋_GB2312" w:eastAsia="仿宋_GB2312"/>
          <w:sz w:val="28"/>
          <w:szCs w:val="28"/>
        </w:rPr>
        <w:t>万元，下降</w:t>
      </w:r>
      <w:r>
        <w:rPr>
          <w:rFonts w:hint="eastAsia" w:ascii="仿宋_GB2312" w:eastAsia="仿宋_GB2312"/>
          <w:sz w:val="28"/>
          <w:szCs w:val="28"/>
          <w:lang w:val="en-US" w:eastAsia="zh-CN"/>
        </w:rPr>
        <w:t>15.37</w:t>
      </w:r>
      <w:r>
        <w:rPr>
          <w:rFonts w:hint="eastAsia" w:ascii="仿宋_GB2312" w:eastAsia="仿宋_GB2312"/>
          <w:sz w:val="28"/>
          <w:szCs w:val="28"/>
        </w:rPr>
        <w:t>%。主要原因：</w:t>
      </w:r>
      <w:r>
        <w:rPr>
          <w:rFonts w:hint="eastAsia" w:ascii="仿宋_GB2312" w:eastAsia="仿宋_GB2312"/>
          <w:sz w:val="28"/>
          <w:szCs w:val="28"/>
          <w:lang w:eastAsia="zh-CN"/>
        </w:rPr>
        <w:t>根据实际工作开展情况及合同约定，年中及时核减顺义区耕地卫片监督及整改项目、出让地价评估、开发区土地集约利用评价项目经费</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7497.85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2</w:t>
      </w:r>
      <w:r>
        <w:rPr>
          <w:rFonts w:hint="eastAsia" w:ascii="仿宋_GB2312" w:eastAsia="仿宋_GB2312"/>
          <w:sz w:val="28"/>
          <w:szCs w:val="28"/>
        </w:rPr>
        <w:t>个行政单位、</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48.86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71.81</w:t>
      </w:r>
      <w:r>
        <w:rPr>
          <w:rFonts w:hint="eastAsia" w:ascii="仿宋_GB2312" w:eastAsia="仿宋_GB2312"/>
          <w:sz w:val="28"/>
          <w:szCs w:val="28"/>
        </w:rPr>
        <w:t>万元减少</w:t>
      </w:r>
      <w:r>
        <w:rPr>
          <w:rFonts w:ascii="仿宋_GB2312" w:eastAsia="仿宋_GB2312"/>
          <w:sz w:val="28"/>
          <w:szCs w:val="28"/>
        </w:rPr>
        <w:t>22.95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48.86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71.81</w:t>
      </w:r>
      <w:r>
        <w:rPr>
          <w:rFonts w:hint="eastAsia" w:ascii="仿宋_GB2312" w:eastAsia="仿宋_GB2312"/>
          <w:sz w:val="28"/>
          <w:szCs w:val="28"/>
        </w:rPr>
        <w:t>万元减少</w:t>
      </w:r>
      <w:r>
        <w:rPr>
          <w:rFonts w:ascii="仿宋_GB2312" w:eastAsia="仿宋_GB2312"/>
          <w:sz w:val="28"/>
          <w:szCs w:val="28"/>
        </w:rPr>
        <w:t>22.95</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17.37</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17.37</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1</w:t>
      </w:r>
      <w:r>
        <w:rPr>
          <w:rFonts w:hint="eastAsia" w:ascii="仿宋_GB2312" w:eastAsia="仿宋_GB2312"/>
          <w:sz w:val="28"/>
          <w:szCs w:val="28"/>
        </w:rPr>
        <w:t>辆，车均购置费</w:t>
      </w:r>
      <w:r>
        <w:rPr>
          <w:rFonts w:hint="eastAsia" w:ascii="仿宋_GB2312" w:eastAsia="仿宋_GB2312"/>
          <w:sz w:val="28"/>
          <w:szCs w:val="28"/>
          <w:lang w:val="en-US" w:eastAsia="zh-CN"/>
        </w:rPr>
        <w:t>17.37</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31.49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54.44</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22.95</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落实政府过紧日子要求，严控车辆加油等</w:t>
      </w:r>
      <w:r>
        <w:rPr>
          <w:rFonts w:hint="eastAsia" w:ascii="仿宋_GB2312" w:eastAsia="仿宋_GB2312"/>
          <w:sz w:val="28"/>
          <w:szCs w:val="28"/>
        </w:rPr>
        <w:t>公务用车运行维护</w:t>
      </w:r>
      <w:r>
        <w:rPr>
          <w:rFonts w:hint="eastAsia" w:ascii="仿宋_GB2312" w:eastAsia="仿宋_GB2312"/>
          <w:sz w:val="28"/>
          <w:szCs w:val="28"/>
          <w:lang w:eastAsia="zh-CN"/>
        </w:rPr>
        <w:t>费用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9.2</w:t>
      </w:r>
      <w:r>
        <w:rPr>
          <w:rFonts w:hint="eastAsia" w:ascii="仿宋_GB2312" w:eastAsia="仿宋_GB2312"/>
          <w:sz w:val="28"/>
          <w:szCs w:val="28"/>
        </w:rPr>
        <w:t>万元，公务用车维修</w:t>
      </w:r>
      <w:r>
        <w:rPr>
          <w:rFonts w:ascii="仿宋_GB2312" w:eastAsia="仿宋_GB2312"/>
          <w:sz w:val="28"/>
          <w:szCs w:val="28"/>
          <w:highlight w:val="none"/>
        </w:rPr>
        <w:t>16.93</w:t>
      </w:r>
      <w:r>
        <w:rPr>
          <w:rFonts w:hint="eastAsia" w:ascii="仿宋_GB2312" w:eastAsia="仿宋_GB2312"/>
          <w:sz w:val="28"/>
          <w:szCs w:val="28"/>
        </w:rPr>
        <w:t>万元，公务用车保险</w:t>
      </w:r>
      <w:r>
        <w:rPr>
          <w:rFonts w:ascii="仿宋_GB2312" w:eastAsia="仿宋_GB2312"/>
          <w:sz w:val="28"/>
          <w:szCs w:val="28"/>
          <w:highlight w:val="none"/>
        </w:rPr>
        <w:t>2.69</w:t>
      </w:r>
      <w:r>
        <w:rPr>
          <w:rFonts w:hint="eastAsia" w:ascii="仿宋_GB2312" w:eastAsia="仿宋_GB2312"/>
          <w:sz w:val="28"/>
          <w:szCs w:val="28"/>
        </w:rPr>
        <w:t>万元，公务用车其他支出</w:t>
      </w:r>
      <w:r>
        <w:rPr>
          <w:rFonts w:ascii="仿宋_GB2312" w:eastAsia="仿宋_GB2312"/>
          <w:sz w:val="28"/>
          <w:szCs w:val="28"/>
          <w:highlight w:val="none"/>
        </w:rPr>
        <w:t>2.67</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21</w:t>
      </w:r>
      <w:r>
        <w:rPr>
          <w:rFonts w:hint="eastAsia" w:ascii="仿宋_GB2312" w:eastAsia="仿宋_GB2312"/>
          <w:sz w:val="28"/>
          <w:szCs w:val="28"/>
        </w:rPr>
        <w:t>辆，车均运行维护费</w:t>
      </w:r>
      <w:r>
        <w:rPr>
          <w:rFonts w:hint="eastAsia" w:ascii="仿宋_GB2312" w:eastAsia="仿宋_GB2312"/>
          <w:sz w:val="28"/>
          <w:szCs w:val="28"/>
          <w:lang w:val="en-US" w:eastAsia="zh-CN"/>
        </w:rPr>
        <w:t>1.50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610.97</w:t>
      </w:r>
      <w:r>
        <w:rPr>
          <w:rFonts w:hint="eastAsia" w:ascii="仿宋_GB2312" w:eastAsia="仿宋_GB2312"/>
          <w:sz w:val="28"/>
          <w:szCs w:val="28"/>
        </w:rPr>
        <w:t>万元，比上年减少</w:t>
      </w:r>
      <w:r>
        <w:rPr>
          <w:rFonts w:hint="eastAsia" w:ascii="仿宋_GB2312" w:eastAsia="仿宋_GB2312"/>
          <w:sz w:val="28"/>
          <w:szCs w:val="28"/>
          <w:lang w:val="en-US" w:eastAsia="zh-CN"/>
        </w:rPr>
        <w:t>194.44</w:t>
      </w:r>
      <w:r>
        <w:rPr>
          <w:rFonts w:hint="eastAsia" w:ascii="仿宋_GB2312" w:eastAsia="仿宋_GB2312"/>
          <w:sz w:val="28"/>
          <w:szCs w:val="28"/>
        </w:rPr>
        <w:t>万元，减少原因：</w:t>
      </w:r>
      <w:r>
        <w:rPr>
          <w:rFonts w:hint="eastAsia" w:ascii="仿宋_GB2312" w:eastAsia="仿宋_GB2312"/>
          <w:sz w:val="28"/>
          <w:szCs w:val="28"/>
          <w:lang w:eastAsia="zh-CN"/>
        </w:rPr>
        <w:t>落实“过紧日子”要求，厉行节约严控一般性支出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1012.18</w:t>
      </w:r>
      <w:r>
        <w:rPr>
          <w:rFonts w:hint="eastAsia" w:ascii="仿宋_GB2312" w:eastAsia="仿宋_GB2312"/>
          <w:sz w:val="28"/>
          <w:szCs w:val="28"/>
        </w:rPr>
        <w:t>万元，其中：政府采购货物支出</w:t>
      </w:r>
      <w:r>
        <w:rPr>
          <w:rFonts w:ascii="仿宋_GB2312" w:eastAsia="仿宋_GB2312"/>
          <w:sz w:val="28"/>
          <w:szCs w:val="28"/>
        </w:rPr>
        <w:t>217.45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794.73</w:t>
      </w:r>
      <w:r>
        <w:rPr>
          <w:rFonts w:hint="eastAsia" w:ascii="仿宋_GB2312" w:eastAsia="仿宋_GB2312"/>
          <w:sz w:val="28"/>
          <w:szCs w:val="28"/>
        </w:rPr>
        <w:t>万元。授予中小企业合同金额</w:t>
      </w:r>
      <w:r>
        <w:rPr>
          <w:rFonts w:ascii="仿宋_GB2312" w:eastAsia="仿宋_GB2312"/>
          <w:sz w:val="28"/>
          <w:szCs w:val="28"/>
          <w:highlight w:val="none"/>
        </w:rPr>
        <w:t>556.27</w:t>
      </w:r>
      <w:r>
        <w:rPr>
          <w:rFonts w:hint="eastAsia" w:ascii="仿宋_GB2312" w:eastAsia="仿宋_GB2312"/>
          <w:sz w:val="28"/>
          <w:szCs w:val="28"/>
        </w:rPr>
        <w:t>万元，占政府采购支出总额的</w:t>
      </w:r>
      <w:r>
        <w:rPr>
          <w:rFonts w:ascii="仿宋_GB2312" w:eastAsia="仿宋_GB2312"/>
          <w:sz w:val="28"/>
          <w:szCs w:val="28"/>
          <w:highlight w:val="none"/>
        </w:rPr>
        <w:t>54.9</w:t>
      </w:r>
      <w:r>
        <w:rPr>
          <w:rFonts w:hint="eastAsia" w:ascii="仿宋_GB2312" w:eastAsia="仿宋_GB2312"/>
          <w:sz w:val="28"/>
          <w:szCs w:val="28"/>
          <w:highlight w:val="none"/>
          <w:lang w:val="en-US" w:eastAsia="zh-CN"/>
        </w:rPr>
        <w:t>6</w:t>
      </w:r>
      <w:r>
        <w:rPr>
          <w:rFonts w:hint="eastAsia" w:ascii="仿宋_GB2312" w:eastAsia="仿宋_GB2312"/>
          <w:sz w:val="28"/>
          <w:szCs w:val="28"/>
        </w:rPr>
        <w:t>%，其中：授予小微企业合同金额</w:t>
      </w:r>
      <w:r>
        <w:rPr>
          <w:rFonts w:ascii="仿宋_GB2312" w:eastAsia="仿宋_GB2312"/>
          <w:sz w:val="28"/>
          <w:szCs w:val="28"/>
          <w:highlight w:val="none"/>
        </w:rPr>
        <w:t>447.06</w:t>
      </w:r>
      <w:r>
        <w:rPr>
          <w:rFonts w:hint="eastAsia" w:ascii="仿宋_GB2312" w:eastAsia="仿宋_GB2312"/>
          <w:sz w:val="28"/>
          <w:szCs w:val="28"/>
        </w:rPr>
        <w:t>万元，占政府采购支出总额的</w:t>
      </w:r>
      <w:r>
        <w:rPr>
          <w:rFonts w:ascii="仿宋_GB2312" w:eastAsia="仿宋_GB2312"/>
          <w:sz w:val="28"/>
          <w:szCs w:val="28"/>
          <w:highlight w:val="none"/>
        </w:rPr>
        <w:t>44.1</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2023年度新购置车辆1台，共计17.37万元；新购置单位价值100万元（含）以上的设备0台（套），共计0万元。截至12月31日，本单位共有车辆21台，共计417.49万元；单位价值100万元（含）以上的设备0台（套），共计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1482.43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7.</w:t>
      </w:r>
      <w:r>
        <w:rPr>
          <w:rFonts w:hint="eastAsia" w:ascii="仿宋_GB2312" w:hAnsi="Times New Roman" w:eastAsia="仿宋_GB2312" w:cs="Times New Roman"/>
          <w:color w:val="auto"/>
          <w:sz w:val="28"/>
          <w:szCs w:val="28"/>
          <w:lang w:eastAsia="zh-CN"/>
        </w:rPr>
        <w:t>教育支出</w:t>
      </w:r>
      <w:r>
        <w:rPr>
          <w:rFonts w:hint="eastAsia" w:ascii="仿宋_GB2312" w:hAnsi="Times New Roman" w:eastAsia="仿宋_GB2312" w:cs="Times New Roman"/>
          <w:color w:val="auto"/>
          <w:sz w:val="28"/>
          <w:szCs w:val="28"/>
        </w:rPr>
        <w:t>（类）</w:t>
      </w:r>
      <w:r>
        <w:rPr>
          <w:rFonts w:hint="eastAsia" w:ascii="仿宋_GB2312" w:hAnsi="Times New Roman" w:eastAsia="仿宋_GB2312" w:cs="Times New Roman"/>
          <w:color w:val="auto"/>
          <w:sz w:val="28"/>
          <w:szCs w:val="28"/>
          <w:lang w:eastAsia="zh-CN"/>
        </w:rPr>
        <w:t>进修及培训</w:t>
      </w:r>
      <w:r>
        <w:rPr>
          <w:rFonts w:hint="eastAsia" w:ascii="仿宋_GB2312" w:hAnsi="Times New Roman" w:eastAsia="仿宋_GB2312" w:cs="Times New Roman"/>
          <w:color w:val="auto"/>
          <w:sz w:val="28"/>
          <w:szCs w:val="28"/>
        </w:rPr>
        <w:t>（款）培训支出（项）：反映</w:t>
      </w:r>
      <w:r>
        <w:rPr>
          <w:rFonts w:hint="eastAsia" w:ascii="仿宋_GB2312" w:hAnsi="Times New Roman" w:eastAsia="仿宋_GB2312" w:cs="Times New Roman"/>
          <w:color w:val="auto"/>
          <w:sz w:val="28"/>
          <w:szCs w:val="28"/>
          <w:lang w:eastAsia="zh-CN"/>
        </w:rPr>
        <w:t>本单位用于培训的支出。</w:t>
      </w:r>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8.</w:t>
      </w: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（款）行政单位离退休（项）：反映</w:t>
      </w:r>
      <w:r>
        <w:rPr>
          <w:rFonts w:hint="eastAsia" w:ascii="仿宋_GB2312" w:hAnsi="Times New Roman" w:eastAsia="仿宋_GB2312" w:cs="Times New Roman"/>
          <w:color w:val="auto"/>
          <w:sz w:val="28"/>
          <w:szCs w:val="28"/>
          <w:lang w:eastAsia="zh-CN"/>
        </w:rPr>
        <w:t>行政单位（包括实行公务员管理的事业单位）开支的离退休经费</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9.</w:t>
      </w: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（款）事业单位离退休（项）：反映</w:t>
      </w:r>
      <w:r>
        <w:rPr>
          <w:rFonts w:hint="eastAsia" w:ascii="仿宋_GB2312" w:hAnsi="Times New Roman" w:eastAsia="仿宋_GB2312" w:cs="Times New Roman"/>
          <w:color w:val="auto"/>
          <w:sz w:val="28"/>
          <w:szCs w:val="28"/>
          <w:lang w:eastAsia="zh-CN"/>
        </w:rPr>
        <w:t>事业单位开支的离退休经费</w:t>
      </w:r>
      <w:r>
        <w:rPr>
          <w:rFonts w:hint="eastAsia" w:ascii="仿宋_GB2312" w:hAnsi="Times New Roman" w:eastAsia="仿宋_GB2312" w:cs="Times New Roman"/>
          <w:color w:val="auto"/>
          <w:sz w:val="28"/>
          <w:szCs w:val="28"/>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10</w:t>
      </w: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（款）机关事业单位基本养老保险缴费支出（项）：反映</w:t>
      </w:r>
      <w:r>
        <w:rPr>
          <w:rFonts w:hint="eastAsia" w:ascii="仿宋_GB2312" w:hAnsi="Times New Roman" w:eastAsia="仿宋_GB2312" w:cs="Times New Roman"/>
          <w:color w:val="auto"/>
          <w:sz w:val="28"/>
          <w:szCs w:val="28"/>
          <w:lang w:eastAsia="zh-CN"/>
        </w:rPr>
        <w:t>机关事业单位实施养老保险制度由单位缴纳的基本养老保险费支出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11.</w:t>
      </w:r>
      <w:r>
        <w:rPr>
          <w:rFonts w:hint="eastAsia" w:ascii="仿宋_GB2312" w:hAnsi="Times New Roman" w:eastAsia="仿宋_GB2312" w:cs="Times New Roman"/>
          <w:color w:val="auto"/>
          <w:sz w:val="28"/>
          <w:szCs w:val="28"/>
        </w:rPr>
        <w:t>社会保障和就业支出（类）</w:t>
      </w:r>
      <w:r>
        <w:rPr>
          <w:rFonts w:hint="eastAsia" w:ascii="仿宋_GB2312" w:hAnsi="Times New Roman" w:eastAsia="仿宋_GB2312" w:cs="Times New Roman"/>
          <w:color w:val="auto"/>
          <w:sz w:val="28"/>
          <w:szCs w:val="28"/>
          <w:lang w:eastAsia="zh-CN"/>
        </w:rPr>
        <w:t>行政事业单位养老支出</w:t>
      </w:r>
      <w:r>
        <w:rPr>
          <w:rFonts w:hint="eastAsia" w:ascii="仿宋_GB2312" w:hAnsi="Times New Roman" w:eastAsia="仿宋_GB2312" w:cs="Times New Roman"/>
          <w:color w:val="auto"/>
          <w:sz w:val="28"/>
          <w:szCs w:val="28"/>
        </w:rPr>
        <w:t>（款）机关事业单位职业年金缴费支出（项）：反映</w:t>
      </w:r>
      <w:r>
        <w:rPr>
          <w:rFonts w:hint="eastAsia" w:ascii="仿宋_GB2312" w:hAnsi="Times New Roman" w:eastAsia="仿宋_GB2312" w:cs="Times New Roman"/>
          <w:color w:val="auto"/>
          <w:sz w:val="28"/>
          <w:szCs w:val="28"/>
          <w:lang w:eastAsia="zh-CN"/>
        </w:rPr>
        <w:t>机关事业单位实施养老保险制度由单位缴纳的职业年金支出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12.</w:t>
      </w:r>
      <w:r>
        <w:rPr>
          <w:rFonts w:hint="eastAsia" w:ascii="仿宋_GB2312" w:hAnsi="Times New Roman" w:eastAsia="仿宋_GB2312" w:cs="Times New Roman"/>
          <w:color w:val="auto"/>
          <w:sz w:val="28"/>
          <w:szCs w:val="28"/>
        </w:rPr>
        <w:t>卫生健康支出（类）</w:t>
      </w:r>
      <w:r>
        <w:rPr>
          <w:rFonts w:hint="eastAsia" w:ascii="仿宋_GB2312" w:hAnsi="Times New Roman" w:eastAsia="仿宋_GB2312" w:cs="Times New Roman"/>
          <w:color w:val="auto"/>
          <w:sz w:val="28"/>
          <w:szCs w:val="28"/>
          <w:lang w:eastAsia="zh-CN"/>
        </w:rPr>
        <w:t>行政事业单位医疗</w:t>
      </w:r>
      <w:r>
        <w:rPr>
          <w:rFonts w:hint="eastAsia" w:ascii="仿宋_GB2312" w:hAnsi="Times New Roman" w:eastAsia="仿宋_GB2312" w:cs="Times New Roman"/>
          <w:color w:val="auto"/>
          <w:sz w:val="28"/>
          <w:szCs w:val="28"/>
        </w:rPr>
        <w:t>（款）行政单位医疗（项）：反映反映财政部门安排的行政单位（包括实行公务员管理的事业单位）基本医疗保险缴费经费。</w:t>
      </w:r>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13</w:t>
      </w:r>
      <w:r>
        <w:rPr>
          <w:rFonts w:hint="eastAsia" w:ascii="仿宋_GB2312" w:hAnsi="Times New Roman" w:eastAsia="仿宋_GB2312" w:cs="Times New Roman"/>
          <w:color w:val="auto"/>
          <w:sz w:val="28"/>
          <w:szCs w:val="28"/>
        </w:rPr>
        <w:t>卫生健康支出（类）</w:t>
      </w:r>
      <w:r>
        <w:rPr>
          <w:rFonts w:hint="eastAsia" w:ascii="仿宋_GB2312" w:hAnsi="Times New Roman" w:eastAsia="仿宋_GB2312" w:cs="Times New Roman"/>
          <w:color w:val="auto"/>
          <w:sz w:val="28"/>
          <w:szCs w:val="28"/>
          <w:lang w:eastAsia="zh-CN"/>
        </w:rPr>
        <w:t>行政事业单位医疗</w:t>
      </w:r>
      <w:r>
        <w:rPr>
          <w:rFonts w:hint="eastAsia" w:ascii="仿宋_GB2312" w:hAnsi="Times New Roman" w:eastAsia="仿宋_GB2312" w:cs="Times New Roman"/>
          <w:color w:val="auto"/>
          <w:sz w:val="28"/>
          <w:szCs w:val="28"/>
        </w:rPr>
        <w:t>（款）事业单位医疗（项）：反映财政部门安排的</w:t>
      </w:r>
      <w:r>
        <w:rPr>
          <w:rFonts w:hint="eastAsia" w:ascii="仿宋_GB2312" w:hAnsi="Times New Roman" w:eastAsia="仿宋_GB2312" w:cs="Times New Roman"/>
          <w:color w:val="auto"/>
          <w:sz w:val="28"/>
          <w:szCs w:val="28"/>
          <w:lang w:eastAsia="zh-CN"/>
        </w:rPr>
        <w:t>事业</w:t>
      </w:r>
      <w:r>
        <w:rPr>
          <w:rFonts w:hint="eastAsia" w:ascii="仿宋_GB2312" w:hAnsi="Times New Roman" w:eastAsia="仿宋_GB2312" w:cs="Times New Roman"/>
          <w:color w:val="auto"/>
          <w:sz w:val="28"/>
          <w:szCs w:val="28"/>
        </w:rPr>
        <w:t>单位基本医疗保险缴费经费。</w:t>
      </w:r>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14.</w:t>
      </w:r>
      <w:r>
        <w:rPr>
          <w:rFonts w:hint="eastAsia" w:ascii="仿宋_GB2312" w:hAnsi="Times New Roman" w:eastAsia="仿宋_GB2312" w:cs="Times New Roman"/>
          <w:color w:val="auto"/>
          <w:sz w:val="28"/>
          <w:szCs w:val="28"/>
        </w:rPr>
        <w:t>城乡社区支出（类）</w:t>
      </w:r>
      <w:r>
        <w:rPr>
          <w:rFonts w:hint="eastAsia" w:ascii="仿宋_GB2312" w:hAnsi="Times New Roman" w:eastAsia="仿宋_GB2312" w:cs="Times New Roman"/>
          <w:color w:val="auto"/>
          <w:sz w:val="28"/>
          <w:szCs w:val="28"/>
          <w:lang w:eastAsia="zh-CN"/>
        </w:rPr>
        <w:t>城乡社区管理事务</w:t>
      </w:r>
      <w:r>
        <w:rPr>
          <w:rFonts w:hint="eastAsia" w:ascii="仿宋_GB2312" w:hAnsi="Times New Roman" w:eastAsia="仿宋_GB2312" w:cs="Times New Roman"/>
          <w:color w:val="auto"/>
          <w:sz w:val="28"/>
          <w:szCs w:val="28"/>
        </w:rPr>
        <w:t>（款）其他城乡社区管理事务支出（</w:t>
      </w:r>
      <w:r>
        <w:rPr>
          <w:rFonts w:hint="eastAsia" w:ascii="仿宋_GB2312" w:hAnsi="Times New Roman" w:eastAsia="仿宋_GB2312" w:cs="Times New Roman"/>
          <w:color w:val="auto"/>
          <w:sz w:val="28"/>
          <w:szCs w:val="28"/>
          <w:lang w:eastAsia="zh-CN"/>
        </w:rPr>
        <w:t>项）：反映其他用于城乡社区管理事务方面的支出。</w:t>
      </w:r>
    </w:p>
    <w:p>
      <w:pPr>
        <w:keepNext w:val="0"/>
        <w:keepLines w:val="0"/>
        <w:pageBreakBefore w:val="0"/>
        <w:widowControl w:val="0"/>
        <w:numPr>
          <w:ilvl w:val="0"/>
          <w:numId w:val="0"/>
        </w:numPr>
        <w:kinsoku/>
        <w:wordWrap/>
        <w:overflowPunct/>
        <w:topLinePunct w:val="0"/>
        <w:autoSpaceDE/>
        <w:autoSpaceDN/>
        <w:bidi w:val="0"/>
        <w:adjustRightInd/>
        <w:snapToGrid/>
        <w:ind w:left="10" w:leftChars="0"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15.</w:t>
      </w:r>
      <w:r>
        <w:rPr>
          <w:rFonts w:hint="eastAsia" w:ascii="仿宋_GB2312" w:hAnsi="Times New Roman" w:eastAsia="仿宋_GB2312" w:cs="Times New Roman"/>
          <w:color w:val="auto"/>
          <w:sz w:val="28"/>
          <w:szCs w:val="28"/>
          <w:lang w:eastAsia="zh-CN"/>
        </w:rPr>
        <w:t>城乡社区支出（类）城乡社区规划与管理（款）城乡社区规划与管理（项）：反映城乡社区、防灾减灾、历史名城规划制定与管理等方面的支出。</w:t>
      </w:r>
    </w:p>
    <w:p>
      <w:pPr>
        <w:keepNext w:val="0"/>
        <w:keepLines w:val="0"/>
        <w:pageBreakBefore w:val="0"/>
        <w:widowControl w:val="0"/>
        <w:numPr>
          <w:ilvl w:val="0"/>
          <w:numId w:val="0"/>
        </w:numPr>
        <w:kinsoku/>
        <w:wordWrap/>
        <w:overflowPunct/>
        <w:topLinePunct w:val="0"/>
        <w:autoSpaceDE/>
        <w:autoSpaceDN/>
        <w:bidi w:val="0"/>
        <w:adjustRightInd/>
        <w:snapToGrid/>
        <w:ind w:left="11" w:leftChars="0"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16.</w:t>
      </w:r>
      <w:r>
        <w:rPr>
          <w:rFonts w:hint="eastAsia" w:ascii="仿宋_GB2312" w:hAnsi="Times New Roman" w:eastAsia="仿宋_GB2312" w:cs="Times New Roman"/>
          <w:color w:val="auto"/>
          <w:sz w:val="28"/>
          <w:szCs w:val="28"/>
          <w:lang w:eastAsia="zh-CN"/>
        </w:rPr>
        <w:t>城乡社区支出（类）城乡社区公共设施（款）其他城乡社区公共设施支出（项）：反映城乡社区公共设施方面的支出。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17.</w:t>
      </w:r>
      <w:r>
        <w:rPr>
          <w:rFonts w:hint="eastAsia" w:ascii="仿宋_GB2312" w:hAnsi="Times New Roman" w:eastAsia="仿宋_GB2312" w:cs="Times New Roman"/>
          <w:color w:val="auto"/>
          <w:sz w:val="28"/>
          <w:szCs w:val="28"/>
          <w:lang w:eastAsia="zh-CN"/>
        </w:rPr>
        <w:t>城乡社区支出（类）国有土地使用权出让收入安排的支出（款）土地出让业务支出（项）：反映土地出让收入用于土地出让业务费用的开支。</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18.</w:t>
      </w:r>
      <w:r>
        <w:rPr>
          <w:rFonts w:hint="eastAsia" w:ascii="仿宋_GB2312" w:hAnsi="Times New Roman" w:eastAsia="仿宋_GB2312" w:cs="Times New Roman"/>
          <w:color w:val="auto"/>
          <w:sz w:val="28"/>
          <w:szCs w:val="28"/>
        </w:rPr>
        <w:t>城乡社区支出（类）</w:t>
      </w:r>
      <w:r>
        <w:rPr>
          <w:rFonts w:hint="eastAsia" w:ascii="仿宋_GB2312" w:hAnsi="Times New Roman" w:eastAsia="仿宋_GB2312" w:cs="Times New Roman"/>
          <w:color w:val="auto"/>
          <w:sz w:val="28"/>
          <w:szCs w:val="28"/>
          <w:lang w:eastAsia="zh-CN"/>
        </w:rPr>
        <w:t>国有土地使用权出让收入安排的支出</w:t>
      </w:r>
      <w:r>
        <w:rPr>
          <w:rFonts w:hint="eastAsia" w:ascii="仿宋_GB2312" w:hAnsi="Times New Roman" w:eastAsia="仿宋_GB2312" w:cs="Times New Roman"/>
          <w:color w:val="auto"/>
          <w:sz w:val="28"/>
          <w:szCs w:val="28"/>
        </w:rPr>
        <w:t>（款）农业农村生态环境支出（项）：反映</w:t>
      </w:r>
      <w:r>
        <w:rPr>
          <w:rFonts w:hint="eastAsia" w:ascii="仿宋_GB2312" w:hAnsi="Times New Roman" w:eastAsia="仿宋_GB2312" w:cs="Times New Roman"/>
          <w:color w:val="auto"/>
          <w:sz w:val="28"/>
          <w:szCs w:val="28"/>
          <w:lang w:eastAsia="zh-CN"/>
        </w:rPr>
        <w:t>土地出让收入用于农村人居环境整治、与农业农村直接相关的山水林田湖草生态保护修复等方面的支出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19.</w:t>
      </w:r>
      <w:r>
        <w:rPr>
          <w:rFonts w:hint="eastAsia" w:ascii="仿宋_GB2312" w:hAnsi="Times New Roman" w:eastAsia="仿宋_GB2312" w:cs="Times New Roman"/>
          <w:color w:val="auto"/>
          <w:sz w:val="28"/>
          <w:szCs w:val="28"/>
        </w:rPr>
        <w:t>城乡社区支出（类）</w:t>
      </w:r>
      <w:r>
        <w:rPr>
          <w:rFonts w:hint="eastAsia" w:ascii="仿宋_GB2312" w:hAnsi="Times New Roman" w:eastAsia="仿宋_GB2312" w:cs="Times New Roman"/>
          <w:color w:val="auto"/>
          <w:sz w:val="28"/>
          <w:szCs w:val="28"/>
          <w:lang w:eastAsia="zh-CN"/>
        </w:rPr>
        <w:t>其他城乡社区支出</w:t>
      </w:r>
      <w:r>
        <w:rPr>
          <w:rFonts w:hint="eastAsia" w:ascii="仿宋_GB2312" w:hAnsi="Times New Roman" w:eastAsia="仿宋_GB2312" w:cs="Times New Roman"/>
          <w:color w:val="auto"/>
          <w:sz w:val="28"/>
          <w:szCs w:val="28"/>
        </w:rPr>
        <w:t>（款）其他城乡社区支出（项）：</w:t>
      </w:r>
      <w:r>
        <w:rPr>
          <w:rFonts w:hint="eastAsia" w:ascii="仿宋_GB2312" w:hAnsi="Times New Roman" w:eastAsia="仿宋_GB2312" w:cs="Times New Roman"/>
          <w:color w:val="auto"/>
          <w:sz w:val="28"/>
          <w:szCs w:val="28"/>
          <w:lang w:eastAsia="zh-CN"/>
        </w:rPr>
        <w:t>反映其他用于城乡社区方面的支出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20.</w:t>
      </w:r>
      <w:r>
        <w:rPr>
          <w:rFonts w:hint="eastAsia" w:ascii="仿宋_GB2312" w:hAnsi="Times New Roman" w:eastAsia="仿宋_GB2312" w:cs="Times New Roman"/>
          <w:color w:val="auto"/>
          <w:sz w:val="28"/>
          <w:szCs w:val="28"/>
        </w:rPr>
        <w:t>自然资源海洋气象等支出（类）</w:t>
      </w:r>
      <w:r>
        <w:rPr>
          <w:rFonts w:hint="eastAsia" w:ascii="仿宋_GB2312" w:hAnsi="Times New Roman" w:eastAsia="仿宋_GB2312" w:cs="Times New Roman"/>
          <w:color w:val="auto"/>
          <w:sz w:val="28"/>
          <w:szCs w:val="28"/>
          <w:lang w:eastAsia="zh-CN"/>
        </w:rPr>
        <w:t>自然资源事务</w:t>
      </w:r>
      <w:r>
        <w:rPr>
          <w:rFonts w:hint="eastAsia" w:ascii="仿宋_GB2312" w:hAnsi="Times New Roman" w:eastAsia="仿宋_GB2312" w:cs="Times New Roman"/>
          <w:color w:val="auto"/>
          <w:sz w:val="28"/>
          <w:szCs w:val="28"/>
        </w:rPr>
        <w:t>（款）行政运行</w:t>
      </w:r>
      <w:r>
        <w:rPr>
          <w:rFonts w:hint="eastAsia" w:ascii="仿宋_GB2312" w:hAnsi="Times New Roman" w:eastAsia="仿宋_GB2312" w:cs="Times New Roman"/>
          <w:color w:val="auto"/>
          <w:sz w:val="28"/>
          <w:szCs w:val="28"/>
          <w:lang w:eastAsia="zh-CN"/>
        </w:rPr>
        <w:t>（项）：反映行政单位（包括实行公务员管理的事业单位）的基本支出。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21.</w:t>
      </w:r>
      <w:r>
        <w:rPr>
          <w:rFonts w:hint="eastAsia" w:ascii="仿宋_GB2312" w:hAnsi="Times New Roman" w:eastAsia="仿宋_GB2312" w:cs="Times New Roman"/>
          <w:color w:val="auto"/>
          <w:sz w:val="28"/>
          <w:szCs w:val="28"/>
          <w:lang w:eastAsia="zh-CN"/>
        </w:rPr>
        <w:t>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22.</w:t>
      </w:r>
      <w:r>
        <w:rPr>
          <w:rFonts w:hint="eastAsia" w:ascii="仿宋_GB2312" w:hAnsi="Times New Roman" w:eastAsia="仿宋_GB2312" w:cs="Times New Roman"/>
          <w:color w:val="auto"/>
          <w:sz w:val="28"/>
          <w:szCs w:val="28"/>
          <w:lang w:eastAsia="zh-CN"/>
        </w:rPr>
        <w:t>自然资源海洋气象等支出（类）自然资源事务（款）自然资源规划及管理（项）：反映用于国土空间规划、国土空间开发适宜性评价等方面单支出。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lang w:eastAsia="zh-CN"/>
        </w:rPr>
      </w:pPr>
      <w:r>
        <w:rPr>
          <w:rFonts w:hint="eastAsia" w:ascii="仿宋_GB2312" w:eastAsia="仿宋_GB2312" w:cs="Times New Roman"/>
          <w:color w:val="auto"/>
          <w:sz w:val="28"/>
          <w:szCs w:val="28"/>
          <w:lang w:val="en-US" w:eastAsia="zh-CN"/>
        </w:rPr>
        <w:t>23.</w:t>
      </w:r>
      <w:r>
        <w:rPr>
          <w:rFonts w:hint="eastAsia" w:ascii="仿宋_GB2312" w:hAnsi="Times New Roman" w:eastAsia="仿宋_GB2312" w:cs="Times New Roman"/>
          <w:color w:val="auto"/>
          <w:sz w:val="28"/>
          <w:szCs w:val="28"/>
          <w:lang w:eastAsia="zh-CN"/>
        </w:rPr>
        <w:t>自然资源海洋气象等支出（类）自然资源事务（款）自然资源利用与保护（项）：反映用于自然资源有偿使用与合理开发利用，国土空间生态修复，国土整治、耕地保护等方面的支出。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24.</w:t>
      </w:r>
      <w:r>
        <w:rPr>
          <w:rFonts w:hint="eastAsia" w:ascii="仿宋_GB2312" w:hAnsi="Times New Roman" w:eastAsia="仿宋_GB2312" w:cs="Times New Roman"/>
          <w:color w:val="auto"/>
          <w:sz w:val="28"/>
          <w:szCs w:val="28"/>
        </w:rPr>
        <w:t>自然资源海洋气象等支出（类）</w:t>
      </w:r>
      <w:r>
        <w:rPr>
          <w:rFonts w:hint="eastAsia" w:ascii="仿宋_GB2312" w:hAnsi="Times New Roman" w:eastAsia="仿宋_GB2312" w:cs="Times New Roman"/>
          <w:color w:val="auto"/>
          <w:sz w:val="28"/>
          <w:szCs w:val="28"/>
          <w:lang w:eastAsia="zh-CN"/>
        </w:rPr>
        <w:t>自然资源事务</w:t>
      </w:r>
      <w:r>
        <w:rPr>
          <w:rFonts w:hint="eastAsia" w:ascii="仿宋_GB2312" w:hAnsi="Times New Roman" w:eastAsia="仿宋_GB2312" w:cs="Times New Roman"/>
          <w:color w:val="auto"/>
          <w:sz w:val="28"/>
          <w:szCs w:val="28"/>
        </w:rPr>
        <w:t>（款）事业运行（项）：反映</w:t>
      </w:r>
      <w:r>
        <w:rPr>
          <w:rFonts w:hint="eastAsia" w:ascii="仿宋_GB2312" w:hAnsi="Times New Roman" w:eastAsia="仿宋_GB2312" w:cs="Times New Roman"/>
          <w:color w:val="auto"/>
          <w:sz w:val="28"/>
          <w:szCs w:val="28"/>
          <w:lang w:eastAsia="zh-CN"/>
        </w:rPr>
        <w:t>事业单位的基本支出，不包括行政单位（包括实行公务员管理的事业单位）后勤服务中心、医务室等附属事业单位</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color w:val="auto"/>
          <w:sz w:val="28"/>
          <w:szCs w:val="28"/>
        </w:rPr>
      </w:pPr>
      <w:r>
        <w:rPr>
          <w:rFonts w:hint="eastAsia" w:ascii="仿宋_GB2312" w:eastAsia="仿宋_GB2312" w:cs="Times New Roman"/>
          <w:color w:val="auto"/>
          <w:sz w:val="28"/>
          <w:szCs w:val="28"/>
          <w:lang w:val="en-US" w:eastAsia="zh-CN"/>
        </w:rPr>
        <w:t>25.</w:t>
      </w:r>
      <w:r>
        <w:rPr>
          <w:rFonts w:hint="eastAsia" w:ascii="仿宋_GB2312" w:hAnsi="Times New Roman" w:eastAsia="仿宋_GB2312" w:cs="Times New Roman"/>
          <w:color w:val="auto"/>
          <w:sz w:val="28"/>
          <w:szCs w:val="28"/>
        </w:rPr>
        <w:t>自然资源海洋气象等支出（类）</w:t>
      </w:r>
      <w:r>
        <w:rPr>
          <w:rFonts w:hint="eastAsia" w:ascii="仿宋_GB2312" w:hAnsi="Times New Roman" w:eastAsia="仿宋_GB2312" w:cs="Times New Roman"/>
          <w:color w:val="auto"/>
          <w:sz w:val="28"/>
          <w:szCs w:val="28"/>
          <w:lang w:eastAsia="zh-CN"/>
        </w:rPr>
        <w:t>自然资源事务</w:t>
      </w:r>
      <w:r>
        <w:rPr>
          <w:rFonts w:hint="eastAsia" w:ascii="仿宋_GB2312" w:hAnsi="Times New Roman" w:eastAsia="仿宋_GB2312" w:cs="Times New Roman"/>
          <w:color w:val="auto"/>
          <w:sz w:val="28"/>
          <w:szCs w:val="28"/>
        </w:rPr>
        <w:t>（款）其他自然资源事务支出（项）：反映</w:t>
      </w:r>
      <w:r>
        <w:rPr>
          <w:rFonts w:hint="eastAsia" w:ascii="仿宋_GB2312" w:hAnsi="Times New Roman" w:eastAsia="仿宋_GB2312" w:cs="Times New Roman"/>
          <w:color w:val="auto"/>
          <w:sz w:val="28"/>
          <w:szCs w:val="28"/>
          <w:lang w:eastAsia="zh-CN"/>
        </w:rPr>
        <w:t>其他用于自然资源事务方面的支出</w:t>
      </w:r>
      <w:r>
        <w:rPr>
          <w:rFonts w:hint="eastAsia" w:ascii="仿宋_GB2312" w:hAnsi="Times New Roman" w:eastAsia="仿宋_GB2312" w:cs="Times New Roman"/>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b/>
          <w:color w:val="000000"/>
          <w:spacing w:val="-2"/>
          <w:sz w:val="32"/>
          <w:szCs w:val="32"/>
        </w:rPr>
      </w:pPr>
      <w:r>
        <w:rPr>
          <w:rFonts w:hint="eastAsia" w:ascii="仿宋_GB2312" w:eastAsia="仿宋_GB2312" w:cs="Times New Roman"/>
          <w:color w:val="auto"/>
          <w:sz w:val="28"/>
          <w:szCs w:val="28"/>
          <w:lang w:val="en-US" w:eastAsia="zh-CN"/>
        </w:rPr>
        <w:t>26.</w:t>
      </w:r>
      <w:r>
        <w:rPr>
          <w:rFonts w:hint="eastAsia" w:ascii="仿宋_GB2312" w:hAnsi="Times New Roman" w:eastAsia="仿宋_GB2312" w:cs="Times New Roman"/>
          <w:color w:val="auto"/>
          <w:sz w:val="28"/>
          <w:szCs w:val="28"/>
          <w:lang w:eastAsia="zh-CN"/>
        </w:rPr>
        <w:t>灾害防治及应急管理支出（类）应急管理事务（款）其他应急管理支出（项）：</w:t>
      </w:r>
      <w:r>
        <w:rPr>
          <w:rFonts w:hint="eastAsia" w:ascii="仿宋_GB2312" w:hAnsi="Times New Roman" w:eastAsia="仿宋_GB2312" w:cs="Times New Roman"/>
          <w:color w:val="auto"/>
          <w:sz w:val="28"/>
          <w:szCs w:val="28"/>
        </w:rPr>
        <w:t>反映</w:t>
      </w:r>
      <w:r>
        <w:rPr>
          <w:rFonts w:hint="eastAsia" w:ascii="仿宋_GB2312" w:hAnsi="Times New Roman" w:eastAsia="仿宋_GB2312" w:cs="Times New Roman"/>
          <w:color w:val="auto"/>
          <w:sz w:val="28"/>
          <w:szCs w:val="28"/>
          <w:lang w:eastAsia="zh-CN"/>
        </w:rPr>
        <w:t>其他应急管理方面的支出。</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ascii="黑体" w:eastAsia="黑体"/>
          <w:sz w:val="32"/>
          <w:szCs w:val="32"/>
        </w:rPr>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p>
    <w:p>
      <w:pPr>
        <w:pStyle w:val="2"/>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rPr>
          <w:rFonts w:hint="eastAsia"/>
        </w:rPr>
      </w:pPr>
    </w:p>
    <w:sectPr>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18FDF"/>
    <w:multiLevelType w:val="singleLevel"/>
    <w:tmpl w:val="28B18FD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4CB0202"/>
    <w:rsid w:val="079004AC"/>
    <w:rsid w:val="097B59E6"/>
    <w:rsid w:val="0BC87D9A"/>
    <w:rsid w:val="0D6841AF"/>
    <w:rsid w:val="0D8B5F12"/>
    <w:rsid w:val="0DAA634C"/>
    <w:rsid w:val="0F587FFD"/>
    <w:rsid w:val="0F8E2C57"/>
    <w:rsid w:val="1059665E"/>
    <w:rsid w:val="10AC13BA"/>
    <w:rsid w:val="12EB4AD8"/>
    <w:rsid w:val="14234C05"/>
    <w:rsid w:val="17E27B9B"/>
    <w:rsid w:val="1AEC0734"/>
    <w:rsid w:val="1D28266B"/>
    <w:rsid w:val="1D446636"/>
    <w:rsid w:val="1DEF20B0"/>
    <w:rsid w:val="1DFA31B5"/>
    <w:rsid w:val="214243FA"/>
    <w:rsid w:val="221B5BD2"/>
    <w:rsid w:val="257A14F5"/>
    <w:rsid w:val="27196C26"/>
    <w:rsid w:val="2755135F"/>
    <w:rsid w:val="292E60F4"/>
    <w:rsid w:val="29EF086F"/>
    <w:rsid w:val="2B373D82"/>
    <w:rsid w:val="2B3837E2"/>
    <w:rsid w:val="2EFFE297"/>
    <w:rsid w:val="2FAF4B71"/>
    <w:rsid w:val="2FFD5C25"/>
    <w:rsid w:val="301437CA"/>
    <w:rsid w:val="30BA417F"/>
    <w:rsid w:val="31EA65F0"/>
    <w:rsid w:val="327618EB"/>
    <w:rsid w:val="33753937"/>
    <w:rsid w:val="33C45B1E"/>
    <w:rsid w:val="35CF17D6"/>
    <w:rsid w:val="3853002A"/>
    <w:rsid w:val="394D03FF"/>
    <w:rsid w:val="39C35BE7"/>
    <w:rsid w:val="3BD1114A"/>
    <w:rsid w:val="433E495C"/>
    <w:rsid w:val="448C0913"/>
    <w:rsid w:val="47930997"/>
    <w:rsid w:val="491F77AB"/>
    <w:rsid w:val="4AC27CB3"/>
    <w:rsid w:val="4BF72BEF"/>
    <w:rsid w:val="4E656157"/>
    <w:rsid w:val="4F660184"/>
    <w:rsid w:val="51DB3C59"/>
    <w:rsid w:val="528B0119"/>
    <w:rsid w:val="55762E42"/>
    <w:rsid w:val="57A7B272"/>
    <w:rsid w:val="57C0629F"/>
    <w:rsid w:val="58470068"/>
    <w:rsid w:val="586F2AEF"/>
    <w:rsid w:val="58806475"/>
    <w:rsid w:val="5A1720F9"/>
    <w:rsid w:val="5A8853A8"/>
    <w:rsid w:val="5B9C37C2"/>
    <w:rsid w:val="5BA7C654"/>
    <w:rsid w:val="5D7F2662"/>
    <w:rsid w:val="60C33638"/>
    <w:rsid w:val="62BC2F45"/>
    <w:rsid w:val="64C0607C"/>
    <w:rsid w:val="65AA670A"/>
    <w:rsid w:val="666F3929"/>
    <w:rsid w:val="676F09E1"/>
    <w:rsid w:val="685B6BC1"/>
    <w:rsid w:val="687A5B1D"/>
    <w:rsid w:val="699D7380"/>
    <w:rsid w:val="6CA02345"/>
    <w:rsid w:val="6CCE2943"/>
    <w:rsid w:val="6F7C4AD2"/>
    <w:rsid w:val="708536EC"/>
    <w:rsid w:val="73524899"/>
    <w:rsid w:val="74A222FF"/>
    <w:rsid w:val="768474B0"/>
    <w:rsid w:val="76D60868"/>
    <w:rsid w:val="7754701E"/>
    <w:rsid w:val="7A1D767A"/>
    <w:rsid w:val="7A7F1C49"/>
    <w:rsid w:val="7AE9609D"/>
    <w:rsid w:val="7B5B7AE6"/>
    <w:rsid w:val="7B931B5F"/>
    <w:rsid w:val="7BA7071E"/>
    <w:rsid w:val="7BDF6DA8"/>
    <w:rsid w:val="7BFE4F25"/>
    <w:rsid w:val="7C7EDC1A"/>
    <w:rsid w:val="7CCED98D"/>
    <w:rsid w:val="7D08410F"/>
    <w:rsid w:val="7DB96DED"/>
    <w:rsid w:val="7DD3AD81"/>
    <w:rsid w:val="7E214114"/>
    <w:rsid w:val="7E300DB6"/>
    <w:rsid w:val="7EB251F6"/>
    <w:rsid w:val="7F7FE70F"/>
    <w:rsid w:val="7FF65CFC"/>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12288;&#19968;&#20307;&#21270;&#25991;&#20214;/&#22270;&#34920;+&#25903;&#20986;&#24773;&#20917;&#37319;&#38598;&#34920;&#24405;&#20837;20240604111104961.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12288;&#19968;&#20307;&#21270;&#25991;&#20214;/&#22270;&#34920;+&#25903;&#20986;&#24773;&#20917;&#37319;&#38598;&#34920;&#24405;&#20837;2024060411110496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r>
              <a:rPr>
                <a:latin typeface="仿宋_GB2312" panose="02010609030101010101" charset="-122"/>
                <a:ea typeface="仿宋_GB2312" panose="02010609030101010101" charset="-122"/>
                <a:cs typeface="仿宋_GB2312" panose="02010609030101010101" charset="-122"/>
                <a:sym typeface="仿宋_GB2312" panose="02010609030101010101" charset="-122"/>
              </a:rPr>
              <a:t>收入决算</a:t>
            </a:r>
            <a:endParaRPr>
              <a:latin typeface="仿宋_GB2312" panose="02010609030101010101" charset="-122"/>
              <a:ea typeface="仿宋_GB2312" panose="02010609030101010101" charset="-122"/>
              <a:cs typeface="仿宋_GB2312" panose="02010609030101010101" charset="-122"/>
              <a:sym typeface="仿宋_GB2312" panose="02010609030101010101" charset="-122"/>
            </a:endParaRP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'[图表+支出情况采集表录入20240604111104961.xlsx]图表'!$B$2:$B$3</c:f>
              <c:strCache>
                <c:ptCount val="2"/>
                <c:pt idx="0">
                  <c:v>财政拨款收入</c:v>
                </c:pt>
                <c:pt idx="1">
                  <c:v>其他收入</c:v>
                </c:pt>
              </c:strCache>
            </c:strRef>
          </c:cat>
          <c:val>
            <c:numRef>
              <c:f>'[图表+支出情况采集表录入20240604111104961.xlsx]图表'!$C$2:$C$3</c:f>
              <c:numCache>
                <c:formatCode>0.00%</c:formatCode>
                <c:ptCount val="2"/>
                <c:pt idx="0">
                  <c:v>0.7928</c:v>
                </c:pt>
                <c:pt idx="1">
                  <c:v>0.2072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legendEntry>
      <c:legendEntry>
        <c:idx val="1"/>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legendEntry>
      <c:layout/>
      <c:overlay val="0"/>
      <c:spPr>
        <a:noFill/>
        <a:ln>
          <a:noFill/>
        </a:ln>
        <a:effectLst/>
      </c:spPr>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r>
              <a:rPr>
                <a:latin typeface="仿宋_GB2312" panose="02010609030101010101" charset="-122"/>
                <a:ea typeface="仿宋_GB2312" panose="02010609030101010101" charset="-122"/>
                <a:cs typeface="仿宋_GB2312" panose="02010609030101010101" charset="-122"/>
                <a:sym typeface="仿宋_GB2312" panose="02010609030101010101" charset="-122"/>
              </a:rPr>
              <a:t>支出决算</a:t>
            </a:r>
            <a:endParaRPr>
              <a:latin typeface="仿宋_GB2312" panose="02010609030101010101" charset="-122"/>
              <a:ea typeface="仿宋_GB2312" panose="02010609030101010101" charset="-122"/>
              <a:cs typeface="仿宋_GB2312" panose="02010609030101010101" charset="-122"/>
              <a:sym typeface="仿宋_GB2312" panose="02010609030101010101" charset="-122"/>
            </a:endParaRPr>
          </a:p>
        </c:rich>
      </c:tx>
      <c:layout>
        <c:manualLayout>
          <c:xMode val="edge"/>
          <c:yMode val="edge"/>
          <c:x val="0.414444444444444"/>
          <c:y val="0.0243055555555556"/>
        </c:manualLayout>
      </c:layout>
      <c:overlay val="0"/>
      <c:spPr>
        <a:noFill/>
        <a:ln>
          <a:noFill/>
        </a:ln>
        <a:effectLst/>
      </c:spPr>
    </c:title>
    <c:autoTitleDeleted val="0"/>
    <c:plotArea>
      <c:layout/>
      <c:pieChart>
        <c:varyColors val="1"/>
        <c:ser>
          <c:idx val="1"/>
          <c:order val="1"/>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'[图表+支出情况采集表录入20240604111104961.xlsx]图表'!$B$20:$B$21</c:f>
              <c:strCache>
                <c:ptCount val="2"/>
                <c:pt idx="0">
                  <c:v>基本支出</c:v>
                </c:pt>
                <c:pt idx="1">
                  <c:v>项目支出</c:v>
                </c:pt>
              </c:strCache>
            </c:strRef>
          </c:cat>
          <c:val>
            <c:numRef>
              <c:f>'[图表+支出情况采集表录入20240604111104961.xlsx]图表'!$D$20:$D$21</c:f>
              <c:numCache>
                <c:formatCode>0.00%</c:formatCode>
                <c:ptCount val="2"/>
                <c:pt idx="0">
                  <c:v>0.6438</c:v>
                </c:pt>
                <c:pt idx="1">
                  <c:v>0.3562</c:v>
                </c:pt>
              </c:numCache>
            </c:numRef>
          </c:val>
        </c:ser>
        <c:dLbls>
          <c:showLegendKey val="0"/>
          <c:showVal val="1"/>
          <c:showCatName val="0"/>
          <c:showSerName val="0"/>
          <c:showPercent val="0"/>
          <c:showBubbleSize val="0"/>
          <c:showLeaderLines val="1"/>
        </c:dLbls>
        <c:firstSliceAng val="0"/>
        <c:extLst>
          <c:ext xmlns:c15="http://schemas.microsoft.com/office/drawing/2012/chart" uri="{02D57815-91ED-43cb-92C2-25804820EDAC}">
            <c15:filteredPieSeries>
              <c15: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ullRef>
                          <c15:sqref/>
                        </c15:fullRef>
                        <c15:formulaRef>
                          <c15:sqref>'[图表+支出情况采集表录入20240604111104961.xlsx]图表'!$B$20:$B$21</c15:sqref>
                        </c15:formulaRef>
                      </c:ext>
                    </c:extLst>
                    <c:strCache>
                      <c:ptCount val="2"/>
                      <c:pt idx="0">
                        <c:v>基本支出</c:v>
                      </c:pt>
                      <c:pt idx="1">
                        <c:v>项目支出</c:v>
                      </c:pt>
                    </c:strCache>
                  </c:strRef>
                </c:cat>
                <c:val>
                  <c:numRef>
                    <c:extLst>
                      <c:ext uri="{02D57815-91ED-43cb-92C2-25804820EDAC}">
                        <c15:formulaRef>
                          <c15:sqref>{7173.81,8099.76}</c15:sqref>
                        </c15:formulaRef>
                      </c:ext>
                    </c:extLst>
                    <c:numCache>
                      <c:formatCode>General</c:formatCode>
                      <c:ptCount val="2"/>
                      <c:pt idx="0">
                        <c:v>7173.81</c:v>
                      </c:pt>
                      <c:pt idx="1">
                        <c:v>8099.76</c:v>
                      </c:pt>
                    </c:numCache>
                  </c:numRef>
                </c:val>
              </c15:ser>
            </c15:filteredPieSeries>
          </c:ext>
        </c:extLst>
      </c:pieChart>
      <c:spPr>
        <a:noFill/>
        <a:ln>
          <a:noFill/>
        </a:ln>
        <a:effectLst/>
      </c:spPr>
    </c:plotArea>
    <c:legend>
      <c:legendPos val="b"/>
      <c:legendEntry>
        <c:idx val="0"/>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legendEntry>
      <c:legendEntry>
        <c:idx val="1"/>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legendEntry>
      <c:layout/>
      <c:overlay val="0"/>
      <c:spPr>
        <a:noFill/>
        <a:ln>
          <a:noFill/>
        </a:ln>
        <a:effectLst/>
      </c:spPr>
      <c:txPr>
        <a:bodyPr rot="0" spcFirstLastPara="0" vertOverflow="ellipsis" vert="horz" wrap="square" anchor="ctr" anchorCtr="1"/>
        <a:lstStyle/>
        <a:p>
          <a:pPr>
            <a:defRPr lang="zh-CN" sz="1000" b="0" i="0" u="none" strike="noStrike" kern="1200" baseline="0">
              <a:solidFill>
                <a:schemeClr val="tx1">
                  <a:lumMod val="65000"/>
                  <a:lumOff val="35000"/>
                </a:schemeClr>
              </a:solidFill>
              <a:latin typeface="仿宋_GB2312" panose="02010609030101010101" charset="-122"/>
              <a:ea typeface="仿宋_GB2312" panose="02010609030101010101" charset="-122"/>
              <a:cs typeface="仿宋_GB2312" panose="02010609030101010101" charset="-122"/>
              <a:sym typeface="仿宋_GB2312" panose="02010609030101010101"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11</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2024-08-26T02:02:22Z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