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bidi w:val="0"/>
        <w:snapToGrid/>
        <w:ind w:firstLine="640" w:firstLineChars="200"/>
        <w:jc w:val="center"/>
        <w:textAlignment w:val="auto"/>
        <w:rPr>
          <w:rFonts w:hint="eastAsia" w:ascii="仿宋_GB2312" w:eastAsia="仿宋_GB2312"/>
          <w:b/>
          <w:sz w:val="32"/>
          <w:szCs w:val="32"/>
        </w:rPr>
      </w:pPr>
    </w:p>
    <w:p>
      <w:pPr>
        <w:pageBreakBefore w:val="0"/>
        <w:widowControl w:val="0"/>
        <w:kinsoku/>
        <w:wordWrap/>
        <w:overflowPunct/>
        <w:topLinePunct w:val="0"/>
        <w:bidi w:val="0"/>
        <w:snapToGrid/>
        <w:ind w:firstLine="1440" w:firstLineChars="200"/>
        <w:jc w:val="center"/>
        <w:textAlignment w:val="auto"/>
        <w:rPr>
          <w:rFonts w:hint="eastAsia" w:ascii="黑体" w:eastAsia="黑体"/>
          <w:sz w:val="72"/>
          <w:szCs w:val="72"/>
        </w:rPr>
      </w:pPr>
    </w:p>
    <w:p>
      <w:pPr>
        <w:pageBreakBefore w:val="0"/>
        <w:widowControl w:val="0"/>
        <w:kinsoku/>
        <w:wordWrap/>
        <w:overflowPunct/>
        <w:topLinePunct w:val="0"/>
        <w:bidi w:val="0"/>
        <w:snapToGrid/>
        <w:ind w:firstLine="1440" w:firstLineChars="200"/>
        <w:jc w:val="center"/>
        <w:textAlignment w:val="auto"/>
        <w:rPr>
          <w:rFonts w:ascii="黑体" w:eastAsia="黑体"/>
          <w:sz w:val="72"/>
          <w:szCs w:val="72"/>
        </w:rPr>
      </w:pPr>
    </w:p>
    <w:p>
      <w:pPr>
        <w:pageBreakBefore w:val="0"/>
        <w:widowControl w:val="0"/>
        <w:kinsoku/>
        <w:wordWrap/>
        <w:overflowPunct/>
        <w:topLinePunct w:val="0"/>
        <w:bidi w:val="0"/>
        <w:snapToGrid/>
        <w:ind w:firstLine="1440" w:firstLineChars="200"/>
        <w:jc w:val="center"/>
        <w:textAlignment w:val="auto"/>
        <w:rPr>
          <w:rFonts w:hint="eastAsia" w:ascii="黑体" w:eastAsia="黑体"/>
          <w:sz w:val="72"/>
          <w:szCs w:val="72"/>
        </w:rPr>
      </w:pPr>
    </w:p>
    <w:p>
      <w:pPr>
        <w:pageBreakBefore w:val="0"/>
        <w:widowControl w:val="0"/>
        <w:kinsoku/>
        <w:wordWrap/>
        <w:overflowPunct/>
        <w:topLinePunct w:val="0"/>
        <w:bidi w:val="0"/>
        <w:snapToGrid/>
        <w:ind w:firstLine="1440" w:firstLineChars="200"/>
        <w:jc w:val="center"/>
        <w:textAlignment w:val="auto"/>
        <w:rPr>
          <w:rFonts w:hint="eastAsia" w:ascii="黑体" w:eastAsia="黑体"/>
          <w:sz w:val="72"/>
          <w:szCs w:val="72"/>
        </w:rPr>
      </w:pPr>
    </w:p>
    <w:p>
      <w:pPr>
        <w:pageBreakBefore w:val="0"/>
        <w:widowControl w:val="0"/>
        <w:kinsoku/>
        <w:wordWrap/>
        <w:overflowPunct/>
        <w:topLinePunct w:val="0"/>
        <w:bidi w:val="0"/>
        <w:snapToGrid/>
        <w:ind w:firstLine="1440" w:firstLineChars="200"/>
        <w:jc w:val="center"/>
        <w:textAlignment w:val="auto"/>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ageBreakBefore w:val="0"/>
        <w:widowControl w:val="0"/>
        <w:kinsoku/>
        <w:wordWrap/>
        <w:overflowPunct/>
        <w:topLinePunct w:val="0"/>
        <w:bidi w:val="0"/>
        <w:snapToGrid/>
        <w:ind w:firstLine="1040" w:firstLineChars="200"/>
        <w:jc w:val="center"/>
        <w:textAlignment w:val="auto"/>
        <w:rPr>
          <w:rFonts w:ascii="黑体" w:eastAsia="黑体"/>
          <w:sz w:val="52"/>
          <w:szCs w:val="52"/>
        </w:rPr>
      </w:pPr>
    </w:p>
    <w:p>
      <w:pPr>
        <w:pStyle w:val="2"/>
        <w:rPr>
          <w:rFonts w:ascii="黑体" w:eastAsia="黑体"/>
          <w:sz w:val="52"/>
          <w:szCs w:val="52"/>
        </w:rPr>
      </w:pPr>
    </w:p>
    <w:p>
      <w:pPr>
        <w:pStyle w:val="2"/>
        <w:rPr>
          <w:rFonts w:ascii="黑体" w:eastAsia="黑体"/>
          <w:sz w:val="52"/>
          <w:szCs w:val="52"/>
        </w:rPr>
      </w:pPr>
    </w:p>
    <w:p>
      <w:pPr>
        <w:pageBreakBefore w:val="0"/>
        <w:widowControl w:val="0"/>
        <w:kinsoku/>
        <w:wordWrap/>
        <w:overflowPunct/>
        <w:topLinePunct w:val="0"/>
        <w:bidi w:val="0"/>
        <w:snapToGrid/>
        <w:ind w:firstLine="1040" w:firstLineChars="200"/>
        <w:jc w:val="center"/>
        <w:textAlignment w:val="auto"/>
        <w:rPr>
          <w:rFonts w:ascii="黑体" w:eastAsia="黑体"/>
          <w:sz w:val="52"/>
          <w:szCs w:val="52"/>
        </w:rPr>
      </w:pPr>
    </w:p>
    <w:p>
      <w:pPr>
        <w:pageBreakBefore w:val="0"/>
        <w:widowControl w:val="0"/>
        <w:kinsoku/>
        <w:wordWrap/>
        <w:overflowPunct/>
        <w:topLinePunct w:val="0"/>
        <w:bidi w:val="0"/>
        <w:snapToGrid/>
        <w:spacing w:line="500" w:lineRule="exact"/>
        <w:ind w:firstLine="880" w:firstLineChars="200"/>
        <w:jc w:val="center"/>
        <w:textAlignment w:val="auto"/>
        <w:rPr>
          <w:rFonts w:hint="eastAsia" w:ascii="宋体" w:hAnsi="宋体" w:cs="宋体"/>
          <w:b/>
          <w:bCs/>
          <w:kern w:val="0"/>
          <w:sz w:val="44"/>
          <w:szCs w:val="36"/>
        </w:rPr>
      </w:pPr>
    </w:p>
    <w:p>
      <w:pPr>
        <w:pageBreakBefore w:val="0"/>
        <w:widowControl w:val="0"/>
        <w:kinsoku/>
        <w:wordWrap/>
        <w:overflowPunct/>
        <w:topLinePunct w:val="0"/>
        <w:bidi w:val="0"/>
        <w:snapToGrid/>
        <w:spacing w:line="500" w:lineRule="exact"/>
        <w:ind w:firstLine="880" w:firstLineChars="200"/>
        <w:jc w:val="center"/>
        <w:textAlignment w:val="auto"/>
        <w:rPr>
          <w:rFonts w:ascii="宋体" w:hAnsi="宋体" w:cs="宋体"/>
          <w:b/>
          <w:bCs/>
          <w:kern w:val="0"/>
          <w:sz w:val="44"/>
          <w:szCs w:val="36"/>
        </w:rPr>
      </w:pPr>
      <w:bookmarkStart w:id="0" w:name="_GoBack"/>
      <w:bookmarkEnd w:id="0"/>
      <w:r>
        <w:rPr>
          <w:rFonts w:hint="eastAsia" w:ascii="宋体" w:hAnsi="宋体" w:cs="宋体"/>
          <w:b/>
          <w:bCs/>
          <w:kern w:val="0"/>
          <w:sz w:val="44"/>
          <w:szCs w:val="36"/>
        </w:rPr>
        <w:t>目    录</w:t>
      </w:r>
    </w:p>
    <w:p>
      <w:pPr>
        <w:pageBreakBefore w:val="0"/>
        <w:widowControl w:val="0"/>
        <w:kinsoku/>
        <w:wordWrap/>
        <w:overflowPunct/>
        <w:topLinePunct w:val="0"/>
        <w:bidi w:val="0"/>
        <w:snapToGrid/>
        <w:spacing w:line="500" w:lineRule="exact"/>
        <w:ind w:firstLine="720" w:firstLineChars="200"/>
        <w:jc w:val="center"/>
        <w:textAlignment w:val="auto"/>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pageBreakBefore w:val="0"/>
        <w:widowControl w:val="0"/>
        <w:tabs>
          <w:tab w:val="center" w:pos="6979"/>
        </w:tabs>
        <w:kinsoku/>
        <w:wordWrap/>
        <w:overflowPunct/>
        <w:topLinePunct w:val="0"/>
        <w:bidi w:val="0"/>
        <w:snapToGrid/>
        <w:spacing w:before="156" w:beforeLines="50" w:after="156" w:afterLines="50"/>
        <w:ind w:firstLine="800" w:firstLineChars="200"/>
        <w:jc w:val="center"/>
        <w:textAlignment w:val="auto"/>
        <w:rPr>
          <w:rFonts w:ascii="宋体" w:hAnsi="宋体" w:cs="宋体"/>
          <w:b/>
          <w:bCs/>
          <w:spacing w:val="40"/>
          <w:kern w:val="0"/>
          <w:sz w:val="32"/>
          <w:szCs w:val="32"/>
        </w:rPr>
      </w:pPr>
    </w:p>
    <w:p>
      <w:pPr>
        <w:pageBreakBefore w:val="0"/>
        <w:widowControl w:val="0"/>
        <w:tabs>
          <w:tab w:val="center" w:pos="6979"/>
        </w:tabs>
        <w:kinsoku/>
        <w:wordWrap/>
        <w:overflowPunct/>
        <w:topLinePunct w:val="0"/>
        <w:bidi w:val="0"/>
        <w:snapToGrid/>
        <w:spacing w:before="156" w:beforeLines="50" w:after="156" w:afterLines="50"/>
        <w:ind w:firstLine="800" w:firstLineChars="200"/>
        <w:jc w:val="center"/>
        <w:textAlignment w:val="auto"/>
        <w:rPr>
          <w:rFonts w:ascii="宋体" w:hAnsi="宋体" w:cs="宋体"/>
          <w:b/>
          <w:bCs/>
          <w:spacing w:val="40"/>
          <w:kern w:val="0"/>
          <w:sz w:val="32"/>
          <w:szCs w:val="32"/>
        </w:rPr>
      </w:pPr>
    </w:p>
    <w:p>
      <w:pPr>
        <w:pageBreakBefore w:val="0"/>
        <w:widowControl w:val="0"/>
        <w:tabs>
          <w:tab w:val="center" w:pos="6979"/>
        </w:tabs>
        <w:kinsoku/>
        <w:wordWrap/>
        <w:overflowPunct/>
        <w:topLinePunct w:val="0"/>
        <w:bidi w:val="0"/>
        <w:snapToGrid/>
        <w:spacing w:before="156" w:beforeLines="50" w:after="156" w:afterLines="50"/>
        <w:ind w:firstLine="800" w:firstLineChars="200"/>
        <w:jc w:val="center"/>
        <w:textAlignment w:val="auto"/>
        <w:rPr>
          <w:rFonts w:hint="eastAsia" w:ascii="宋体" w:hAnsi="宋体" w:cs="宋体"/>
          <w:b/>
          <w:bCs/>
          <w:spacing w:val="40"/>
          <w:kern w:val="0"/>
          <w:sz w:val="32"/>
          <w:szCs w:val="32"/>
        </w:rPr>
      </w:pPr>
    </w:p>
    <w:p>
      <w:pPr>
        <w:pageBreakBefore w:val="0"/>
        <w:widowControl w:val="0"/>
        <w:tabs>
          <w:tab w:val="center" w:pos="6979"/>
        </w:tabs>
        <w:kinsoku/>
        <w:wordWrap/>
        <w:overflowPunct/>
        <w:topLinePunct w:val="0"/>
        <w:bidi w:val="0"/>
        <w:snapToGrid/>
        <w:spacing w:before="156" w:beforeLines="50" w:after="156" w:afterLines="50"/>
        <w:ind w:firstLine="800" w:firstLineChars="200"/>
        <w:jc w:val="center"/>
        <w:textAlignment w:val="auto"/>
        <w:rPr>
          <w:rFonts w:ascii="宋体" w:hAnsi="宋体" w:cs="宋体"/>
          <w:b/>
          <w:bCs/>
          <w:spacing w:val="40"/>
          <w:kern w:val="0"/>
          <w:sz w:val="32"/>
          <w:szCs w:val="32"/>
        </w:rPr>
      </w:pPr>
    </w:p>
    <w:p>
      <w:pPr>
        <w:pageBreakBefore w:val="0"/>
        <w:widowControl w:val="0"/>
        <w:tabs>
          <w:tab w:val="center" w:pos="6979"/>
        </w:tabs>
        <w:kinsoku/>
        <w:wordWrap/>
        <w:overflowPunct/>
        <w:topLinePunct w:val="0"/>
        <w:bidi w:val="0"/>
        <w:snapToGrid/>
        <w:spacing w:before="156" w:beforeLines="50" w:after="156" w:afterLines="50"/>
        <w:ind w:firstLine="800" w:firstLineChars="200"/>
        <w:jc w:val="center"/>
        <w:textAlignment w:val="auto"/>
        <w:rPr>
          <w:rFonts w:hint="eastAsia" w:ascii="宋体" w:hAnsi="宋体" w:cs="宋体"/>
          <w:b/>
          <w:bCs/>
          <w:spacing w:val="40"/>
          <w:kern w:val="0"/>
          <w:sz w:val="32"/>
          <w:szCs w:val="32"/>
        </w:rPr>
      </w:pPr>
    </w:p>
    <w:p>
      <w:pPr>
        <w:pageBreakBefore w:val="0"/>
        <w:widowControl w:val="0"/>
        <w:tabs>
          <w:tab w:val="center" w:pos="6979"/>
        </w:tabs>
        <w:kinsoku/>
        <w:wordWrap/>
        <w:overflowPunct/>
        <w:topLinePunct w:val="0"/>
        <w:bidi w:val="0"/>
        <w:snapToGrid/>
        <w:spacing w:before="156" w:beforeLines="50" w:after="156" w:afterLines="50"/>
        <w:ind w:firstLine="1040" w:firstLineChars="200"/>
        <w:jc w:val="center"/>
        <w:textAlignment w:val="auto"/>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3"/>
        <w:pageBreakBefore w:val="0"/>
        <w:widowControl w:val="0"/>
        <w:kinsoku/>
        <w:wordWrap/>
        <w:overflowPunct/>
        <w:topLinePunct w:val="0"/>
        <w:bidi w:val="0"/>
        <w:snapToGrid/>
        <w:ind w:firstLine="560" w:firstLineChars="200"/>
        <w:textAlignment w:val="auto"/>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pageBreakBefore w:val="0"/>
        <w:widowControl w:val="0"/>
        <w:tabs>
          <w:tab w:val="center" w:pos="6979"/>
        </w:tabs>
        <w:kinsoku/>
        <w:wordWrap/>
        <w:overflowPunct/>
        <w:topLinePunct w:val="0"/>
        <w:bidi w:val="0"/>
        <w:snapToGrid/>
        <w:spacing w:before="156" w:beforeLines="50" w:after="156" w:afterLines="50"/>
        <w:ind w:firstLine="800" w:firstLineChars="200"/>
        <w:jc w:val="center"/>
        <w:textAlignment w:val="auto"/>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黑体" w:eastAsia="黑体"/>
          <w:b/>
          <w:sz w:val="28"/>
          <w:szCs w:val="28"/>
        </w:rPr>
      </w:pPr>
      <w:r>
        <w:rPr>
          <w:rFonts w:hint="eastAsia" w:ascii="黑体" w:eastAsia="黑体"/>
          <w:b/>
          <w:sz w:val="28"/>
          <w:szCs w:val="28"/>
        </w:rPr>
        <w:t>一、单位基本情况</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rPr>
        <w:t>机构设置情况</w:t>
      </w:r>
      <w:r>
        <w:rPr>
          <w:rFonts w:hint="eastAsia" w:ascii="仿宋_GB2312" w:eastAsia="仿宋_GB2312"/>
          <w:sz w:val="28"/>
          <w:szCs w:val="28"/>
          <w:lang w:val="en-US" w:eastAsia="zh-CN"/>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rPr>
        <w:t>根据市委编办印发的《北京市规划和自然资源委员会区分局职能配置、内设机构和人员编制规定的通知》（京编办发〔2019〕17号）、《关于同意为市规划自然资源系统增加编制的函》（京编办行〔2019〕114号），</w:t>
      </w:r>
      <w:r>
        <w:rPr>
          <w:rFonts w:hint="eastAsia" w:ascii="仿宋_GB2312" w:eastAsia="仿宋_GB2312"/>
          <w:sz w:val="28"/>
          <w:szCs w:val="28"/>
          <w:lang w:eastAsia="zh-CN"/>
        </w:rPr>
        <w:t>《</w:t>
      </w:r>
      <w:r>
        <w:rPr>
          <w:rFonts w:hint="eastAsia" w:ascii="仿宋_GB2312" w:eastAsia="仿宋_GB2312"/>
          <w:sz w:val="28"/>
          <w:szCs w:val="28"/>
        </w:rPr>
        <w:t>关于市规划自然资源系统所属事业单位改革有关事项的批复</w:t>
      </w:r>
      <w:r>
        <w:rPr>
          <w:rFonts w:hint="eastAsia" w:ascii="仿宋_GB2312" w:eastAsia="仿宋_GB2312"/>
          <w:sz w:val="28"/>
          <w:szCs w:val="28"/>
          <w:lang w:eastAsia="zh-CN"/>
        </w:rPr>
        <w:t>》（</w:t>
      </w:r>
      <w:r>
        <w:rPr>
          <w:rFonts w:hint="eastAsia" w:ascii="仿宋_GB2312" w:eastAsia="仿宋_GB2312"/>
          <w:sz w:val="28"/>
          <w:szCs w:val="28"/>
        </w:rPr>
        <w:t>京编委[2021]123号）和市规划自然资源委印发的《关于划转建设工程消防设计审查职责有关事项的通知》（京规自党发〔2019〕130号），分局机关设立</w:t>
      </w:r>
      <w:r>
        <w:rPr>
          <w:rFonts w:hint="eastAsia" w:ascii="仿宋_GB2312" w:eastAsia="仿宋_GB2312"/>
          <w:bCs/>
          <w:sz w:val="28"/>
          <w:szCs w:val="28"/>
          <w:lang w:val="en-US" w:eastAsia="zh-CN"/>
        </w:rPr>
        <w:t>1</w:t>
      </w:r>
      <w:r>
        <w:rPr>
          <w:rFonts w:hint="eastAsia" w:ascii="仿宋_GB2312" w:eastAsia="仿宋_GB2312"/>
          <w:sz w:val="28"/>
          <w:szCs w:val="28"/>
        </w:rPr>
        <w:t>个行政单位</w:t>
      </w:r>
      <w:r>
        <w:rPr>
          <w:rFonts w:hint="eastAsia" w:ascii="仿宋_GB2312" w:eastAsia="仿宋_GB2312"/>
          <w:sz w:val="28"/>
          <w:szCs w:val="28"/>
          <w:lang w:eastAsia="zh-CN"/>
        </w:rPr>
        <w:t>包括</w:t>
      </w:r>
      <w:r>
        <w:rPr>
          <w:rFonts w:hint="eastAsia" w:ascii="仿宋_GB2312" w:eastAsia="仿宋_GB2312"/>
          <w:sz w:val="28"/>
          <w:szCs w:val="28"/>
        </w:rPr>
        <w:t>14个科室，</w:t>
      </w:r>
      <w:r>
        <w:rPr>
          <w:rFonts w:hint="eastAsia" w:ascii="仿宋_GB2312" w:eastAsia="仿宋_GB2312"/>
          <w:sz w:val="28"/>
          <w:szCs w:val="28"/>
          <w:lang w:eastAsia="zh-CN"/>
        </w:rPr>
        <w:t>分别为</w:t>
      </w:r>
      <w:r>
        <w:rPr>
          <w:rFonts w:hint="eastAsia" w:ascii="仿宋_GB2312" w:eastAsia="仿宋_GB2312"/>
          <w:sz w:val="28"/>
          <w:szCs w:val="28"/>
        </w:rPr>
        <w:t>办公室</w:t>
      </w:r>
      <w:r>
        <w:rPr>
          <w:rFonts w:hint="eastAsia" w:ascii="仿宋_GB2312" w:eastAsia="仿宋_GB2312"/>
          <w:sz w:val="28"/>
          <w:szCs w:val="28"/>
          <w:lang w:eastAsia="zh-CN"/>
        </w:rPr>
        <w:t>、</w:t>
      </w:r>
      <w:r>
        <w:rPr>
          <w:rFonts w:hint="eastAsia" w:ascii="仿宋_GB2312" w:eastAsia="仿宋_GB2312"/>
          <w:sz w:val="28"/>
          <w:szCs w:val="28"/>
        </w:rPr>
        <w:t>法制科（信访与信息公开科）</w:t>
      </w:r>
      <w:r>
        <w:rPr>
          <w:rFonts w:hint="eastAsia" w:ascii="仿宋_GB2312" w:eastAsia="仿宋_GB2312"/>
          <w:sz w:val="28"/>
          <w:szCs w:val="28"/>
          <w:lang w:eastAsia="zh-CN"/>
        </w:rPr>
        <w:t>、</w:t>
      </w:r>
      <w:r>
        <w:rPr>
          <w:rFonts w:hint="eastAsia" w:ascii="仿宋_GB2312" w:eastAsia="仿宋_GB2312"/>
          <w:sz w:val="28"/>
          <w:szCs w:val="28"/>
        </w:rPr>
        <w:t>规划编制与城市设计科（区委城市工作委员会办公室）</w:t>
      </w:r>
      <w:r>
        <w:rPr>
          <w:rFonts w:hint="eastAsia" w:ascii="仿宋_GB2312" w:eastAsia="仿宋_GB2312"/>
          <w:sz w:val="28"/>
          <w:szCs w:val="28"/>
          <w:lang w:eastAsia="zh-CN"/>
        </w:rPr>
        <w:t>、</w:t>
      </w:r>
      <w:r>
        <w:rPr>
          <w:rFonts w:hint="eastAsia" w:ascii="仿宋_GB2312" w:eastAsia="仿宋_GB2312"/>
          <w:sz w:val="28"/>
          <w:szCs w:val="28"/>
        </w:rPr>
        <w:t>市政交通科</w:t>
      </w:r>
      <w:r>
        <w:rPr>
          <w:rFonts w:hint="eastAsia" w:ascii="仿宋_GB2312" w:eastAsia="仿宋_GB2312"/>
          <w:sz w:val="28"/>
          <w:szCs w:val="28"/>
          <w:lang w:eastAsia="zh-CN"/>
        </w:rPr>
        <w:t>、</w:t>
      </w:r>
      <w:r>
        <w:rPr>
          <w:rFonts w:hint="eastAsia" w:ascii="仿宋_GB2312" w:eastAsia="仿宋_GB2312"/>
          <w:sz w:val="28"/>
          <w:szCs w:val="28"/>
        </w:rPr>
        <w:t>规划实施科</w:t>
      </w:r>
      <w:r>
        <w:rPr>
          <w:rFonts w:hint="eastAsia" w:ascii="仿宋_GB2312" w:eastAsia="仿宋_GB2312"/>
          <w:sz w:val="28"/>
          <w:szCs w:val="28"/>
          <w:lang w:eastAsia="zh-CN"/>
        </w:rPr>
        <w:t>、</w:t>
      </w:r>
      <w:r>
        <w:rPr>
          <w:rFonts w:hint="eastAsia" w:ascii="仿宋_GB2312" w:eastAsia="仿宋_GB2312"/>
          <w:sz w:val="28"/>
          <w:szCs w:val="28"/>
        </w:rPr>
        <w:t>综合审批科</w:t>
      </w:r>
      <w:r>
        <w:rPr>
          <w:rFonts w:hint="eastAsia" w:ascii="仿宋_GB2312" w:eastAsia="仿宋_GB2312"/>
          <w:sz w:val="28"/>
          <w:szCs w:val="28"/>
          <w:lang w:eastAsia="zh-CN"/>
        </w:rPr>
        <w:t>、</w:t>
      </w:r>
      <w:r>
        <w:rPr>
          <w:rFonts w:hint="eastAsia" w:ascii="仿宋_GB2312" w:eastAsia="仿宋_GB2312"/>
          <w:sz w:val="28"/>
          <w:szCs w:val="28"/>
        </w:rPr>
        <w:t>规划土地核验科</w:t>
      </w:r>
      <w:r>
        <w:rPr>
          <w:rFonts w:hint="eastAsia" w:ascii="仿宋_GB2312" w:eastAsia="仿宋_GB2312"/>
          <w:sz w:val="28"/>
          <w:szCs w:val="28"/>
          <w:lang w:eastAsia="zh-CN"/>
        </w:rPr>
        <w:t>、</w:t>
      </w:r>
      <w:r>
        <w:rPr>
          <w:rFonts w:hint="eastAsia" w:ascii="仿宋_GB2312" w:eastAsia="仿宋_GB2312"/>
          <w:sz w:val="28"/>
          <w:szCs w:val="28"/>
        </w:rPr>
        <w:t>自然资源调查监测科</w:t>
      </w:r>
      <w:r>
        <w:rPr>
          <w:rFonts w:hint="eastAsia" w:ascii="仿宋_GB2312" w:eastAsia="仿宋_GB2312"/>
          <w:sz w:val="28"/>
          <w:szCs w:val="28"/>
          <w:lang w:eastAsia="zh-CN"/>
        </w:rPr>
        <w:t>、</w:t>
      </w:r>
      <w:r>
        <w:rPr>
          <w:rFonts w:hint="eastAsia" w:ascii="仿宋_GB2312" w:eastAsia="仿宋_GB2312"/>
          <w:sz w:val="28"/>
          <w:szCs w:val="28"/>
        </w:rPr>
        <w:t>自然资源所有者权益科（自然资源开发利用科）</w:t>
      </w:r>
      <w:r>
        <w:rPr>
          <w:rFonts w:hint="eastAsia" w:ascii="仿宋_GB2312" w:eastAsia="仿宋_GB2312"/>
          <w:sz w:val="28"/>
          <w:szCs w:val="28"/>
          <w:lang w:eastAsia="zh-CN"/>
        </w:rPr>
        <w:t>、</w:t>
      </w:r>
      <w:r>
        <w:rPr>
          <w:rFonts w:hint="eastAsia" w:ascii="仿宋_GB2312" w:eastAsia="仿宋_GB2312"/>
          <w:sz w:val="28"/>
          <w:szCs w:val="28"/>
        </w:rPr>
        <w:t>自然资源保护科</w:t>
      </w:r>
      <w:r>
        <w:rPr>
          <w:rFonts w:hint="eastAsia" w:ascii="仿宋_GB2312" w:eastAsia="仿宋_GB2312"/>
          <w:sz w:val="28"/>
          <w:szCs w:val="28"/>
          <w:lang w:eastAsia="zh-CN"/>
        </w:rPr>
        <w:t>、</w:t>
      </w:r>
      <w:r>
        <w:rPr>
          <w:rFonts w:hint="eastAsia" w:ascii="仿宋_GB2312" w:eastAsia="仿宋_GB2312"/>
          <w:sz w:val="28"/>
          <w:szCs w:val="28"/>
        </w:rPr>
        <w:t>国土空间生态修复科（矿产资源管理科）</w:t>
      </w:r>
      <w:r>
        <w:rPr>
          <w:rFonts w:hint="eastAsia" w:ascii="仿宋_GB2312" w:eastAsia="仿宋_GB2312"/>
          <w:sz w:val="28"/>
          <w:szCs w:val="28"/>
          <w:lang w:eastAsia="zh-CN"/>
        </w:rPr>
        <w:t>、</w:t>
      </w:r>
      <w:r>
        <w:rPr>
          <w:rFonts w:hint="eastAsia" w:ascii="仿宋_GB2312" w:eastAsia="仿宋_GB2312"/>
          <w:sz w:val="28"/>
          <w:szCs w:val="28"/>
        </w:rPr>
        <w:t>财务科</w:t>
      </w:r>
      <w:r>
        <w:rPr>
          <w:rFonts w:hint="eastAsia" w:ascii="仿宋_GB2312" w:eastAsia="仿宋_GB2312"/>
          <w:sz w:val="28"/>
          <w:szCs w:val="28"/>
          <w:lang w:eastAsia="zh-CN"/>
        </w:rPr>
        <w:t>、</w:t>
      </w:r>
      <w:r>
        <w:rPr>
          <w:rFonts w:hint="eastAsia" w:ascii="仿宋_GB2312" w:eastAsia="仿宋_GB2312"/>
          <w:sz w:val="28"/>
          <w:szCs w:val="28"/>
        </w:rPr>
        <w:t>机关党委（党建工作科、人事科）</w:t>
      </w:r>
      <w:r>
        <w:rPr>
          <w:rFonts w:hint="eastAsia" w:ascii="仿宋_GB2312" w:eastAsia="仿宋_GB2312"/>
          <w:sz w:val="28"/>
          <w:szCs w:val="28"/>
          <w:lang w:eastAsia="zh-CN"/>
        </w:rPr>
        <w:t>、</w:t>
      </w:r>
      <w:r>
        <w:rPr>
          <w:rFonts w:hint="eastAsia" w:ascii="仿宋_GB2312" w:eastAsia="仿宋_GB2312"/>
          <w:sz w:val="28"/>
          <w:szCs w:val="28"/>
        </w:rPr>
        <w:t>纪检办公室</w:t>
      </w:r>
      <w:r>
        <w:rPr>
          <w:rFonts w:hint="eastAsia" w:ascii="仿宋_GB2312" w:eastAsia="仿宋_GB2312"/>
          <w:sz w:val="28"/>
          <w:szCs w:val="28"/>
          <w:lang w:eastAsia="zh-CN"/>
        </w:rPr>
        <w:t>。下属</w:t>
      </w:r>
      <w:r>
        <w:rPr>
          <w:rFonts w:hint="eastAsia" w:ascii="仿宋_GB2312" w:eastAsia="仿宋_GB2312"/>
          <w:sz w:val="28"/>
          <w:szCs w:val="28"/>
          <w:lang w:val="en-US" w:eastAsia="zh-CN"/>
        </w:rPr>
        <w:t>1</w:t>
      </w:r>
      <w:r>
        <w:rPr>
          <w:rFonts w:hint="eastAsia" w:ascii="仿宋_GB2312" w:eastAsia="仿宋_GB2312"/>
          <w:sz w:val="28"/>
          <w:szCs w:val="28"/>
        </w:rPr>
        <w:t>个行政执法机构</w:t>
      </w:r>
      <w:r>
        <w:rPr>
          <w:rFonts w:hint="eastAsia" w:ascii="仿宋_GB2312" w:eastAsia="仿宋_GB2312"/>
          <w:sz w:val="28"/>
          <w:szCs w:val="28"/>
          <w:lang w:eastAsia="zh-CN"/>
        </w:rPr>
        <w:t>，具体单位名称：</w:t>
      </w:r>
      <w:r>
        <w:rPr>
          <w:rFonts w:hint="eastAsia" w:ascii="仿宋_GB2312" w:eastAsia="仿宋_GB2312"/>
          <w:sz w:val="28"/>
          <w:szCs w:val="28"/>
        </w:rPr>
        <w:t>北京市丰台区规划和自然资源执法队</w:t>
      </w:r>
      <w:r>
        <w:rPr>
          <w:rFonts w:hint="eastAsia" w:ascii="仿宋_GB2312" w:eastAsia="仿宋_GB2312"/>
          <w:sz w:val="28"/>
          <w:szCs w:val="28"/>
          <w:lang w:eastAsia="zh-CN"/>
        </w:rPr>
        <w:t>，</w:t>
      </w:r>
      <w:r>
        <w:rPr>
          <w:rFonts w:hint="eastAsia" w:ascii="仿宋_GB2312" w:eastAsia="仿宋_GB2312"/>
          <w:sz w:val="28"/>
          <w:szCs w:val="28"/>
          <w:lang w:val="en-US" w:eastAsia="zh-CN"/>
        </w:rPr>
        <w:t>1</w:t>
      </w:r>
      <w:r>
        <w:rPr>
          <w:rFonts w:hint="eastAsia" w:ascii="仿宋_GB2312" w:eastAsia="仿宋_GB2312"/>
          <w:sz w:val="28"/>
          <w:szCs w:val="28"/>
        </w:rPr>
        <w:t>个参照公务员法管理事业单位</w:t>
      </w:r>
      <w:r>
        <w:rPr>
          <w:rFonts w:hint="eastAsia" w:ascii="仿宋_GB2312" w:eastAsia="仿宋_GB2312"/>
          <w:sz w:val="28"/>
          <w:szCs w:val="28"/>
          <w:lang w:eastAsia="zh-CN"/>
        </w:rPr>
        <w:t>，具体单位名称：</w:t>
      </w:r>
      <w:r>
        <w:rPr>
          <w:rFonts w:hint="eastAsia" w:ascii="仿宋_GB2312" w:eastAsia="仿宋_GB2312"/>
          <w:sz w:val="28"/>
          <w:szCs w:val="28"/>
        </w:rPr>
        <w:t>北京市丰台区不动产登记中心</w:t>
      </w:r>
      <w:r>
        <w:rPr>
          <w:rFonts w:hint="eastAsia" w:ascii="仿宋_GB2312" w:eastAsia="仿宋_GB2312"/>
          <w:sz w:val="28"/>
          <w:szCs w:val="28"/>
          <w:lang w:eastAsia="zh-CN"/>
        </w:rPr>
        <w:t>，</w:t>
      </w:r>
      <w:r>
        <w:rPr>
          <w:rFonts w:hint="eastAsia" w:ascii="仿宋_GB2312" w:eastAsia="仿宋_GB2312"/>
          <w:sz w:val="28"/>
          <w:szCs w:val="28"/>
          <w:lang w:val="en-US" w:eastAsia="zh-CN"/>
        </w:rPr>
        <w:t>1</w:t>
      </w:r>
      <w:r>
        <w:rPr>
          <w:rFonts w:hint="eastAsia" w:ascii="仿宋_GB2312" w:eastAsia="仿宋_GB2312"/>
          <w:sz w:val="28"/>
          <w:szCs w:val="28"/>
        </w:rPr>
        <w:t>个事业单位</w:t>
      </w:r>
      <w:r>
        <w:rPr>
          <w:rFonts w:hint="eastAsia" w:ascii="仿宋_GB2312" w:eastAsia="仿宋_GB2312"/>
          <w:sz w:val="28"/>
          <w:szCs w:val="28"/>
          <w:lang w:eastAsia="zh-CN"/>
        </w:rPr>
        <w:t>，具体单位名称：</w:t>
      </w:r>
      <w:r>
        <w:rPr>
          <w:rFonts w:hint="eastAsia" w:ascii="仿宋_GB2312" w:eastAsia="仿宋_GB2312"/>
          <w:sz w:val="28"/>
          <w:szCs w:val="28"/>
        </w:rPr>
        <w:t>北京市丰台区规划和自然资源综合事务中心</w:t>
      </w:r>
      <w:r>
        <w:rPr>
          <w:rFonts w:hint="eastAsia" w:ascii="仿宋_GB2312" w:eastAsia="仿宋_GB2312"/>
          <w:sz w:val="28"/>
          <w:szCs w:val="28"/>
          <w:lang w:eastAsia="zh-CN"/>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eastAsia="zh-CN"/>
        </w:rPr>
        <w:t>本单位主要负责：</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履行本区全民所有土地、矿产、森林、湿地、水等自然资源资产所有者职责和所有国土空间用途管制职责，宣传、贯彻、实施国家关于自然资源和国土空间规划及测绘、勘察设计管理等方面的法律、法规、规章、政策和标准。</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2.</w:t>
      </w:r>
      <w:r>
        <w:rPr>
          <w:rFonts w:hint="default" w:ascii="仿宋_GB2312" w:eastAsia="仿宋_GB2312"/>
          <w:sz w:val="28"/>
          <w:szCs w:val="28"/>
          <w:lang w:val="en-US" w:eastAsia="zh-CN"/>
        </w:rPr>
        <w:t>贯彻落实北京城市总体规划，按规定组织编制、实施本区国土空间规划、分区规划、控制性详细规划和公共服务、公共安全设施、城市基础设施、城市地下空间等专项规划。组织编制镇（乡）域规划。组织开展国土空间规划实施监测、评估和预</w:t>
      </w:r>
      <w:r>
        <w:rPr>
          <w:rFonts w:hint="eastAsia" w:ascii="仿宋_GB2312" w:eastAsia="仿宋_GB2312"/>
          <w:sz w:val="28"/>
          <w:szCs w:val="28"/>
          <w:lang w:val="en-US" w:eastAsia="zh-CN"/>
        </w:rPr>
        <w:t>警及城市体检评估工作。承担</w:t>
      </w:r>
      <w:r>
        <w:rPr>
          <w:rFonts w:hint="default" w:ascii="仿宋_GB2312" w:eastAsia="仿宋_GB2312"/>
          <w:sz w:val="28"/>
          <w:szCs w:val="28"/>
          <w:lang w:val="en-US" w:eastAsia="zh-CN"/>
        </w:rPr>
        <w:t>城市设计工作。承担城市雕塑和公共</w:t>
      </w:r>
      <w:r>
        <w:rPr>
          <w:rFonts w:hint="eastAsia" w:ascii="仿宋_GB2312" w:eastAsia="仿宋_GB2312"/>
          <w:sz w:val="28"/>
          <w:szCs w:val="28"/>
          <w:lang w:val="en-US" w:eastAsia="zh-CN"/>
        </w:rPr>
        <w:t>空间景观风貌规划管理</w:t>
      </w:r>
      <w:r>
        <w:rPr>
          <w:rFonts w:hint="default" w:ascii="仿宋_GB2312" w:eastAsia="仿宋_GB2312"/>
          <w:sz w:val="28"/>
          <w:szCs w:val="28"/>
          <w:lang w:val="en-US" w:eastAsia="zh-CN"/>
        </w:rPr>
        <w:t>工作。依法审查村庄规划。</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3.负责本区国土空间</w:t>
      </w:r>
      <w:r>
        <w:rPr>
          <w:rFonts w:hint="default" w:ascii="仿宋_GB2312" w:eastAsia="仿宋_GB2312"/>
          <w:sz w:val="28"/>
          <w:szCs w:val="28"/>
          <w:lang w:val="en-US" w:eastAsia="zh-CN"/>
        </w:rPr>
        <w:t>用途管制工作。负责自然资源和国土空间规划的实施管理</w:t>
      </w:r>
      <w:r>
        <w:rPr>
          <w:rFonts w:hint="eastAsia" w:ascii="仿宋_GB2312" w:eastAsia="仿宋_GB2312"/>
          <w:sz w:val="28"/>
          <w:szCs w:val="28"/>
          <w:lang w:val="en-US" w:eastAsia="zh-CN"/>
        </w:rPr>
        <w:t>。组织拟订并</w:t>
      </w:r>
      <w:r>
        <w:rPr>
          <w:rFonts w:hint="default" w:ascii="仿宋_GB2312" w:eastAsia="仿宋_GB2312"/>
          <w:sz w:val="28"/>
          <w:szCs w:val="28"/>
          <w:lang w:val="en-US" w:eastAsia="zh-CN"/>
        </w:rPr>
        <w:t>实施土地等自然资源年度利用计划。负责工程</w:t>
      </w:r>
      <w:r>
        <w:rPr>
          <w:rFonts w:hint="eastAsia" w:ascii="仿宋_GB2312" w:eastAsia="仿宋_GB2312"/>
          <w:sz w:val="28"/>
          <w:szCs w:val="28"/>
          <w:lang w:val="en-US" w:eastAsia="zh-CN"/>
        </w:rPr>
        <w:t>建设</w:t>
      </w:r>
      <w:r>
        <w:rPr>
          <w:rFonts w:hint="default" w:ascii="仿宋_GB2312" w:eastAsia="仿宋_GB2312"/>
          <w:sz w:val="28"/>
          <w:szCs w:val="28"/>
          <w:lang w:val="en-US" w:eastAsia="zh-CN"/>
        </w:rPr>
        <w:t>目</w:t>
      </w:r>
      <w:r>
        <w:rPr>
          <w:rFonts w:hint="eastAsia" w:ascii="仿宋_GB2312" w:eastAsia="仿宋_GB2312"/>
          <w:sz w:val="28"/>
          <w:szCs w:val="28"/>
          <w:lang w:val="en-US" w:eastAsia="zh-CN"/>
        </w:rPr>
        <w:t>规划和</w:t>
      </w:r>
      <w:r>
        <w:rPr>
          <w:rFonts w:hint="default" w:ascii="仿宋_GB2312" w:eastAsia="仿宋_GB2312"/>
          <w:sz w:val="28"/>
          <w:szCs w:val="28"/>
          <w:lang w:val="en-US" w:eastAsia="zh-CN"/>
        </w:rPr>
        <w:t>用地管理相关工作。</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4.</w:t>
      </w:r>
      <w:r>
        <w:rPr>
          <w:rFonts w:hint="default" w:ascii="仿宋_GB2312" w:eastAsia="仿宋_GB2312"/>
          <w:sz w:val="28"/>
          <w:szCs w:val="28"/>
          <w:lang w:val="en-US" w:eastAsia="zh-CN"/>
        </w:rPr>
        <w:t>负责本区自然资源调查监测评价工作。组织自然资源基础调查、专项调查和监测</w:t>
      </w:r>
      <w:r>
        <w:rPr>
          <w:rFonts w:hint="eastAsia" w:ascii="仿宋_GB2312" w:eastAsia="仿宋_GB2312"/>
          <w:sz w:val="28"/>
          <w:szCs w:val="28"/>
          <w:lang w:val="en-US" w:eastAsia="zh-CN"/>
        </w:rPr>
        <w:t>。</w:t>
      </w:r>
      <w:r>
        <w:rPr>
          <w:rFonts w:hint="default" w:ascii="仿宋_GB2312" w:eastAsia="仿宋_GB2312"/>
          <w:sz w:val="28"/>
          <w:szCs w:val="28"/>
          <w:lang w:val="en-US" w:eastAsia="zh-CN"/>
        </w:rPr>
        <w:t>负责自然资源和不动产统一确权登记工作。依法调处相关权属纠纷。</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5.</w:t>
      </w:r>
      <w:r>
        <w:rPr>
          <w:rFonts w:hint="default" w:ascii="仿宋_GB2312" w:eastAsia="仿宋_GB2312"/>
          <w:sz w:val="28"/>
          <w:szCs w:val="28"/>
          <w:lang w:val="en-US" w:eastAsia="zh-CN"/>
        </w:rPr>
        <w:t>负责本区自然资源资产有偿使用工作。负责全民所有自然资源资产核算，编制全民所有自然资源资产负债表。负责自然资源资产价值评估管理，依法收缴相关资产收益。负责自然资源的合理开发利用。</w:t>
      </w:r>
      <w:r>
        <w:rPr>
          <w:rFonts w:hint="eastAsia" w:ascii="仿宋_GB2312" w:eastAsia="仿宋_GB2312"/>
          <w:sz w:val="28"/>
          <w:szCs w:val="28"/>
          <w:lang w:val="en-US" w:eastAsia="zh-CN"/>
        </w:rPr>
        <w:t>组织开展</w:t>
      </w:r>
      <w:r>
        <w:rPr>
          <w:rFonts w:hint="default" w:ascii="仿宋_GB2312" w:eastAsia="仿宋_GB2312"/>
          <w:sz w:val="28"/>
          <w:szCs w:val="28"/>
          <w:lang w:val="en-US" w:eastAsia="zh-CN"/>
        </w:rPr>
        <w:t>自然资源分等定级价格</w:t>
      </w:r>
      <w:r>
        <w:rPr>
          <w:rFonts w:hint="eastAsia" w:ascii="仿宋_GB2312" w:eastAsia="仿宋_GB2312"/>
          <w:sz w:val="28"/>
          <w:szCs w:val="28"/>
          <w:lang w:val="en-US" w:eastAsia="zh-CN"/>
        </w:rPr>
        <w:t>评估</w:t>
      </w:r>
      <w:r>
        <w:rPr>
          <w:rFonts w:hint="default" w:ascii="仿宋_GB2312" w:eastAsia="仿宋_GB2312"/>
          <w:sz w:val="28"/>
          <w:szCs w:val="28"/>
          <w:lang w:val="en-US" w:eastAsia="zh-CN"/>
        </w:rPr>
        <w:t>，开展自然资源利用评价考核，指导节约集约利用。负责自然资源市场监管。</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6.</w:t>
      </w:r>
      <w:r>
        <w:rPr>
          <w:rFonts w:hint="default" w:ascii="仿宋_GB2312" w:eastAsia="仿宋_GB2312"/>
          <w:sz w:val="28"/>
          <w:szCs w:val="28"/>
          <w:lang w:val="en-US" w:eastAsia="zh-CN"/>
        </w:rPr>
        <w:t>负责本区耕地保护、基</w:t>
      </w:r>
      <w:r>
        <w:rPr>
          <w:rFonts w:hint="eastAsia" w:ascii="仿宋_GB2312" w:eastAsia="仿宋_GB2312"/>
          <w:sz w:val="28"/>
          <w:szCs w:val="28"/>
          <w:lang w:val="en-US" w:eastAsia="zh-CN"/>
        </w:rPr>
        <w:t>本</w:t>
      </w:r>
      <w:r>
        <w:rPr>
          <w:rFonts w:hint="default" w:ascii="仿宋_GB2312" w:eastAsia="仿宋_GB2312"/>
          <w:sz w:val="28"/>
          <w:szCs w:val="28"/>
          <w:lang w:val="en-US" w:eastAsia="zh-CN"/>
        </w:rPr>
        <w:t>农田保护管理。负责国土空间用途转用工作</w:t>
      </w:r>
      <w:r>
        <w:rPr>
          <w:rFonts w:hint="eastAsia" w:ascii="仿宋_GB2312" w:eastAsia="仿宋_GB2312"/>
          <w:sz w:val="28"/>
          <w:szCs w:val="28"/>
          <w:lang w:val="en-US" w:eastAsia="zh-CN"/>
        </w:rPr>
        <w:t>。</w:t>
      </w:r>
      <w:r>
        <w:rPr>
          <w:rFonts w:hint="default" w:ascii="仿宋_GB2312" w:eastAsia="仿宋_GB2312"/>
          <w:sz w:val="28"/>
          <w:szCs w:val="28"/>
          <w:lang w:val="en-US" w:eastAsia="zh-CN"/>
        </w:rPr>
        <w:t>负责土地征收征用管理。负责耕地占补平衡管理。组织实施土地整理复垦</w:t>
      </w:r>
      <w:r>
        <w:rPr>
          <w:rFonts w:hint="eastAsia" w:ascii="仿宋_GB2312" w:eastAsia="仿宋_GB2312"/>
          <w:sz w:val="28"/>
          <w:szCs w:val="28"/>
          <w:lang w:val="en-US" w:eastAsia="zh-CN"/>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7.</w:t>
      </w:r>
      <w:r>
        <w:rPr>
          <w:rFonts w:hint="default" w:ascii="仿宋_GB2312" w:eastAsia="仿宋_GB2312"/>
          <w:sz w:val="28"/>
          <w:szCs w:val="28"/>
          <w:lang w:val="en-US" w:eastAsia="zh-CN"/>
        </w:rPr>
        <w:t>负责统筹本</w:t>
      </w:r>
      <w:r>
        <w:rPr>
          <w:rFonts w:hint="eastAsia" w:ascii="仿宋_GB2312" w:eastAsia="仿宋_GB2312"/>
          <w:sz w:val="28"/>
          <w:szCs w:val="28"/>
          <w:lang w:val="en-US" w:eastAsia="zh-CN"/>
        </w:rPr>
        <w:t>区</w:t>
      </w:r>
      <w:r>
        <w:rPr>
          <w:rFonts w:hint="default" w:ascii="仿宋_GB2312" w:eastAsia="仿宋_GB2312"/>
          <w:sz w:val="28"/>
          <w:szCs w:val="28"/>
          <w:lang w:val="en-US" w:eastAsia="zh-CN"/>
        </w:rPr>
        <w:t>国土空间生态修复</w:t>
      </w:r>
      <w:r>
        <w:rPr>
          <w:rFonts w:hint="eastAsia" w:ascii="仿宋_GB2312" w:eastAsia="仿宋_GB2312"/>
          <w:sz w:val="28"/>
          <w:szCs w:val="28"/>
          <w:lang w:val="en-US" w:eastAsia="zh-CN"/>
        </w:rPr>
        <w:t>。</w:t>
      </w:r>
      <w:r>
        <w:rPr>
          <w:rFonts w:hint="default" w:ascii="仿宋_GB2312" w:eastAsia="仿宋_GB2312"/>
          <w:sz w:val="28"/>
          <w:szCs w:val="28"/>
          <w:lang w:val="en-US" w:eastAsia="zh-CN"/>
        </w:rPr>
        <w:t>牵头组织编制国土空间生态修复规划并实施有巡生态修复工程。</w:t>
      </w:r>
      <w:r>
        <w:rPr>
          <w:rFonts w:hint="eastAsia" w:ascii="仿宋_GB2312" w:eastAsia="仿宋_GB2312"/>
          <w:sz w:val="28"/>
          <w:szCs w:val="28"/>
          <w:lang w:val="en-US" w:eastAsia="zh-CN"/>
        </w:rPr>
        <w:t>负责</w:t>
      </w:r>
      <w:r>
        <w:rPr>
          <w:rFonts w:hint="default" w:ascii="仿宋_GB2312" w:eastAsia="仿宋_GB2312"/>
          <w:sz w:val="28"/>
          <w:szCs w:val="28"/>
          <w:lang w:val="en-US" w:eastAsia="zh-CN"/>
        </w:rPr>
        <w:t>国土空间综合整治、矿山地质环境恢复治理等工作</w:t>
      </w:r>
      <w:r>
        <w:rPr>
          <w:rFonts w:hint="eastAsia" w:ascii="仿宋_GB2312" w:eastAsia="仿宋_GB2312"/>
          <w:sz w:val="28"/>
          <w:szCs w:val="28"/>
          <w:lang w:val="en-US" w:eastAsia="zh-CN"/>
        </w:rPr>
        <w:t>。</w:t>
      </w:r>
      <w:r>
        <w:rPr>
          <w:rFonts w:hint="default" w:ascii="仿宋_GB2312" w:eastAsia="仿宋_GB2312"/>
          <w:sz w:val="28"/>
          <w:szCs w:val="28"/>
          <w:lang w:val="en-US" w:eastAsia="zh-CN"/>
        </w:rPr>
        <w:t>负责地质灾害预防和治理，承担地质灾害应急救援的技术支撑工作。负责矿产资源合理利用和保护的监督管理。</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8.</w:t>
      </w:r>
      <w:r>
        <w:rPr>
          <w:rFonts w:hint="default" w:ascii="仿宋_GB2312" w:eastAsia="仿宋_GB2312"/>
          <w:sz w:val="28"/>
          <w:szCs w:val="28"/>
          <w:lang w:val="en-US" w:eastAsia="zh-CN"/>
        </w:rPr>
        <w:t>负责本区自然资源和国土空间规划方面的科技、信息化建设以及统计工作。承担勘察设计、测绘相关监督管理工作。承担自然资源和国土空间规划相关档案的管理工作。</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9.</w:t>
      </w:r>
      <w:r>
        <w:rPr>
          <w:rFonts w:hint="default" w:ascii="仿宋_GB2312" w:eastAsia="仿宋_GB2312"/>
          <w:sz w:val="28"/>
          <w:szCs w:val="28"/>
          <w:lang w:val="en-US" w:eastAsia="zh-CN"/>
        </w:rPr>
        <w:t>负责本区自然资源和国土空间规划管理的督察工作。依法承担工程建设项目的规划核验。查处自然资源开发利用和国土空间规划及勘察设计、测绘违法案件。</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10.</w:t>
      </w:r>
      <w:r>
        <w:rPr>
          <w:rFonts w:hint="default" w:ascii="仿宋_GB2312" w:eastAsia="仿宋_GB2312"/>
          <w:sz w:val="28"/>
          <w:szCs w:val="28"/>
          <w:lang w:val="en-US" w:eastAsia="zh-CN"/>
        </w:rPr>
        <w:t>完成市规划自然资源委和区委、区政府交办的其他任务。</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11.职能转变。分局要贯彻落实党中央、国务院批复的《北京城市总体规划（2016年一2035年）》,落实中央和市委关于统一行使全民所有自然资源资产所有者职责，统一行使所有国土空间用途管制和生态保护修复职责的要求，强化顶层设计，发挥国土空间规划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有关行政审批事项、强化监管力度，充务发挥市场对资源配置的决定性作用，更好发挥政府作用，强化自然资源管理规则、标准、制度的约束性作用，推进自然资源确权登记和评估的便民高效。</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（二）人员构成情况</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114</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107</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130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104</w:t>
      </w:r>
      <w:r>
        <w:rPr>
          <w:rFonts w:hint="eastAsia" w:ascii="仿宋_GB2312" w:eastAsia="仿宋_GB2312"/>
          <w:kern w:val="0"/>
          <w:sz w:val="28"/>
          <w:szCs w:val="28"/>
        </w:rPr>
        <w:t>人。</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黑体" w:eastAsia="黑体"/>
          <w:b/>
          <w:sz w:val="28"/>
          <w:szCs w:val="28"/>
        </w:rPr>
      </w:pPr>
      <w:r>
        <w:rPr>
          <w:rFonts w:hint="eastAsia" w:ascii="黑体" w:eastAsia="黑体"/>
          <w:b/>
          <w:sz w:val="28"/>
          <w:szCs w:val="28"/>
        </w:rPr>
        <w:t>二、收入支出决算总体情况说明</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18860.12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2854.10</w:t>
      </w:r>
      <w:r>
        <w:rPr>
          <w:rFonts w:hint="eastAsia" w:ascii="仿宋_GB2312" w:eastAsia="仿宋_GB2312"/>
          <w:sz w:val="28"/>
          <w:szCs w:val="28"/>
        </w:rPr>
        <w:t>万元，下降</w:t>
      </w:r>
      <w:r>
        <w:rPr>
          <w:rFonts w:hint="eastAsia" w:ascii="仿宋_GB2312" w:eastAsia="仿宋_GB2312"/>
          <w:sz w:val="28"/>
          <w:szCs w:val="28"/>
          <w:lang w:val="en-US" w:eastAsia="zh-CN"/>
        </w:rPr>
        <w:t>13.14</w:t>
      </w:r>
      <w:r>
        <w:rPr>
          <w:rFonts w:hint="eastAsia" w:ascii="仿宋_GB2312" w:eastAsia="仿宋_GB2312"/>
          <w:sz w:val="28"/>
          <w:szCs w:val="28"/>
        </w:rPr>
        <w:t>%。</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13718.19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3898.33</w:t>
      </w:r>
      <w:r>
        <w:rPr>
          <w:rFonts w:hint="eastAsia" w:ascii="仿宋_GB2312" w:eastAsia="仿宋_GB2312"/>
          <w:sz w:val="28"/>
          <w:szCs w:val="28"/>
        </w:rPr>
        <w:t>万元，下降</w:t>
      </w:r>
      <w:r>
        <w:rPr>
          <w:rFonts w:hint="eastAsia" w:ascii="仿宋_GB2312" w:eastAsia="仿宋_GB2312"/>
          <w:sz w:val="28"/>
          <w:szCs w:val="28"/>
          <w:lang w:val="en-US" w:eastAsia="zh-CN"/>
        </w:rPr>
        <w:t>22.13</w:t>
      </w:r>
      <w:r>
        <w:rPr>
          <w:rFonts w:hint="eastAsia" w:ascii="仿宋_GB2312" w:eastAsia="仿宋_GB2312"/>
          <w:sz w:val="28"/>
          <w:szCs w:val="28"/>
        </w:rPr>
        <w:t>%</w:t>
      </w:r>
      <w:r>
        <w:rPr>
          <w:rFonts w:hint="eastAsia" w:ascii="仿宋_GB2312" w:eastAsia="仿宋_GB2312"/>
          <w:sz w:val="28"/>
          <w:szCs w:val="28"/>
          <w:lang w:eastAsia="zh-CN"/>
        </w:rPr>
        <w:t>。</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rPr>
      </w:pPr>
      <w:r>
        <w:rPr>
          <w:rFonts w:hint="eastAsia" w:ascii="仿宋_GB2312" w:eastAsia="仿宋_GB2312"/>
          <w:sz w:val="28"/>
          <w:szCs w:val="28"/>
        </w:rPr>
        <w:t>1.财政拨款收入</w:t>
      </w:r>
      <w:r>
        <w:rPr>
          <w:rFonts w:ascii="仿宋_GB2312" w:eastAsia="仿宋_GB2312"/>
          <w:sz w:val="28"/>
          <w:szCs w:val="28"/>
        </w:rPr>
        <w:t>9480.45</w:t>
      </w:r>
      <w:r>
        <w:rPr>
          <w:rFonts w:hint="eastAsia" w:ascii="仿宋_GB2312" w:eastAsia="仿宋_GB2312"/>
          <w:sz w:val="28"/>
          <w:szCs w:val="28"/>
        </w:rPr>
        <w:t>万元，占收入合计的</w:t>
      </w:r>
      <w:r>
        <w:rPr>
          <w:rFonts w:ascii="仿宋_GB2312" w:eastAsia="仿宋_GB2312"/>
          <w:sz w:val="28"/>
          <w:szCs w:val="28"/>
        </w:rPr>
        <w:t>69.1</w:t>
      </w:r>
      <w:r>
        <w:rPr>
          <w:rFonts w:hint="eastAsia" w:ascii="仿宋_GB2312" w:eastAsia="仿宋_GB2312"/>
          <w:sz w:val="28"/>
          <w:szCs w:val="28"/>
        </w:rPr>
        <w:t>%。其中：一般公共预算财政拨款收入</w:t>
      </w:r>
      <w:r>
        <w:rPr>
          <w:rFonts w:ascii="仿宋_GB2312" w:eastAsia="仿宋_GB2312"/>
          <w:sz w:val="28"/>
          <w:szCs w:val="28"/>
        </w:rPr>
        <w:t>9265.7</w:t>
      </w:r>
      <w:r>
        <w:rPr>
          <w:rFonts w:hint="eastAsia" w:ascii="仿宋_GB2312" w:eastAsia="仿宋_GB2312"/>
          <w:sz w:val="28"/>
          <w:szCs w:val="28"/>
        </w:rPr>
        <w:t>万元，占收入合计的</w:t>
      </w:r>
      <w:r>
        <w:rPr>
          <w:rFonts w:ascii="仿宋_GB2312" w:eastAsia="仿宋_GB2312"/>
          <w:sz w:val="28"/>
          <w:szCs w:val="28"/>
        </w:rPr>
        <w:t>67.54</w:t>
      </w:r>
      <w:r>
        <w:rPr>
          <w:rFonts w:hint="eastAsia" w:ascii="仿宋_GB2312" w:eastAsia="仿宋_GB2312"/>
          <w:sz w:val="28"/>
          <w:szCs w:val="28"/>
        </w:rPr>
        <w:t>%；政府性基金预算财政拨款收入</w:t>
      </w:r>
      <w:r>
        <w:rPr>
          <w:rFonts w:ascii="仿宋_GB2312" w:eastAsia="仿宋_GB2312"/>
          <w:sz w:val="28"/>
          <w:szCs w:val="28"/>
        </w:rPr>
        <w:t>214.75</w:t>
      </w:r>
      <w:r>
        <w:rPr>
          <w:rFonts w:hint="eastAsia" w:ascii="仿宋_GB2312" w:eastAsia="仿宋_GB2312"/>
          <w:sz w:val="28"/>
          <w:szCs w:val="28"/>
        </w:rPr>
        <w:t>万元，占收入合计的</w:t>
      </w:r>
      <w:r>
        <w:rPr>
          <w:rFonts w:ascii="仿宋_GB2312" w:eastAsia="仿宋_GB2312"/>
          <w:sz w:val="28"/>
          <w:szCs w:val="28"/>
        </w:rPr>
        <w:t>1.56</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4237.74</w:t>
      </w:r>
      <w:r>
        <w:rPr>
          <w:rFonts w:hint="eastAsia" w:ascii="仿宋_GB2312" w:eastAsia="仿宋_GB2312"/>
          <w:sz w:val="28"/>
          <w:szCs w:val="28"/>
        </w:rPr>
        <w:t>万元，占收入合计的</w:t>
      </w:r>
      <w:r>
        <w:rPr>
          <w:rFonts w:ascii="仿宋_GB2312" w:eastAsia="仿宋_GB2312"/>
          <w:sz w:val="28"/>
          <w:szCs w:val="28"/>
        </w:rPr>
        <w:t>30.89</w:t>
      </w:r>
      <w:r>
        <w:rPr>
          <w:rFonts w:hint="eastAsia" w:ascii="仿宋_GB2312" w:eastAsia="仿宋_GB2312"/>
          <w:sz w:val="28"/>
          <w:szCs w:val="28"/>
        </w:rPr>
        <w:t>%。</w:t>
      </w:r>
    </w:p>
    <w:p>
      <w:pPr>
        <w:pStyle w:val="3"/>
        <w:pageBreakBefore w:val="0"/>
        <w:widowControl w:val="0"/>
        <w:kinsoku/>
        <w:wordWrap/>
        <w:overflowPunct/>
        <w:topLinePunct w:val="0"/>
        <w:bidi w:val="0"/>
        <w:snapToGrid/>
        <w:ind w:firstLine="640" w:firstLineChars="200"/>
        <w:jc w:val="center"/>
        <w:textAlignment w:val="auto"/>
        <w:rPr>
          <w:rFonts w:hint="default"/>
          <w:lang w:val="en-US"/>
        </w:rPr>
      </w:pPr>
      <w:r>
        <w:rPr>
          <w:rFonts w:hint="eastAsia" w:ascii="仿宋_GB2312" w:eastAsia="仿宋_GB2312"/>
          <w:color w:val="000000"/>
          <w:sz w:val="32"/>
          <w:szCs w:val="32"/>
          <w:highlight w:val="none"/>
          <w:lang w:val="en-US" w:eastAsia="zh-CN"/>
        </w:rPr>
        <w:t>图1：收入决算</w:t>
      </w:r>
    </w:p>
    <w:p>
      <w:pPr>
        <w:pageBreakBefore w:val="0"/>
        <w:widowControl w:val="0"/>
        <w:kinsoku/>
        <w:wordWrap/>
        <w:overflowPunct/>
        <w:topLinePunct w:val="0"/>
        <w:bidi w:val="0"/>
        <w:snapToGrid/>
        <w:ind w:firstLine="420" w:firstLineChars="200"/>
        <w:jc w:val="center"/>
        <w:textAlignment w:val="auto"/>
        <w:rPr>
          <w:rFonts w:hint="eastAsia"/>
          <w:lang w:val="en-US" w:eastAsia="zh-CN"/>
        </w:rPr>
      </w:pPr>
      <w:r>
        <w:rPr>
          <w:rFonts w:hint="eastAsia"/>
          <w:lang w:val="en-US" w:eastAsia="zh-CN"/>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16650.5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209.16</w:t>
      </w:r>
      <w:r>
        <w:rPr>
          <w:rFonts w:hint="eastAsia" w:ascii="仿宋_GB2312" w:eastAsia="仿宋_GB2312"/>
          <w:sz w:val="28"/>
          <w:szCs w:val="28"/>
        </w:rPr>
        <w:t>万元，增长</w:t>
      </w:r>
      <w:r>
        <w:rPr>
          <w:rFonts w:hint="eastAsia" w:ascii="仿宋_GB2312" w:eastAsia="仿宋_GB2312"/>
          <w:sz w:val="28"/>
          <w:szCs w:val="28"/>
          <w:lang w:val="en-US" w:eastAsia="zh-CN"/>
        </w:rPr>
        <w:t>1.27</w:t>
      </w:r>
      <w:r>
        <w:rPr>
          <w:rFonts w:hint="eastAsia" w:ascii="仿宋_GB2312" w:eastAsia="仿宋_GB2312"/>
          <w:sz w:val="28"/>
          <w:szCs w:val="28"/>
        </w:rPr>
        <w:t>%，其中：基本支出</w:t>
      </w:r>
      <w:r>
        <w:rPr>
          <w:rFonts w:ascii="仿宋_GB2312" w:eastAsia="仿宋_GB2312"/>
          <w:sz w:val="28"/>
          <w:szCs w:val="28"/>
        </w:rPr>
        <w:t>7195.84</w:t>
      </w:r>
      <w:r>
        <w:rPr>
          <w:rFonts w:hint="eastAsia" w:ascii="仿宋_GB2312" w:eastAsia="仿宋_GB2312"/>
          <w:sz w:val="28"/>
          <w:szCs w:val="28"/>
        </w:rPr>
        <w:t>万元，占支出合计的</w:t>
      </w:r>
      <w:r>
        <w:rPr>
          <w:rFonts w:ascii="仿宋_GB2312" w:eastAsia="仿宋_GB2312"/>
          <w:sz w:val="28"/>
          <w:szCs w:val="28"/>
        </w:rPr>
        <w:t>43.21</w:t>
      </w:r>
      <w:r>
        <w:rPr>
          <w:rFonts w:hint="eastAsia" w:ascii="仿宋_GB2312" w:eastAsia="仿宋_GB2312"/>
          <w:sz w:val="28"/>
          <w:szCs w:val="28"/>
        </w:rPr>
        <w:t>%；项目支出</w:t>
      </w:r>
      <w:r>
        <w:rPr>
          <w:rFonts w:ascii="仿宋_GB2312" w:eastAsia="仿宋_GB2312"/>
          <w:sz w:val="28"/>
          <w:szCs w:val="28"/>
        </w:rPr>
        <w:t>9454.66</w:t>
      </w:r>
      <w:r>
        <w:rPr>
          <w:rFonts w:hint="eastAsia" w:ascii="仿宋_GB2312" w:eastAsia="仿宋_GB2312"/>
          <w:sz w:val="28"/>
          <w:szCs w:val="28"/>
        </w:rPr>
        <w:t>万元，占支出合计的</w:t>
      </w:r>
      <w:r>
        <w:rPr>
          <w:rFonts w:ascii="仿宋_GB2312" w:eastAsia="仿宋_GB2312"/>
          <w:sz w:val="28"/>
          <w:szCs w:val="28"/>
        </w:rPr>
        <w:t>56.78</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pageBreakBefore w:val="0"/>
        <w:widowControl w:val="0"/>
        <w:kinsoku/>
        <w:wordWrap/>
        <w:overflowPunct/>
        <w:topLinePunct w:val="0"/>
        <w:bidi w:val="0"/>
        <w:snapToGrid/>
        <w:ind w:firstLine="640" w:firstLineChars="200"/>
        <w:jc w:val="center"/>
        <w:textAlignment w:val="auto"/>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pageBreakBefore w:val="0"/>
        <w:widowControl w:val="0"/>
        <w:kinsoku/>
        <w:wordWrap/>
        <w:overflowPunct/>
        <w:topLinePunct w:val="0"/>
        <w:bidi w:val="0"/>
        <w:snapToGrid/>
        <w:ind w:firstLine="420" w:firstLineChars="200"/>
        <w:jc w:val="center"/>
        <w:textAlignment w:val="auto"/>
        <w:rPr>
          <w:rFonts w:hint="eastAsia"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9480.45</w:t>
      </w:r>
      <w:r>
        <w:rPr>
          <w:rFonts w:hint="eastAsia" w:ascii="仿宋_GB2312" w:eastAsia="仿宋_GB2312"/>
          <w:sz w:val="28"/>
          <w:szCs w:val="28"/>
        </w:rPr>
        <w:t>万元，比上年减少</w:t>
      </w:r>
      <w:r>
        <w:rPr>
          <w:rFonts w:hint="eastAsia" w:ascii="仿宋_GB2312" w:eastAsia="仿宋_GB2312"/>
          <w:sz w:val="28"/>
          <w:szCs w:val="28"/>
          <w:lang w:val="en-US" w:eastAsia="zh-CN"/>
        </w:rPr>
        <w:t>111.49</w:t>
      </w:r>
      <w:r>
        <w:rPr>
          <w:rFonts w:hint="eastAsia" w:ascii="仿宋_GB2312" w:eastAsia="仿宋_GB2312"/>
          <w:sz w:val="28"/>
          <w:szCs w:val="28"/>
        </w:rPr>
        <w:t>万元，下降</w:t>
      </w:r>
      <w:r>
        <w:rPr>
          <w:rFonts w:hint="eastAsia" w:ascii="仿宋_GB2312" w:eastAsia="仿宋_GB2312"/>
          <w:sz w:val="28"/>
          <w:szCs w:val="28"/>
          <w:lang w:val="en-US" w:eastAsia="zh-CN"/>
        </w:rPr>
        <w:t>1.16</w:t>
      </w:r>
      <w:r>
        <w:rPr>
          <w:rFonts w:hint="eastAsia" w:ascii="仿宋_GB2312" w:eastAsia="仿宋_GB2312"/>
          <w:sz w:val="28"/>
          <w:szCs w:val="28"/>
        </w:rPr>
        <w:t>%。主要原因：严格落实中央和我市关于政府过紧日子的要求，严格控制和压减一般性支出。</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黑体" w:eastAsia="黑体"/>
          <w:b/>
          <w:sz w:val="28"/>
          <w:szCs w:val="28"/>
        </w:rPr>
      </w:pPr>
      <w:r>
        <w:rPr>
          <w:rFonts w:hint="eastAsia" w:ascii="黑体" w:eastAsia="黑体"/>
          <w:b/>
          <w:sz w:val="28"/>
          <w:szCs w:val="28"/>
        </w:rPr>
        <w:t>四、一般公共预算财政拨款支出决算情况说明</w:t>
      </w:r>
    </w:p>
    <w:p>
      <w:pPr>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9230.46</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教育支出3</w:t>
      </w:r>
      <w:r>
        <w:rPr>
          <w:rFonts w:hint="eastAsia" w:ascii="仿宋_GB2312" w:eastAsia="仿宋_GB2312"/>
          <w:sz w:val="28"/>
          <w:szCs w:val="28"/>
          <w:lang w:val="en-US" w:eastAsia="zh-CN"/>
        </w:rPr>
        <w:t>.</w:t>
      </w:r>
      <w:r>
        <w:rPr>
          <w:rFonts w:hint="eastAsia" w:ascii="仿宋_GB2312" w:eastAsia="仿宋_GB2312"/>
          <w:sz w:val="28"/>
          <w:szCs w:val="28"/>
          <w:lang w:eastAsia="zh-CN"/>
        </w:rPr>
        <w:t>9</w:t>
      </w:r>
      <w:r>
        <w:rPr>
          <w:rFonts w:hint="eastAsia" w:ascii="仿宋_GB2312" w:eastAsia="仿宋_GB2312"/>
          <w:sz w:val="28"/>
          <w:szCs w:val="28"/>
          <w:lang w:val="en-US" w:eastAsia="zh-CN"/>
        </w:rPr>
        <w:t>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社会保障和就业支出</w:t>
      </w:r>
      <w:r>
        <w:rPr>
          <w:rFonts w:hint="eastAsia" w:ascii="仿宋_GB2312" w:eastAsia="仿宋_GB2312"/>
          <w:sz w:val="28"/>
          <w:szCs w:val="28"/>
          <w:lang w:val="en-US" w:eastAsia="zh-CN"/>
        </w:rPr>
        <w:t>788.86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8.55</w:t>
      </w:r>
      <w:r>
        <w:rPr>
          <w:rFonts w:hint="eastAsia" w:ascii="仿宋_GB2312" w:eastAsia="仿宋_GB2312"/>
          <w:sz w:val="28"/>
          <w:szCs w:val="28"/>
        </w:rPr>
        <w:t>%；卫生健康支出</w:t>
      </w:r>
      <w:r>
        <w:rPr>
          <w:rFonts w:hint="eastAsia" w:ascii="仿宋_GB2312" w:eastAsia="仿宋_GB2312"/>
          <w:sz w:val="28"/>
          <w:szCs w:val="28"/>
          <w:lang w:val="en-US" w:eastAsia="zh-CN"/>
        </w:rPr>
        <w:t>481.83万元，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5.22</w:t>
      </w:r>
      <w:r>
        <w:rPr>
          <w:rFonts w:hint="eastAsia" w:ascii="仿宋_GB2312" w:eastAsia="仿宋_GB2312"/>
          <w:sz w:val="28"/>
          <w:szCs w:val="28"/>
        </w:rPr>
        <w:t>%；自然资源海洋气象等支出</w:t>
      </w:r>
      <w:r>
        <w:rPr>
          <w:rFonts w:hint="eastAsia" w:ascii="仿宋_GB2312" w:eastAsia="仿宋_GB2312"/>
          <w:sz w:val="28"/>
          <w:szCs w:val="28"/>
          <w:lang w:val="en-US" w:eastAsia="zh-CN"/>
        </w:rPr>
        <w:t>7930.63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85.92</w:t>
      </w:r>
      <w:r>
        <w:rPr>
          <w:rFonts w:hint="eastAsia" w:ascii="仿宋_GB2312" w:eastAsia="仿宋_GB2312"/>
          <w:sz w:val="28"/>
          <w:szCs w:val="28"/>
        </w:rPr>
        <w:t>%；粮油物资储备支出</w:t>
      </w:r>
      <w:r>
        <w:rPr>
          <w:rFonts w:hint="eastAsia" w:ascii="仿宋_GB2312" w:eastAsia="仿宋_GB2312"/>
          <w:sz w:val="28"/>
          <w:szCs w:val="28"/>
          <w:lang w:val="en-US" w:eastAsia="zh-CN"/>
        </w:rPr>
        <w:t>2.18万元，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0.02</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灾害防治及应急管理支出</w:t>
      </w:r>
      <w:r>
        <w:rPr>
          <w:rFonts w:hint="eastAsia" w:ascii="仿宋_GB2312" w:eastAsia="仿宋_GB2312"/>
          <w:sz w:val="28"/>
          <w:szCs w:val="28"/>
          <w:lang w:val="en-US" w:eastAsia="zh-CN"/>
        </w:rPr>
        <w:t>22.98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0.25</w:t>
      </w:r>
      <w:r>
        <w:rPr>
          <w:rFonts w:hint="eastAsia" w:ascii="仿宋_GB2312" w:eastAsia="仿宋_GB2312"/>
          <w:sz w:val="28"/>
          <w:szCs w:val="28"/>
        </w:rPr>
        <w:t>%。</w:t>
      </w:r>
    </w:p>
    <w:p>
      <w:pPr>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3.98</w:t>
      </w:r>
      <w:r>
        <w:rPr>
          <w:rFonts w:hint="eastAsia" w:ascii="仿宋_GB2312" w:eastAsia="仿宋_GB2312"/>
          <w:sz w:val="28"/>
          <w:szCs w:val="28"/>
        </w:rPr>
        <w:t>万元，比20</w:t>
      </w:r>
      <w:r>
        <w:rPr>
          <w:rFonts w:hint="eastAsia" w:ascii="仿宋_GB2312" w:eastAsia="仿宋_GB2312"/>
          <w:sz w:val="28"/>
          <w:szCs w:val="28"/>
          <w:lang w:val="en-US" w:eastAsia="zh-CN"/>
        </w:rPr>
        <w:t>23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3.62</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47.63</w:t>
      </w:r>
      <w:r>
        <w:rPr>
          <w:rFonts w:hint="eastAsia" w:ascii="仿宋_GB2312" w:eastAsia="仿宋_GB2312"/>
          <w:sz w:val="28"/>
          <w:szCs w:val="28"/>
        </w:rPr>
        <w:t>%。其中：</w:t>
      </w:r>
    </w:p>
    <w:p>
      <w:pPr>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“进修及培训”（款）202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3.98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3.62</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47.637</w:t>
      </w:r>
      <w:r>
        <w:rPr>
          <w:rFonts w:hint="eastAsia" w:ascii="仿宋_GB2312" w:eastAsia="仿宋_GB2312"/>
          <w:sz w:val="28"/>
          <w:szCs w:val="28"/>
        </w:rPr>
        <w:t>%。主要原因：严格落实中央和我市关于政府过紧日子的要求，严格控制和压减一般性支出。</w:t>
      </w:r>
    </w:p>
    <w:p>
      <w:pPr>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w:t>
      </w:r>
      <w:r>
        <w:rPr>
          <w:rFonts w:hint="eastAsia" w:ascii="仿宋_GB2312" w:eastAsia="仿宋_GB2312"/>
          <w:sz w:val="28"/>
          <w:szCs w:val="28"/>
        </w:rPr>
        <w:t>社会保障和就业支出</w:t>
      </w:r>
      <w:r>
        <w:rPr>
          <w:rFonts w:hint="eastAsia" w:ascii="仿宋_GB2312" w:eastAsia="仿宋_GB2312"/>
          <w:sz w:val="28"/>
          <w:szCs w:val="28"/>
          <w:lang w:eastAsia="zh-CN"/>
        </w:rPr>
        <w:t>”</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788.86</w:t>
      </w:r>
      <w:r>
        <w:rPr>
          <w:rFonts w:hint="eastAsia" w:ascii="仿宋_GB2312" w:eastAsia="仿宋_GB2312"/>
          <w:sz w:val="28"/>
          <w:szCs w:val="28"/>
        </w:rPr>
        <w:t>万元，比20</w:t>
      </w:r>
      <w:r>
        <w:rPr>
          <w:rFonts w:hint="eastAsia" w:ascii="仿宋_GB2312" w:eastAsia="仿宋_GB2312"/>
          <w:sz w:val="28"/>
          <w:szCs w:val="28"/>
          <w:lang w:val="en-US" w:eastAsia="zh-CN"/>
        </w:rPr>
        <w:t>23</w:t>
      </w:r>
      <w:r>
        <w:rPr>
          <w:rFonts w:hint="eastAsia" w:ascii="仿宋_GB2312" w:eastAsia="仿宋_GB2312"/>
          <w:sz w:val="28"/>
          <w:szCs w:val="28"/>
        </w:rPr>
        <w:t>年度年初预算增加</w:t>
      </w:r>
      <w:r>
        <w:rPr>
          <w:rFonts w:hint="eastAsia" w:ascii="仿宋_GB2312" w:eastAsia="仿宋_GB2312"/>
          <w:sz w:val="28"/>
          <w:szCs w:val="28"/>
          <w:lang w:val="en-US" w:eastAsia="zh-CN"/>
        </w:rPr>
        <w:t>51.48</w:t>
      </w:r>
      <w:r>
        <w:rPr>
          <w:rFonts w:hint="eastAsia" w:ascii="仿宋_GB2312" w:eastAsia="仿宋_GB2312"/>
          <w:sz w:val="28"/>
          <w:szCs w:val="28"/>
        </w:rPr>
        <w:t>万元，增长</w:t>
      </w:r>
      <w:r>
        <w:rPr>
          <w:rFonts w:hint="eastAsia" w:ascii="仿宋_GB2312" w:eastAsia="仿宋_GB2312"/>
          <w:sz w:val="28"/>
          <w:szCs w:val="28"/>
          <w:lang w:val="en-US" w:eastAsia="zh-CN"/>
        </w:rPr>
        <w:t>6.98</w:t>
      </w:r>
      <w:r>
        <w:rPr>
          <w:rFonts w:hint="eastAsia" w:ascii="仿宋_GB2312" w:eastAsia="仿宋_GB2312"/>
          <w:sz w:val="28"/>
          <w:szCs w:val="28"/>
        </w:rPr>
        <w:t>%。其中：</w:t>
      </w:r>
    </w:p>
    <w:p>
      <w:pPr>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788.86</w:t>
      </w:r>
      <w:r>
        <w:rPr>
          <w:rFonts w:hint="eastAsia" w:ascii="仿宋_GB2312" w:eastAsia="仿宋_GB2312"/>
          <w:sz w:val="28"/>
          <w:szCs w:val="28"/>
        </w:rPr>
        <w:t>万元，比20</w:t>
      </w:r>
      <w:r>
        <w:rPr>
          <w:rFonts w:hint="eastAsia" w:ascii="仿宋_GB2312" w:eastAsia="仿宋_GB2312"/>
          <w:sz w:val="28"/>
          <w:szCs w:val="28"/>
          <w:lang w:val="en-US" w:eastAsia="zh-CN"/>
        </w:rPr>
        <w:t>23</w:t>
      </w:r>
      <w:r>
        <w:rPr>
          <w:rFonts w:hint="eastAsia" w:ascii="仿宋_GB2312" w:eastAsia="仿宋_GB2312"/>
          <w:sz w:val="28"/>
          <w:szCs w:val="28"/>
        </w:rPr>
        <w:t>年度年初预算增加</w:t>
      </w:r>
      <w:r>
        <w:rPr>
          <w:rFonts w:hint="eastAsia" w:ascii="仿宋_GB2312" w:eastAsia="仿宋_GB2312"/>
          <w:sz w:val="28"/>
          <w:szCs w:val="28"/>
          <w:lang w:val="en-US" w:eastAsia="zh-CN"/>
        </w:rPr>
        <w:t>51.48</w:t>
      </w:r>
      <w:r>
        <w:rPr>
          <w:rFonts w:hint="eastAsia" w:ascii="仿宋_GB2312" w:eastAsia="仿宋_GB2312"/>
          <w:sz w:val="28"/>
          <w:szCs w:val="28"/>
        </w:rPr>
        <w:t>万元，增长</w:t>
      </w:r>
      <w:r>
        <w:rPr>
          <w:rFonts w:hint="eastAsia" w:ascii="仿宋_GB2312" w:eastAsia="仿宋_GB2312"/>
          <w:sz w:val="28"/>
          <w:szCs w:val="28"/>
          <w:lang w:val="en-US" w:eastAsia="zh-CN"/>
        </w:rPr>
        <w:t>6.98</w:t>
      </w:r>
      <w:r>
        <w:rPr>
          <w:rFonts w:hint="eastAsia" w:ascii="仿宋_GB2312" w:eastAsia="仿宋_GB2312"/>
          <w:sz w:val="28"/>
          <w:szCs w:val="28"/>
        </w:rPr>
        <w:t>%。主要原因：</w:t>
      </w:r>
      <w:r>
        <w:rPr>
          <w:rFonts w:hint="eastAsia" w:ascii="仿宋_GB2312" w:eastAsia="仿宋_GB2312"/>
          <w:sz w:val="28"/>
          <w:szCs w:val="28"/>
          <w:lang w:val="en-US" w:eastAsia="zh-CN"/>
        </w:rPr>
        <w:t>2023年</w:t>
      </w:r>
      <w:r>
        <w:rPr>
          <w:rFonts w:hint="eastAsia" w:ascii="仿宋_GB2312" w:eastAsia="仿宋_GB2312"/>
          <w:sz w:val="28"/>
          <w:szCs w:val="28"/>
          <w:highlight w:val="none"/>
        </w:rPr>
        <w:t>新招录及调入</w:t>
      </w:r>
      <w:r>
        <w:rPr>
          <w:rFonts w:hint="eastAsia" w:ascii="仿宋_GB2312" w:eastAsia="仿宋_GB2312"/>
          <w:sz w:val="28"/>
          <w:szCs w:val="28"/>
          <w:lang w:eastAsia="zh-CN"/>
        </w:rPr>
        <w:t>人员</w:t>
      </w:r>
      <w:r>
        <w:rPr>
          <w:rFonts w:hint="eastAsia" w:ascii="仿宋_GB2312" w:eastAsia="仿宋_GB2312"/>
          <w:sz w:val="28"/>
          <w:szCs w:val="28"/>
          <w:lang w:val="en-US" w:eastAsia="zh-CN"/>
        </w:rPr>
        <w:t>25人</w:t>
      </w:r>
      <w:r>
        <w:rPr>
          <w:rFonts w:hint="eastAsia" w:ascii="仿宋_GB2312" w:eastAsia="仿宋_GB2312"/>
          <w:sz w:val="28"/>
          <w:szCs w:val="28"/>
          <w:lang w:eastAsia="zh-CN"/>
        </w:rPr>
        <w:t>增加社会保障类支出</w:t>
      </w:r>
      <w:r>
        <w:rPr>
          <w:rFonts w:hint="eastAsia" w:ascii="仿宋_GB2312" w:eastAsia="仿宋_GB2312"/>
          <w:sz w:val="28"/>
          <w:szCs w:val="28"/>
        </w:rPr>
        <w:t>。</w:t>
      </w:r>
    </w:p>
    <w:p>
      <w:pPr>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481.83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29.57</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6.54</w:t>
      </w:r>
      <w:r>
        <w:rPr>
          <w:rFonts w:hint="eastAsia" w:ascii="仿宋_GB2312" w:eastAsia="仿宋_GB2312"/>
          <w:sz w:val="28"/>
          <w:szCs w:val="28"/>
        </w:rPr>
        <w:t>%。其中：</w:t>
      </w:r>
    </w:p>
    <w:p>
      <w:pPr>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481.83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29.57</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6.54</w:t>
      </w:r>
      <w:r>
        <w:rPr>
          <w:rFonts w:hint="eastAsia" w:ascii="仿宋_GB2312" w:eastAsia="仿宋_GB2312"/>
          <w:sz w:val="28"/>
          <w:szCs w:val="28"/>
        </w:rPr>
        <w:t>%。主要原因：</w:t>
      </w:r>
      <w:r>
        <w:rPr>
          <w:rFonts w:hint="eastAsia" w:ascii="仿宋_GB2312" w:eastAsia="仿宋_GB2312"/>
          <w:sz w:val="28"/>
          <w:szCs w:val="28"/>
          <w:lang w:val="en-US" w:eastAsia="zh-CN"/>
        </w:rPr>
        <w:t>2023年</w:t>
      </w:r>
      <w:r>
        <w:rPr>
          <w:rFonts w:hint="eastAsia" w:ascii="仿宋_GB2312" w:eastAsia="仿宋_GB2312"/>
          <w:sz w:val="28"/>
          <w:szCs w:val="28"/>
          <w:highlight w:val="none"/>
        </w:rPr>
        <w:t>新招录及调入</w:t>
      </w:r>
      <w:r>
        <w:rPr>
          <w:rFonts w:hint="eastAsia" w:ascii="仿宋_GB2312" w:eastAsia="仿宋_GB2312"/>
          <w:sz w:val="28"/>
          <w:szCs w:val="28"/>
          <w:lang w:eastAsia="zh-CN"/>
        </w:rPr>
        <w:t>人员</w:t>
      </w:r>
      <w:r>
        <w:rPr>
          <w:rFonts w:hint="eastAsia" w:ascii="仿宋_GB2312" w:eastAsia="仿宋_GB2312"/>
          <w:sz w:val="28"/>
          <w:szCs w:val="28"/>
          <w:lang w:val="en-US" w:eastAsia="zh-CN"/>
        </w:rPr>
        <w:t>25人</w:t>
      </w:r>
      <w:r>
        <w:rPr>
          <w:rFonts w:hint="eastAsia" w:ascii="仿宋_GB2312" w:eastAsia="仿宋_GB2312"/>
          <w:sz w:val="28"/>
          <w:szCs w:val="28"/>
          <w:lang w:eastAsia="zh-CN"/>
        </w:rPr>
        <w:t>增加行政职业单位医疗保险支出。</w:t>
      </w:r>
    </w:p>
    <w:p>
      <w:pPr>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4、“自然资源海洋气象等支出”(类)2023年度决算7930.63万元，比2023年度年初预算增加416.08万元，增长5.54%。其中：</w:t>
      </w:r>
    </w:p>
    <w:p>
      <w:pPr>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highlight w:val="none"/>
          <w:lang w:eastAsia="zh-CN"/>
        </w:rPr>
      </w:pPr>
      <w:r>
        <w:rPr>
          <w:rFonts w:hint="eastAsia" w:ascii="仿宋_GB2312" w:eastAsia="仿宋_GB2312"/>
          <w:sz w:val="28"/>
          <w:szCs w:val="28"/>
        </w:rPr>
        <w:t>“自然资源事务”（款）202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7930.63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416.43</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5.54</w:t>
      </w:r>
      <w:r>
        <w:rPr>
          <w:rFonts w:hint="eastAsia" w:ascii="仿宋_GB2312" w:eastAsia="仿宋_GB2312"/>
          <w:sz w:val="28"/>
          <w:szCs w:val="28"/>
        </w:rPr>
        <w:t>%。主要原因：</w:t>
      </w:r>
      <w:r>
        <w:rPr>
          <w:rFonts w:hint="eastAsia" w:ascii="仿宋_GB2312" w:eastAsia="仿宋_GB2312"/>
          <w:sz w:val="28"/>
          <w:szCs w:val="28"/>
          <w:highlight w:val="none"/>
          <w:lang w:eastAsia="zh-CN"/>
        </w:rPr>
        <w:t>年中追加自然资源统一确权登记、入馆档案全检服务、购置自助打证机等项目经费；</w:t>
      </w:r>
      <w:r>
        <w:rPr>
          <w:rFonts w:hint="eastAsia" w:ascii="仿宋_GB2312" w:eastAsia="仿宋_GB2312"/>
          <w:sz w:val="28"/>
          <w:szCs w:val="28"/>
          <w:lang w:val="en-US" w:eastAsia="zh-CN"/>
        </w:rPr>
        <w:t>2023年</w:t>
      </w:r>
      <w:r>
        <w:rPr>
          <w:rFonts w:hint="eastAsia" w:ascii="仿宋_GB2312" w:eastAsia="仿宋_GB2312"/>
          <w:sz w:val="28"/>
          <w:szCs w:val="28"/>
          <w:highlight w:val="none"/>
        </w:rPr>
        <w:t>新招录及调入</w:t>
      </w:r>
      <w:r>
        <w:rPr>
          <w:rFonts w:hint="eastAsia" w:ascii="仿宋_GB2312" w:eastAsia="仿宋_GB2312"/>
          <w:sz w:val="28"/>
          <w:szCs w:val="28"/>
          <w:lang w:eastAsia="zh-CN"/>
        </w:rPr>
        <w:t>人员</w:t>
      </w:r>
      <w:r>
        <w:rPr>
          <w:rFonts w:hint="eastAsia" w:ascii="仿宋_GB2312" w:eastAsia="仿宋_GB2312"/>
          <w:sz w:val="28"/>
          <w:szCs w:val="28"/>
          <w:lang w:val="en-US" w:eastAsia="zh-CN"/>
        </w:rPr>
        <w:t>25人</w:t>
      </w:r>
      <w:r>
        <w:rPr>
          <w:rFonts w:hint="eastAsia" w:ascii="仿宋_GB2312" w:eastAsia="仿宋_GB2312"/>
          <w:sz w:val="28"/>
          <w:szCs w:val="28"/>
          <w:highlight w:val="none"/>
          <w:lang w:eastAsia="zh-CN"/>
        </w:rPr>
        <w:t>基本经费增加开支。</w:t>
      </w:r>
    </w:p>
    <w:p>
      <w:pPr>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5、</w:t>
      </w:r>
      <w:r>
        <w:rPr>
          <w:rFonts w:hint="eastAsia" w:ascii="仿宋_GB2312" w:eastAsia="仿宋_GB2312"/>
          <w:sz w:val="28"/>
          <w:szCs w:val="28"/>
        </w:rPr>
        <w:t>“粮油物资储备支出”(类)202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2.18</w:t>
      </w:r>
      <w:r>
        <w:rPr>
          <w:rFonts w:hint="eastAsia" w:ascii="仿宋_GB2312" w:eastAsia="仿宋_GB2312"/>
          <w:sz w:val="28"/>
          <w:szCs w:val="28"/>
        </w:rPr>
        <w:t>万元，比2022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2.18</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100</w:t>
      </w:r>
      <w:r>
        <w:rPr>
          <w:rFonts w:hint="eastAsia" w:ascii="仿宋_GB2312" w:eastAsia="仿宋_GB2312"/>
          <w:sz w:val="28"/>
          <w:szCs w:val="28"/>
        </w:rPr>
        <w:t>%。其中：</w:t>
      </w:r>
    </w:p>
    <w:p>
      <w:pPr>
        <w:pageBreakBefore w:val="0"/>
        <w:widowControl w:val="0"/>
        <w:kinsoku/>
        <w:wordWrap/>
        <w:overflowPunct/>
        <w:topLinePunct w:val="0"/>
        <w:bidi w:val="0"/>
        <w:snapToGrid/>
        <w:spacing w:line="580" w:lineRule="exact"/>
        <w:ind w:firstLine="560" w:firstLineChars="200"/>
        <w:textAlignment w:val="auto"/>
        <w:rPr>
          <w:rFonts w:hint="eastAsia"/>
          <w:lang w:eastAsia="zh-CN"/>
        </w:rPr>
      </w:pPr>
      <w:r>
        <w:rPr>
          <w:rFonts w:hint="eastAsia" w:ascii="仿宋_GB2312" w:eastAsia="仿宋_GB2312"/>
          <w:sz w:val="28"/>
          <w:szCs w:val="28"/>
          <w:lang w:eastAsia="zh-CN"/>
        </w:rPr>
        <w:t>“</w:t>
      </w:r>
      <w:r>
        <w:rPr>
          <w:rFonts w:hint="eastAsia" w:ascii="仿宋_GB2312" w:eastAsia="仿宋_GB2312"/>
          <w:sz w:val="28"/>
          <w:szCs w:val="28"/>
        </w:rPr>
        <w:t>粮油物资事务”（款）202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2.18</w:t>
      </w:r>
      <w:r>
        <w:rPr>
          <w:rFonts w:hint="eastAsia" w:ascii="仿宋_GB2312" w:eastAsia="仿宋_GB2312"/>
          <w:sz w:val="28"/>
          <w:szCs w:val="28"/>
        </w:rPr>
        <w:t>万元，比2022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2.18</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highlight w:val="none"/>
          <w:lang w:eastAsia="zh-CN"/>
        </w:rPr>
        <w:t>新增事业人员年中追加公积金支出，追加的功能分类为</w:t>
      </w:r>
      <w:r>
        <w:rPr>
          <w:rFonts w:hint="eastAsia" w:ascii="仿宋_GB2312" w:eastAsia="仿宋_GB2312"/>
          <w:sz w:val="28"/>
          <w:szCs w:val="28"/>
        </w:rPr>
        <w:t>粮油物资储备支出</w:t>
      </w:r>
      <w:r>
        <w:rPr>
          <w:rFonts w:hint="eastAsia" w:ascii="仿宋_GB2312" w:eastAsia="仿宋_GB2312"/>
          <w:sz w:val="28"/>
          <w:szCs w:val="28"/>
          <w:lang w:eastAsia="zh-CN"/>
        </w:rPr>
        <w:t>的</w:t>
      </w:r>
      <w:r>
        <w:rPr>
          <w:rFonts w:hint="eastAsia" w:ascii="仿宋_GB2312" w:eastAsia="仿宋_GB2312"/>
          <w:sz w:val="28"/>
          <w:szCs w:val="28"/>
        </w:rPr>
        <w:t>粮油物资事务</w:t>
      </w:r>
      <w:r>
        <w:rPr>
          <w:rFonts w:hint="eastAsia" w:ascii="仿宋_GB2312" w:eastAsia="仿宋_GB2312"/>
          <w:sz w:val="28"/>
          <w:szCs w:val="28"/>
          <w:lang w:eastAsia="zh-CN"/>
        </w:rPr>
        <w:t>的事业运行</w:t>
      </w:r>
      <w:r>
        <w:rPr>
          <w:rFonts w:hint="eastAsia" w:ascii="仿宋_GB2312" w:eastAsia="仿宋_GB2312"/>
          <w:sz w:val="28"/>
          <w:szCs w:val="28"/>
          <w:highlight w:val="none"/>
          <w:lang w:eastAsia="zh-CN"/>
        </w:rPr>
        <w:t>。</w:t>
      </w:r>
    </w:p>
    <w:p>
      <w:pPr>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6、</w:t>
      </w:r>
      <w:r>
        <w:rPr>
          <w:rFonts w:hint="eastAsia" w:ascii="仿宋_GB2312" w:eastAsia="仿宋_GB2312"/>
          <w:sz w:val="28"/>
          <w:szCs w:val="28"/>
        </w:rPr>
        <w:t>“灾害防治及应急管理支出”(类)202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22.98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0.02</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0.09</w:t>
      </w:r>
      <w:r>
        <w:rPr>
          <w:rFonts w:hint="eastAsia" w:ascii="仿宋_GB2312" w:eastAsia="仿宋_GB2312"/>
          <w:sz w:val="28"/>
          <w:szCs w:val="28"/>
        </w:rPr>
        <w:t>%。其中：</w:t>
      </w:r>
    </w:p>
    <w:p>
      <w:pPr>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highlight w:val="none"/>
          <w:lang w:val="en-US" w:eastAsia="zh-CN"/>
        </w:rPr>
      </w:pPr>
      <w:r>
        <w:rPr>
          <w:rFonts w:hint="eastAsia" w:ascii="仿宋_GB2312" w:eastAsia="仿宋_GB2312"/>
          <w:sz w:val="28"/>
          <w:szCs w:val="28"/>
          <w:lang w:eastAsia="zh-CN"/>
        </w:rPr>
        <w:t>“</w:t>
      </w:r>
      <w:r>
        <w:rPr>
          <w:rFonts w:hint="eastAsia" w:ascii="仿宋_GB2312" w:eastAsia="仿宋_GB2312"/>
          <w:sz w:val="28"/>
          <w:szCs w:val="28"/>
        </w:rPr>
        <w:t>自然灾害防治”（款）202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22.98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0.02</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0.09</w:t>
      </w:r>
      <w:r>
        <w:rPr>
          <w:rFonts w:hint="eastAsia" w:ascii="仿宋_GB2312" w:eastAsia="仿宋_GB2312"/>
          <w:sz w:val="28"/>
          <w:szCs w:val="28"/>
        </w:rPr>
        <w:t>%。主要原因：</w:t>
      </w:r>
      <w:r>
        <w:rPr>
          <w:rFonts w:hint="eastAsia" w:ascii="仿宋_GB2312" w:eastAsia="仿宋_GB2312"/>
          <w:sz w:val="28"/>
          <w:szCs w:val="28"/>
          <w:highlight w:val="none"/>
          <w:lang w:eastAsia="zh-CN"/>
        </w:rPr>
        <w:t>地质灾害防治项目已完成</w:t>
      </w:r>
      <w:r>
        <w:rPr>
          <w:rFonts w:hint="eastAsia" w:ascii="仿宋_GB2312" w:eastAsia="仿宋_GB2312"/>
          <w:sz w:val="28"/>
          <w:szCs w:val="28"/>
          <w:highlight w:val="none"/>
          <w:lang w:val="en-US" w:eastAsia="zh-CN"/>
        </w:rPr>
        <w:t>2023年度工作任务较年初预算有所节约</w:t>
      </w:r>
      <w:r>
        <w:rPr>
          <w:rFonts w:hint="eastAsia" w:ascii="仿宋_GB2312" w:eastAsia="仿宋_GB2312"/>
          <w:sz w:val="28"/>
          <w:szCs w:val="28"/>
          <w:highlight w:val="none"/>
          <w:lang w:eastAsia="zh-CN"/>
        </w:rPr>
        <w:t>。</w:t>
      </w:r>
    </w:p>
    <w:p>
      <w:pPr>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黑体" w:eastAsia="黑体"/>
          <w:b/>
          <w:sz w:val="28"/>
          <w:szCs w:val="28"/>
        </w:rPr>
        <w:t>五、政府性基金预算财政拨款支出决算情况说明</w:t>
      </w:r>
    </w:p>
    <w:p>
      <w:pPr>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ascii="仿宋_GB2312" w:eastAsia="仿宋_GB2312"/>
          <w:sz w:val="28"/>
          <w:szCs w:val="28"/>
        </w:rPr>
        <w:t>214.43</w:t>
      </w:r>
      <w:r>
        <w:rPr>
          <w:rFonts w:hint="eastAsia" w:ascii="仿宋_GB2312" w:eastAsia="仿宋_GB2312"/>
          <w:sz w:val="28"/>
          <w:szCs w:val="28"/>
        </w:rPr>
        <w:t>万元，主要用于以下方面（按大类）：城乡社区支出</w:t>
      </w:r>
      <w:r>
        <w:rPr>
          <w:rFonts w:ascii="仿宋_GB2312" w:eastAsia="仿宋_GB2312"/>
          <w:sz w:val="28"/>
          <w:szCs w:val="28"/>
        </w:rPr>
        <w:t>214.43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1、“城乡社区支出”（类）202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ascii="仿宋_GB2312" w:eastAsia="仿宋_GB2312"/>
          <w:sz w:val="28"/>
          <w:szCs w:val="28"/>
        </w:rPr>
        <w:t>214.43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9.85</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4.39</w:t>
      </w:r>
      <w:r>
        <w:rPr>
          <w:rFonts w:hint="eastAsia" w:ascii="仿宋_GB2312" w:eastAsia="仿宋_GB2312"/>
          <w:sz w:val="28"/>
          <w:szCs w:val="28"/>
        </w:rPr>
        <w:t>%。其中：</w:t>
      </w:r>
    </w:p>
    <w:p>
      <w:pPr>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“国有土地使用权出让收入安排的支出”（款）202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ascii="仿宋_GB2312" w:eastAsia="仿宋_GB2312"/>
          <w:sz w:val="28"/>
          <w:szCs w:val="28"/>
        </w:rPr>
        <w:t>214.43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10.04</w:t>
      </w:r>
      <w:r>
        <w:rPr>
          <w:rFonts w:hint="eastAsia" w:ascii="仿宋_GB2312" w:eastAsia="仿宋_GB2312"/>
          <w:sz w:val="28"/>
          <w:szCs w:val="28"/>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4.47</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年中核减收回土地出让合同缴纳印花税项目并追加丰台区耕地和永久基本农田划定成果核实处置服务项目节约了部分资金，</w:t>
      </w:r>
      <w:r>
        <w:rPr>
          <w:rFonts w:hint="eastAsia" w:ascii="仿宋_GB2312" w:eastAsia="仿宋_GB2312"/>
          <w:sz w:val="28"/>
          <w:szCs w:val="28"/>
          <w:lang w:val="en-US" w:eastAsia="zh-CN"/>
        </w:rPr>
        <w:t>年初预算及年中追加项目均已完成并支付完毕</w:t>
      </w:r>
      <w:r>
        <w:rPr>
          <w:rFonts w:hint="eastAsia" w:ascii="仿宋_GB2312" w:eastAsia="仿宋_GB2312"/>
          <w:sz w:val="28"/>
          <w:szCs w:val="28"/>
        </w:rPr>
        <w:t>。</w:t>
      </w:r>
    </w:p>
    <w:p>
      <w:pPr>
        <w:pageBreakBefore w:val="0"/>
        <w:widowControl w:val="0"/>
        <w:kinsoku/>
        <w:wordWrap/>
        <w:overflowPunct/>
        <w:topLinePunct w:val="0"/>
        <w:bidi w:val="0"/>
        <w:snapToGrid/>
        <w:spacing w:line="580" w:lineRule="exact"/>
        <w:ind w:firstLine="560" w:firstLineChars="200"/>
        <w:textAlignment w:val="auto"/>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lang w:eastAsia="zh-CN"/>
        </w:rPr>
        <w:t>本单位无此项经费支出。</w:t>
      </w:r>
    </w:p>
    <w:p>
      <w:pPr>
        <w:pageBreakBefore w:val="0"/>
        <w:widowControl w:val="0"/>
        <w:kinsoku/>
        <w:wordWrap/>
        <w:overflowPunct/>
        <w:topLinePunct w:val="0"/>
        <w:bidi w:val="0"/>
        <w:snapToGrid/>
        <w:spacing w:line="580" w:lineRule="exact"/>
        <w:ind w:firstLine="560" w:firstLineChars="200"/>
        <w:textAlignment w:val="auto"/>
        <w:rPr>
          <w:rFonts w:hint="eastAsia" w:ascii="黑体" w:eastAsia="黑体"/>
          <w:sz w:val="28"/>
          <w:szCs w:val="28"/>
        </w:rPr>
      </w:pPr>
      <w:r>
        <w:rPr>
          <w:rFonts w:hint="eastAsia" w:ascii="黑体" w:eastAsia="黑体"/>
          <w:b/>
          <w:sz w:val="28"/>
          <w:szCs w:val="28"/>
        </w:rPr>
        <w:t>七、财政拨款基本支出决算情况说明</w:t>
      </w:r>
    </w:p>
    <w:p>
      <w:pPr>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7195.84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pageBreakBefore w:val="0"/>
        <w:widowControl w:val="0"/>
        <w:kinsoku/>
        <w:wordWrap/>
        <w:overflowPunct/>
        <w:topLinePunct w:val="0"/>
        <w:autoSpaceDE w:val="0"/>
        <w:autoSpaceDN w:val="0"/>
        <w:bidi w:val="0"/>
        <w:adjustRightInd w:val="0"/>
        <w:snapToGrid/>
        <w:spacing w:line="580" w:lineRule="exact"/>
        <w:ind w:firstLine="560" w:firstLineChars="200"/>
        <w:jc w:val="center"/>
        <w:textAlignment w:val="auto"/>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pageBreakBefore w:val="0"/>
        <w:widowControl w:val="0"/>
        <w:kinsoku/>
        <w:wordWrap/>
        <w:overflowPunct/>
        <w:topLinePunct w:val="0"/>
        <w:bidi w:val="0"/>
        <w:snapToGrid/>
        <w:spacing w:line="560" w:lineRule="exact"/>
        <w:ind w:firstLine="560" w:firstLineChars="200"/>
        <w:textAlignment w:val="auto"/>
        <w:rPr>
          <w:rFonts w:hint="eastAsia" w:ascii="黑体" w:eastAsia="黑体"/>
          <w:sz w:val="28"/>
          <w:szCs w:val="28"/>
        </w:rPr>
      </w:pPr>
      <w:r>
        <w:rPr>
          <w:rFonts w:hint="eastAsia" w:ascii="黑体" w:eastAsia="黑体"/>
          <w:sz w:val="28"/>
          <w:szCs w:val="28"/>
        </w:rPr>
        <w:t>一、“三公”经费财政拨款决算情况</w:t>
      </w:r>
    </w:p>
    <w:p>
      <w:pPr>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“三公”经费包括本部门所属</w:t>
      </w:r>
      <w:r>
        <w:rPr>
          <w:rFonts w:hint="eastAsia" w:ascii="仿宋_GB2312" w:eastAsia="仿宋_GB2312"/>
          <w:bCs/>
          <w:sz w:val="28"/>
          <w:szCs w:val="28"/>
          <w:lang w:val="en-US" w:eastAsia="zh-CN"/>
        </w:rPr>
        <w:t>2</w:t>
      </w:r>
      <w:r>
        <w:rPr>
          <w:rFonts w:hint="eastAsia" w:ascii="仿宋_GB2312" w:eastAsia="仿宋_GB2312"/>
          <w:sz w:val="28"/>
          <w:szCs w:val="28"/>
        </w:rPr>
        <w:t>个行政单位、</w:t>
      </w:r>
      <w:r>
        <w:rPr>
          <w:rFonts w:hint="eastAsia" w:ascii="仿宋_GB2312" w:eastAsia="仿宋_GB2312"/>
          <w:sz w:val="28"/>
          <w:szCs w:val="28"/>
          <w:lang w:val="en-US" w:eastAsia="zh-CN"/>
        </w:rPr>
        <w:t>1</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16.66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20.53</w:t>
      </w:r>
      <w:r>
        <w:rPr>
          <w:rFonts w:hint="eastAsia" w:ascii="仿宋_GB2312" w:eastAsia="仿宋_GB2312"/>
          <w:sz w:val="28"/>
          <w:szCs w:val="28"/>
        </w:rPr>
        <w:t>万元减少</w:t>
      </w:r>
      <w:r>
        <w:rPr>
          <w:rFonts w:ascii="仿宋_GB2312" w:eastAsia="仿宋_GB2312"/>
          <w:sz w:val="28"/>
          <w:szCs w:val="28"/>
        </w:rPr>
        <w:t>3.86</w:t>
      </w:r>
      <w:r>
        <w:rPr>
          <w:rFonts w:hint="eastAsia" w:ascii="仿宋_GB2312" w:eastAsia="仿宋_GB2312"/>
          <w:sz w:val="28"/>
          <w:szCs w:val="28"/>
        </w:rPr>
        <w:t>万元。其中：</w:t>
      </w:r>
    </w:p>
    <w:p>
      <w:pPr>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w:t>
      </w:r>
      <w:r>
        <w:rPr>
          <w:rFonts w:hint="eastAsia" w:ascii="仿宋_GB2312" w:eastAsia="仿宋_GB2312"/>
          <w:sz w:val="28"/>
          <w:szCs w:val="28"/>
          <w:lang w:eastAsia="zh-CN"/>
        </w:rPr>
        <w:t>本单位无此项支出</w:t>
      </w:r>
      <w:r>
        <w:rPr>
          <w:rFonts w:hint="eastAsia" w:ascii="仿宋_GB2312" w:eastAsia="仿宋_GB2312"/>
          <w:sz w:val="28"/>
          <w:szCs w:val="28"/>
        </w:rPr>
        <w:t>。</w:t>
      </w:r>
    </w:p>
    <w:p>
      <w:pPr>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eastAsia="zh-CN"/>
        </w:rPr>
        <w:t>本单位无此项支出</w:t>
      </w:r>
      <w:r>
        <w:rPr>
          <w:rFonts w:hint="eastAsia" w:ascii="仿宋_GB2312" w:eastAsia="仿宋_GB2312"/>
          <w:sz w:val="28"/>
          <w:szCs w:val="28"/>
        </w:rPr>
        <w:t>。</w:t>
      </w:r>
    </w:p>
    <w:p>
      <w:pPr>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16.66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20.53</w:t>
      </w:r>
      <w:r>
        <w:rPr>
          <w:rFonts w:hint="eastAsia" w:ascii="仿宋_GB2312" w:eastAsia="仿宋_GB2312"/>
          <w:sz w:val="28"/>
          <w:szCs w:val="28"/>
        </w:rPr>
        <w:t>万元减少</w:t>
      </w:r>
      <w:r>
        <w:rPr>
          <w:rFonts w:hint="eastAsia" w:ascii="仿宋_GB2312" w:eastAsia="仿宋_GB2312"/>
          <w:sz w:val="28"/>
          <w:szCs w:val="28"/>
          <w:lang w:val="en-US" w:eastAsia="zh-CN"/>
        </w:rPr>
        <w:t>3.87</w:t>
      </w:r>
      <w:r>
        <w:rPr>
          <w:rFonts w:hint="eastAsia" w:ascii="仿宋_GB2312" w:eastAsia="仿宋_GB2312"/>
          <w:sz w:val="28"/>
          <w:szCs w:val="28"/>
        </w:rPr>
        <w:t>万元。</w:t>
      </w:r>
    </w:p>
    <w:p>
      <w:pPr>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16.66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20.53</w:t>
      </w:r>
      <w:r>
        <w:rPr>
          <w:rFonts w:hint="eastAsia" w:ascii="仿宋_GB2312" w:eastAsia="仿宋_GB2312"/>
          <w:sz w:val="28"/>
          <w:szCs w:val="28"/>
        </w:rPr>
        <w:t>万元减少</w:t>
      </w:r>
      <w:r>
        <w:rPr>
          <w:rFonts w:hint="eastAsia" w:ascii="仿宋_GB2312" w:eastAsia="仿宋_GB2312"/>
          <w:sz w:val="28"/>
          <w:szCs w:val="28"/>
          <w:lang w:val="en-US" w:eastAsia="zh-CN"/>
        </w:rPr>
        <w:t>3.87</w:t>
      </w:r>
      <w:r>
        <w:rPr>
          <w:rFonts w:hint="eastAsia" w:ascii="仿宋_GB2312" w:eastAsia="仿宋_GB2312"/>
          <w:sz w:val="28"/>
          <w:szCs w:val="28"/>
        </w:rPr>
        <w:t>万元，主要原因：</w:t>
      </w:r>
      <w:r>
        <w:rPr>
          <w:rFonts w:hint="eastAsia" w:ascii="仿宋_GB2312" w:eastAsia="仿宋_GB2312"/>
          <w:sz w:val="28"/>
          <w:szCs w:val="28"/>
          <w:lang w:eastAsia="zh-CN"/>
        </w:rPr>
        <w:t>落实过紧日子要求，节约使用公务用车运行维护费用</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5</w:t>
      </w:r>
      <w:r>
        <w:rPr>
          <w:rFonts w:hint="eastAsia" w:ascii="仿宋_GB2312" w:eastAsia="仿宋_GB2312"/>
          <w:sz w:val="28"/>
          <w:szCs w:val="28"/>
        </w:rPr>
        <w:t>万元，公务用车维修</w:t>
      </w:r>
      <w:r>
        <w:rPr>
          <w:rFonts w:ascii="仿宋_GB2312" w:eastAsia="仿宋_GB2312"/>
          <w:sz w:val="28"/>
          <w:szCs w:val="28"/>
          <w:highlight w:val="none"/>
        </w:rPr>
        <w:t>3.42</w:t>
      </w:r>
      <w:r>
        <w:rPr>
          <w:rFonts w:hint="eastAsia" w:ascii="仿宋_GB2312" w:eastAsia="仿宋_GB2312"/>
          <w:sz w:val="28"/>
          <w:szCs w:val="28"/>
        </w:rPr>
        <w:t>万元，公务用车保险</w:t>
      </w:r>
      <w:r>
        <w:rPr>
          <w:rFonts w:ascii="仿宋_GB2312" w:eastAsia="仿宋_GB2312"/>
          <w:sz w:val="28"/>
          <w:szCs w:val="28"/>
          <w:highlight w:val="none"/>
        </w:rPr>
        <w:t>7.93</w:t>
      </w:r>
      <w:r>
        <w:rPr>
          <w:rFonts w:hint="eastAsia" w:ascii="仿宋_GB2312" w:eastAsia="仿宋_GB2312"/>
          <w:sz w:val="28"/>
          <w:szCs w:val="28"/>
        </w:rPr>
        <w:t>万元，公务用车其他支出</w:t>
      </w:r>
      <w:r>
        <w:rPr>
          <w:rFonts w:ascii="仿宋_GB2312" w:eastAsia="仿宋_GB2312"/>
          <w:sz w:val="28"/>
          <w:szCs w:val="28"/>
          <w:highlight w:val="none"/>
        </w:rPr>
        <w:t>0.31</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14</w:t>
      </w:r>
      <w:r>
        <w:rPr>
          <w:rFonts w:hint="eastAsia" w:ascii="仿宋_GB2312" w:eastAsia="仿宋_GB2312"/>
          <w:sz w:val="28"/>
          <w:szCs w:val="28"/>
        </w:rPr>
        <w:t>辆，车均运行维护费</w:t>
      </w:r>
      <w:r>
        <w:rPr>
          <w:rFonts w:hint="eastAsia" w:ascii="仿宋_GB2312" w:eastAsia="仿宋_GB2312"/>
          <w:sz w:val="28"/>
          <w:szCs w:val="28"/>
          <w:lang w:val="en-US" w:eastAsia="zh-CN"/>
        </w:rPr>
        <w:t>1.19</w:t>
      </w:r>
      <w:r>
        <w:rPr>
          <w:rFonts w:hint="eastAsia" w:ascii="仿宋_GB2312" w:eastAsia="仿宋_GB2312"/>
          <w:sz w:val="28"/>
          <w:szCs w:val="28"/>
        </w:rPr>
        <w:t>万元。</w:t>
      </w:r>
    </w:p>
    <w:p>
      <w:pPr>
        <w:pageBreakBefore w:val="0"/>
        <w:widowControl w:val="0"/>
        <w:tabs>
          <w:tab w:val="center" w:pos="6979"/>
        </w:tabs>
        <w:kinsoku/>
        <w:wordWrap/>
        <w:overflowPunct/>
        <w:topLinePunct w:val="0"/>
        <w:bidi w:val="0"/>
        <w:snapToGrid/>
        <w:ind w:firstLine="560" w:firstLineChars="200"/>
        <w:textAlignment w:val="auto"/>
        <w:rPr>
          <w:rFonts w:hint="eastAsia" w:ascii="黑体" w:eastAsia="黑体"/>
          <w:sz w:val="28"/>
          <w:szCs w:val="28"/>
        </w:rPr>
      </w:pPr>
      <w:r>
        <w:rPr>
          <w:rFonts w:hint="eastAsia" w:ascii="黑体" w:eastAsia="黑体"/>
          <w:sz w:val="28"/>
          <w:szCs w:val="28"/>
        </w:rPr>
        <w:t>二、机关运行经费支出情况</w:t>
      </w:r>
    </w:p>
    <w:p>
      <w:pPr>
        <w:pageBreakBefore w:val="0"/>
        <w:widowControl w:val="0"/>
        <w:kinsoku/>
        <w:wordWrap/>
        <w:overflowPunct/>
        <w:topLinePunct w:val="0"/>
        <w:bidi w:val="0"/>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年度使用财政拨款安排的基本支出中的日常公用经费支出，合计</w:t>
      </w:r>
      <w:r>
        <w:rPr>
          <w:rFonts w:hint="eastAsia" w:ascii="仿宋_GB2312" w:eastAsia="仿宋_GB2312"/>
          <w:sz w:val="28"/>
          <w:szCs w:val="28"/>
          <w:lang w:val="en-US" w:eastAsia="zh-CN"/>
        </w:rPr>
        <w:t>458.86</w:t>
      </w:r>
      <w:r>
        <w:rPr>
          <w:rFonts w:hint="eastAsia" w:ascii="仿宋_GB2312" w:eastAsia="仿宋_GB2312"/>
          <w:sz w:val="28"/>
          <w:szCs w:val="28"/>
        </w:rPr>
        <w:t>万元，比上年减少</w:t>
      </w:r>
      <w:r>
        <w:rPr>
          <w:rFonts w:hint="eastAsia" w:ascii="仿宋_GB2312" w:eastAsia="仿宋_GB2312"/>
          <w:sz w:val="28"/>
          <w:szCs w:val="28"/>
          <w:lang w:val="en-US" w:eastAsia="zh-CN"/>
        </w:rPr>
        <w:t>234.64</w:t>
      </w:r>
      <w:r>
        <w:rPr>
          <w:rFonts w:hint="eastAsia" w:ascii="仿宋_GB2312" w:eastAsia="仿宋_GB2312"/>
          <w:sz w:val="28"/>
          <w:szCs w:val="28"/>
        </w:rPr>
        <w:t>万元，减少原因：严格落实中央和我市关于政府过紧日子的要求，严格控制和压减一般性支出。</w:t>
      </w:r>
    </w:p>
    <w:p>
      <w:pPr>
        <w:pageBreakBefore w:val="0"/>
        <w:widowControl w:val="0"/>
        <w:kinsoku/>
        <w:wordWrap/>
        <w:overflowPunct/>
        <w:topLinePunct w:val="0"/>
        <w:bidi w:val="0"/>
        <w:snapToGrid/>
        <w:ind w:left="540" w:firstLine="560" w:firstLineChars="200"/>
        <w:textAlignment w:val="auto"/>
        <w:rPr>
          <w:rFonts w:hint="eastAsia" w:ascii="黑体" w:eastAsia="黑体"/>
          <w:sz w:val="28"/>
          <w:szCs w:val="28"/>
        </w:rPr>
      </w:pPr>
      <w:r>
        <w:rPr>
          <w:rFonts w:hint="eastAsia" w:ascii="黑体" w:eastAsia="黑体"/>
          <w:sz w:val="28"/>
          <w:szCs w:val="28"/>
        </w:rPr>
        <w:t>三、政府采购支出情况</w:t>
      </w:r>
    </w:p>
    <w:p>
      <w:pPr>
        <w:pageBreakBefore w:val="0"/>
        <w:widowControl w:val="0"/>
        <w:kinsoku/>
        <w:wordWrap/>
        <w:overflowPunct/>
        <w:topLinePunct w:val="0"/>
        <w:bidi w:val="0"/>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8331.13</w:t>
      </w:r>
      <w:r>
        <w:rPr>
          <w:rFonts w:hint="eastAsia" w:ascii="仿宋_GB2312" w:eastAsia="仿宋_GB2312"/>
          <w:sz w:val="28"/>
          <w:szCs w:val="28"/>
        </w:rPr>
        <w:t>万元，其中：政府采购货物支出</w:t>
      </w:r>
      <w:r>
        <w:rPr>
          <w:rFonts w:ascii="仿宋_GB2312" w:eastAsia="仿宋_GB2312"/>
          <w:sz w:val="28"/>
          <w:szCs w:val="28"/>
        </w:rPr>
        <w:t>66.33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8264.8</w:t>
      </w:r>
      <w:r>
        <w:rPr>
          <w:rFonts w:hint="eastAsia" w:ascii="仿宋_GB2312" w:eastAsia="仿宋_GB2312"/>
          <w:sz w:val="28"/>
          <w:szCs w:val="28"/>
        </w:rPr>
        <w:t>万元。授予中小企业合同金额</w:t>
      </w:r>
      <w:r>
        <w:rPr>
          <w:rFonts w:ascii="仿宋_GB2312" w:eastAsia="仿宋_GB2312"/>
          <w:sz w:val="28"/>
          <w:szCs w:val="28"/>
          <w:highlight w:val="none"/>
        </w:rPr>
        <w:t>8293.34</w:t>
      </w:r>
      <w:r>
        <w:rPr>
          <w:rFonts w:hint="eastAsia" w:ascii="仿宋_GB2312" w:eastAsia="仿宋_GB2312"/>
          <w:sz w:val="28"/>
          <w:szCs w:val="28"/>
        </w:rPr>
        <w:t>万元，占政府采购支出总额的</w:t>
      </w:r>
      <w:r>
        <w:rPr>
          <w:rFonts w:ascii="仿宋_GB2312" w:eastAsia="仿宋_GB2312"/>
          <w:sz w:val="28"/>
          <w:szCs w:val="28"/>
          <w:highlight w:val="none"/>
        </w:rPr>
        <w:t>99.54</w:t>
      </w:r>
      <w:r>
        <w:rPr>
          <w:rFonts w:hint="eastAsia" w:ascii="仿宋_GB2312" w:eastAsia="仿宋_GB2312"/>
          <w:sz w:val="28"/>
          <w:szCs w:val="28"/>
        </w:rPr>
        <w:t>%，其中：授予小微企业合同金额</w:t>
      </w:r>
      <w:r>
        <w:rPr>
          <w:rFonts w:ascii="仿宋_GB2312" w:eastAsia="仿宋_GB2312"/>
          <w:sz w:val="28"/>
          <w:szCs w:val="28"/>
          <w:highlight w:val="none"/>
        </w:rPr>
        <w:t>1116.64</w:t>
      </w:r>
      <w:r>
        <w:rPr>
          <w:rFonts w:hint="eastAsia" w:ascii="仿宋_GB2312" w:eastAsia="仿宋_GB2312"/>
          <w:sz w:val="28"/>
          <w:szCs w:val="28"/>
        </w:rPr>
        <w:t>万元，占政府采购支出总额的</w:t>
      </w:r>
      <w:r>
        <w:rPr>
          <w:rFonts w:ascii="仿宋_GB2312" w:eastAsia="仿宋_GB2312"/>
          <w:sz w:val="28"/>
          <w:szCs w:val="28"/>
          <w:highlight w:val="none"/>
        </w:rPr>
        <w:t>13.4</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ageBreakBefore w:val="0"/>
        <w:widowControl w:val="0"/>
        <w:kinsoku/>
        <w:wordWrap/>
        <w:overflowPunct/>
        <w:topLinePunct w:val="0"/>
        <w:bidi w:val="0"/>
        <w:snapToGrid/>
        <w:ind w:firstLine="560" w:firstLineChars="200"/>
        <w:textAlignment w:val="auto"/>
        <w:rPr>
          <w:rFonts w:hint="eastAsia" w:ascii="黑体" w:eastAsia="黑体"/>
          <w:sz w:val="28"/>
          <w:szCs w:val="28"/>
          <w:highlight w:val="yellow"/>
        </w:rPr>
      </w:pPr>
      <w:r>
        <w:rPr>
          <w:rFonts w:hint="eastAsia" w:ascii="黑体" w:eastAsia="黑体"/>
          <w:sz w:val="28"/>
          <w:szCs w:val="28"/>
          <w:highlight w:val="none"/>
        </w:rPr>
        <w:t>四、国有资产占用情况</w:t>
      </w:r>
    </w:p>
    <w:p>
      <w:pPr>
        <w:pageBreakBefore w:val="0"/>
        <w:widowControl w:val="0"/>
        <w:kinsoku/>
        <w:wordWrap/>
        <w:overflowPunct/>
        <w:topLinePunct w:val="0"/>
        <w:bidi w:val="0"/>
        <w:snapToGrid/>
        <w:ind w:firstLine="560" w:firstLineChars="200"/>
        <w:textAlignment w:val="auto"/>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12月31日，北京市规划和自然资源委员会丰台分局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14</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258.73</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pageBreakBefore w:val="0"/>
        <w:widowControl w:val="0"/>
        <w:kinsoku/>
        <w:wordWrap/>
        <w:overflowPunct/>
        <w:topLinePunct w:val="0"/>
        <w:bidi w:val="0"/>
        <w:snapToGrid/>
        <w:ind w:firstLine="560" w:firstLineChars="200"/>
        <w:textAlignment w:val="auto"/>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pageBreakBefore w:val="0"/>
        <w:widowControl w:val="0"/>
        <w:kinsoku/>
        <w:wordWrap/>
        <w:overflowPunct/>
        <w:topLinePunct w:val="0"/>
        <w:bidi w:val="0"/>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7540.51</w:t>
      </w:r>
      <w:r>
        <w:rPr>
          <w:rFonts w:hint="eastAsia" w:ascii="仿宋_GB2312" w:eastAsia="仿宋_GB2312"/>
          <w:sz w:val="28"/>
          <w:szCs w:val="28"/>
        </w:rPr>
        <w:t>万元。</w:t>
      </w:r>
    </w:p>
    <w:p>
      <w:pPr>
        <w:pageBreakBefore w:val="0"/>
        <w:widowControl w:val="0"/>
        <w:kinsoku/>
        <w:wordWrap/>
        <w:overflowPunct/>
        <w:topLinePunct w:val="0"/>
        <w:bidi w:val="0"/>
        <w:snapToGrid/>
        <w:ind w:firstLine="560" w:firstLineChars="200"/>
        <w:jc w:val="left"/>
        <w:textAlignment w:val="auto"/>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pageBreakBefore w:val="0"/>
        <w:widowControl w:val="0"/>
        <w:kinsoku/>
        <w:wordWrap/>
        <w:overflowPunct/>
        <w:topLinePunct w:val="0"/>
        <w:bidi w:val="0"/>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pageBreakBefore w:val="0"/>
        <w:widowControl w:val="0"/>
        <w:kinsoku/>
        <w:wordWrap/>
        <w:overflowPunct/>
        <w:topLinePunct w:val="0"/>
        <w:bidi w:val="0"/>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pageBreakBefore w:val="0"/>
        <w:widowControl w:val="0"/>
        <w:kinsoku/>
        <w:wordWrap/>
        <w:overflowPunct/>
        <w:topLinePunct w:val="0"/>
        <w:bidi w:val="0"/>
        <w:snapToGrid/>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pageBreakBefore w:val="0"/>
        <w:widowControl w:val="0"/>
        <w:kinsoku/>
        <w:wordWrap/>
        <w:overflowPunct/>
        <w:topLinePunct w:val="0"/>
        <w:bidi w:val="0"/>
        <w:snapToGrid/>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pageBreakBefore w:val="0"/>
        <w:widowControl w:val="0"/>
        <w:kinsoku/>
        <w:wordWrap/>
        <w:overflowPunct/>
        <w:topLinePunct w:val="0"/>
        <w:bidi w:val="0"/>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pageBreakBefore w:val="0"/>
        <w:widowControl w:val="0"/>
        <w:kinsoku/>
        <w:wordWrap/>
        <w:overflowPunct/>
        <w:topLinePunct w:val="0"/>
        <w:bidi w:val="0"/>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pageBreakBefore w:val="0"/>
        <w:widowControl w:val="0"/>
        <w:kinsoku/>
        <w:wordWrap/>
        <w:overflowPunct/>
        <w:topLinePunct w:val="0"/>
        <w:bidi w:val="0"/>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rPr>
        <w:t>7.</w:t>
      </w:r>
      <w:r>
        <w:rPr>
          <w:rFonts w:hint="eastAsia" w:ascii="仿宋_GB2312" w:eastAsia="仿宋_GB2312"/>
          <w:sz w:val="28"/>
          <w:szCs w:val="28"/>
          <w:lang w:val="en-US" w:eastAsia="zh-CN"/>
        </w:rPr>
        <w:t>一般公共服务支出（类）组织事务（款）一般行政管理事务（项）：反映行政单位（包括实行公务员管理的事业单位）未单独设置项级科目的其他项目支出。</w:t>
      </w:r>
    </w:p>
    <w:p>
      <w:pPr>
        <w:pageBreakBefore w:val="0"/>
        <w:widowControl w:val="0"/>
        <w:kinsoku/>
        <w:wordWrap/>
        <w:overflowPunct/>
        <w:topLinePunct w:val="0"/>
        <w:bidi w:val="0"/>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8.教育支出（类）进修及培训（款）培训支出（项）：反映各部门安排的用于培训的支出。教育部门的师资培训，党校、行政学院等专业干部教育机构的支出，以及退役士兵、转业士官的培训支出，不在本科目反映。</w:t>
      </w:r>
    </w:p>
    <w:p>
      <w:pPr>
        <w:pageBreakBefore w:val="0"/>
        <w:widowControl w:val="0"/>
        <w:kinsoku/>
        <w:wordWrap/>
        <w:overflowPunct/>
        <w:topLinePunct w:val="0"/>
        <w:bidi w:val="0"/>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9.社会保障和就业支出（类）行政事业单位养老支出（款）行政单位离退休（项）：反映行政单位（包括实行公务员管理的事业单位）开支的离退休经费。</w:t>
      </w:r>
    </w:p>
    <w:p>
      <w:pPr>
        <w:pStyle w:val="2"/>
        <w:pageBreakBefore w:val="0"/>
        <w:widowControl w:val="0"/>
        <w:kinsoku/>
        <w:wordWrap/>
        <w:overflowPunct/>
        <w:topLinePunct w:val="0"/>
        <w:bidi w:val="0"/>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10.社会保障和就业支出（类）行政事业单位养老支出（款）事业单位离退休（项）：反映事业单位开支的离退休经费。</w:t>
      </w:r>
    </w:p>
    <w:p>
      <w:pPr>
        <w:pStyle w:val="2"/>
        <w:pageBreakBefore w:val="0"/>
        <w:widowControl w:val="0"/>
        <w:kinsoku/>
        <w:wordWrap/>
        <w:overflowPunct/>
        <w:topLinePunct w:val="0"/>
        <w:bidi w:val="0"/>
        <w:snapToGrid/>
        <w:ind w:firstLine="560" w:firstLineChars="200"/>
        <w:textAlignment w:val="auto"/>
        <w:rPr>
          <w:rFonts w:hint="eastAsia"/>
          <w:lang w:val="en-US" w:eastAsia="zh-CN"/>
        </w:rPr>
      </w:pPr>
      <w:r>
        <w:rPr>
          <w:rFonts w:hint="eastAsia" w:ascii="仿宋_GB2312" w:eastAsia="仿宋_GB2312"/>
          <w:sz w:val="28"/>
          <w:szCs w:val="28"/>
          <w:lang w:val="en-US" w:eastAsia="zh-CN"/>
        </w:rPr>
        <w:t>11.社会保障和就业支出（类）行政事业单位养老支出（款）机关事业单位基本养老保险缴费支出（项）：反映机关事业单位实施养老保险制度由单位缴纳的基本养老保险费支出。</w:t>
      </w:r>
    </w:p>
    <w:p>
      <w:pPr>
        <w:pStyle w:val="2"/>
        <w:pageBreakBefore w:val="0"/>
        <w:widowControl w:val="0"/>
        <w:kinsoku/>
        <w:wordWrap/>
        <w:overflowPunct/>
        <w:topLinePunct w:val="0"/>
        <w:bidi w:val="0"/>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12.社会保障和就业支出（类）行政事业单位养老支出（款）机关事业单位职业年金缴费支出（项）：反映机关事业单位实施养老保险制度由单位实际缴纳的职业年金支出。</w:t>
      </w:r>
    </w:p>
    <w:p>
      <w:pPr>
        <w:pStyle w:val="2"/>
        <w:pageBreakBefore w:val="0"/>
        <w:widowControl w:val="0"/>
        <w:kinsoku/>
        <w:wordWrap/>
        <w:overflowPunct/>
        <w:topLinePunct w:val="0"/>
        <w:bidi w:val="0"/>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13.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pStyle w:val="2"/>
        <w:pageBreakBefore w:val="0"/>
        <w:widowControl w:val="0"/>
        <w:kinsoku/>
        <w:wordWrap/>
        <w:overflowPunct/>
        <w:topLinePunct w:val="0"/>
        <w:bidi w:val="0"/>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14.卫生健康支出（类）行政事业单位医疗（款）事业单位医疗（项）：反映财政部门安排的事业单位基本医疗保险缴费经费，未参加医疗保险的事业单位的公费医疗经费，按国家规定享受离休人员待遇人员的医疗经费。</w:t>
      </w:r>
    </w:p>
    <w:p>
      <w:pPr>
        <w:pStyle w:val="2"/>
        <w:pageBreakBefore w:val="0"/>
        <w:widowControl w:val="0"/>
        <w:kinsoku/>
        <w:wordWrap/>
        <w:overflowPunct/>
        <w:topLinePunct w:val="0"/>
        <w:bidi w:val="0"/>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15.城乡社区支出（类）城乡社区规划与管理（款）城乡社区规划与管理（项）：反映城乡社区、防灾减灾、历史名城规划制定与管理等方面的支出。</w:t>
      </w:r>
    </w:p>
    <w:p>
      <w:pPr>
        <w:pStyle w:val="2"/>
        <w:pageBreakBefore w:val="0"/>
        <w:widowControl w:val="0"/>
        <w:kinsoku/>
        <w:wordWrap/>
        <w:overflowPunct/>
        <w:topLinePunct w:val="0"/>
        <w:bidi w:val="0"/>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16.城乡社区支出（类）国有土地使用权出让收入安排的支出（款）土地开发支出（项）：反映新疆生产建设兵团和地方政府用于前期土地开发性支出以及与前期土地开发相关的费用等支出。</w:t>
      </w:r>
    </w:p>
    <w:p>
      <w:pPr>
        <w:pStyle w:val="2"/>
        <w:pageBreakBefore w:val="0"/>
        <w:widowControl w:val="0"/>
        <w:kinsoku/>
        <w:wordWrap/>
        <w:overflowPunct/>
        <w:topLinePunct w:val="0"/>
        <w:bidi w:val="0"/>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17.城乡社区支出（类）国有土地使用权出让收入安排的支出（款）土地出让业务支出（项）：反映土地出让收入用于土地出让业务费用的开支。</w:t>
      </w:r>
    </w:p>
    <w:p>
      <w:pPr>
        <w:pStyle w:val="2"/>
        <w:pageBreakBefore w:val="0"/>
        <w:widowControl w:val="0"/>
        <w:kinsoku/>
        <w:wordWrap/>
        <w:overflowPunct/>
        <w:topLinePunct w:val="0"/>
        <w:bidi w:val="0"/>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18.城乡社区支出（类）国有土地使用权出让收入安排的支出（款）农业农村生态环境支出（项）：反映土地出让收入用于农村人居环境整治、与农业农村直接相关的山水林田湖草生态保护修复等方面的支出。</w:t>
      </w:r>
    </w:p>
    <w:p>
      <w:pPr>
        <w:pStyle w:val="2"/>
        <w:pageBreakBefore w:val="0"/>
        <w:widowControl w:val="0"/>
        <w:kinsoku/>
        <w:wordWrap/>
        <w:overflowPunct/>
        <w:topLinePunct w:val="0"/>
        <w:bidi w:val="0"/>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19.自然资源海洋气象等支出（类）自然资源事务（款）行政运行（项）:反映行政单位（包括实行公务员管理的事业单位）的基本支出。</w:t>
      </w:r>
    </w:p>
    <w:p>
      <w:pPr>
        <w:pStyle w:val="2"/>
        <w:pageBreakBefore w:val="0"/>
        <w:widowControl w:val="0"/>
        <w:kinsoku/>
        <w:wordWrap/>
        <w:overflowPunct/>
        <w:topLinePunct w:val="0"/>
        <w:bidi w:val="0"/>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20.</w:t>
      </w:r>
      <w:r>
        <w:rPr>
          <w:rFonts w:hint="eastAsia" w:ascii="仿宋_GB2312" w:eastAsia="仿宋_GB2312"/>
          <w:kern w:val="2"/>
          <w:sz w:val="28"/>
          <w:szCs w:val="28"/>
          <w:lang w:val="en-US" w:eastAsia="zh-CN" w:bidi="ar-SA"/>
        </w:rPr>
        <w:t>自然资源海洋气象等支出（类）自然资源事务（款）</w:t>
      </w:r>
      <w:r>
        <w:rPr>
          <w:rFonts w:hint="eastAsia" w:ascii="仿宋_GB2312" w:eastAsia="仿宋_GB2312"/>
          <w:sz w:val="28"/>
          <w:szCs w:val="28"/>
          <w:lang w:val="en-US" w:eastAsia="zh-CN"/>
        </w:rPr>
        <w:t>一般行政管理事务</w:t>
      </w:r>
      <w:r>
        <w:rPr>
          <w:rFonts w:hint="eastAsia" w:ascii="仿宋_GB2312" w:eastAsia="仿宋_GB2312"/>
          <w:kern w:val="2"/>
          <w:sz w:val="28"/>
          <w:szCs w:val="28"/>
          <w:lang w:val="en-US" w:eastAsia="zh-CN" w:bidi="ar-SA"/>
        </w:rPr>
        <w:t>（项）:反映行政单位（包括实行公务</w:t>
      </w:r>
      <w:r>
        <w:rPr>
          <w:rFonts w:hint="eastAsia" w:ascii="仿宋_GB2312" w:eastAsia="仿宋_GB2312"/>
          <w:sz w:val="28"/>
          <w:szCs w:val="28"/>
          <w:lang w:val="en-US" w:eastAsia="zh-CN"/>
        </w:rPr>
        <w:t>员管理的事业单位）未单独设置项级科目的其他项目支出。</w:t>
      </w:r>
    </w:p>
    <w:p>
      <w:pPr>
        <w:pStyle w:val="2"/>
        <w:pageBreakBefore w:val="0"/>
        <w:widowControl w:val="0"/>
        <w:kinsoku/>
        <w:wordWrap/>
        <w:overflowPunct/>
        <w:topLinePunct w:val="0"/>
        <w:bidi w:val="0"/>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21.自然资源海洋气象等支出（类）自然资源事务（款）自然资源规划及管理（项）:反映用于国土空间规划、国土空间开发适宜性评价等方面的支出。</w:t>
      </w:r>
    </w:p>
    <w:p>
      <w:pPr>
        <w:pStyle w:val="2"/>
        <w:pageBreakBefore w:val="0"/>
        <w:widowControl w:val="0"/>
        <w:kinsoku/>
        <w:wordWrap/>
        <w:overflowPunct/>
        <w:topLinePunct w:val="0"/>
        <w:bidi w:val="0"/>
        <w:snapToGrid/>
        <w:ind w:firstLine="560" w:firstLineChars="200"/>
        <w:textAlignment w:val="auto"/>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22.自然资源海洋气象等支出（类）自然资源事务（款）</w:t>
      </w:r>
      <w:r>
        <w:rPr>
          <w:rFonts w:hint="eastAsia" w:ascii="仿宋_GB2312" w:eastAsia="仿宋_GB2312"/>
          <w:sz w:val="28"/>
          <w:szCs w:val="28"/>
          <w:lang w:val="en-US" w:eastAsia="zh-CN"/>
        </w:rPr>
        <w:t>事业运行</w:t>
      </w:r>
      <w:r>
        <w:rPr>
          <w:rFonts w:hint="eastAsia" w:ascii="仿宋_GB2312" w:eastAsia="仿宋_GB2312"/>
          <w:kern w:val="2"/>
          <w:sz w:val="28"/>
          <w:szCs w:val="28"/>
          <w:lang w:val="en-US" w:eastAsia="zh-CN" w:bidi="ar-SA"/>
        </w:rPr>
        <w:t>（项）:反映事业单位的基本支出，不包括行政单位（包括实行公务员管理的事业单位）后勤服务中心、医务室等附属事业单位。</w:t>
      </w:r>
    </w:p>
    <w:p>
      <w:pPr>
        <w:pStyle w:val="2"/>
        <w:pageBreakBefore w:val="0"/>
        <w:widowControl w:val="0"/>
        <w:kinsoku/>
        <w:wordWrap/>
        <w:overflowPunct/>
        <w:topLinePunct w:val="0"/>
        <w:bidi w:val="0"/>
        <w:snapToGrid/>
        <w:ind w:firstLine="560" w:firstLineChars="200"/>
        <w:textAlignment w:val="auto"/>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23.自然资源海洋气象等支出（类）自然资源事务（款）</w:t>
      </w:r>
      <w:r>
        <w:rPr>
          <w:rFonts w:hint="eastAsia" w:ascii="仿宋_GB2312" w:eastAsia="仿宋_GB2312"/>
          <w:sz w:val="28"/>
          <w:szCs w:val="28"/>
          <w:lang w:val="en-US" w:eastAsia="zh-CN"/>
        </w:rPr>
        <w:t>其他自然资源事务支出</w:t>
      </w:r>
      <w:r>
        <w:rPr>
          <w:rFonts w:hint="eastAsia" w:ascii="仿宋_GB2312" w:eastAsia="仿宋_GB2312"/>
          <w:kern w:val="2"/>
          <w:sz w:val="28"/>
          <w:szCs w:val="28"/>
          <w:lang w:val="en-US" w:eastAsia="zh-CN" w:bidi="ar-SA"/>
        </w:rPr>
        <w:t>（项）:反映除上述项目以外其他用于自然资源事务方面的支出。</w:t>
      </w:r>
    </w:p>
    <w:p>
      <w:pPr>
        <w:pStyle w:val="2"/>
        <w:pageBreakBefore w:val="0"/>
        <w:widowControl w:val="0"/>
        <w:kinsoku/>
        <w:wordWrap/>
        <w:overflowPunct/>
        <w:topLinePunct w:val="0"/>
        <w:bidi w:val="0"/>
        <w:snapToGrid/>
        <w:ind w:firstLine="560" w:firstLineChars="200"/>
        <w:textAlignment w:val="auto"/>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24.粮油物资储备支出（类）粮油物资事务（款）</w:t>
      </w:r>
      <w:r>
        <w:rPr>
          <w:rFonts w:hint="eastAsia" w:ascii="仿宋_GB2312" w:eastAsia="仿宋_GB2312"/>
          <w:sz w:val="28"/>
          <w:szCs w:val="28"/>
          <w:lang w:val="en-US" w:eastAsia="zh-CN"/>
        </w:rPr>
        <w:t>事业运行</w:t>
      </w:r>
      <w:r>
        <w:rPr>
          <w:rFonts w:hint="eastAsia" w:ascii="仿宋_GB2312" w:eastAsia="仿宋_GB2312"/>
          <w:kern w:val="2"/>
          <w:sz w:val="28"/>
          <w:szCs w:val="28"/>
          <w:lang w:val="en-US" w:eastAsia="zh-CN" w:bidi="ar-SA"/>
        </w:rPr>
        <w:t>（项）:反映事业单位的基本支出，不包括行政单位（包括实行公务员管理的事业单位）后勤服务中心、医务室等附属事业单位。</w:t>
      </w:r>
    </w:p>
    <w:p>
      <w:pPr>
        <w:pStyle w:val="2"/>
        <w:pageBreakBefore w:val="0"/>
        <w:widowControl w:val="0"/>
        <w:kinsoku/>
        <w:wordWrap/>
        <w:overflowPunct/>
        <w:topLinePunct w:val="0"/>
        <w:bidi w:val="0"/>
        <w:snapToGrid/>
        <w:ind w:firstLine="560" w:firstLineChars="200"/>
        <w:textAlignment w:val="auto"/>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25.灾害防治及应急管理支出（类）应急管理事务（款）安全监管（项）：反映安全生产综合监督管理和工贸行业安全生产监督管理等方面的支出。</w:t>
      </w:r>
    </w:p>
    <w:p>
      <w:pPr>
        <w:pStyle w:val="2"/>
        <w:pageBreakBefore w:val="0"/>
        <w:widowControl w:val="0"/>
        <w:kinsoku/>
        <w:wordWrap/>
        <w:overflowPunct/>
        <w:topLinePunct w:val="0"/>
        <w:bidi w:val="0"/>
        <w:snapToGrid/>
        <w:ind w:firstLine="560" w:firstLineChars="200"/>
        <w:textAlignment w:val="auto"/>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26.灾害防治及应急管理支出（类）自然灾害防治（款）地质灾害防治（项）：反映防治地质灾害方面的支出。</w:t>
      </w:r>
    </w:p>
    <w:p>
      <w:pPr>
        <w:pageBreakBefore w:val="0"/>
        <w:widowControl w:val="0"/>
        <w:kinsoku/>
        <w:wordWrap/>
        <w:overflowPunct/>
        <w:topLinePunct w:val="0"/>
        <w:bidi w:val="0"/>
        <w:snapToGrid/>
        <w:ind w:firstLine="632" w:firstLineChars="200"/>
        <w:textAlignment w:val="auto"/>
        <w:rPr>
          <w:rFonts w:hint="eastAsia" w:ascii="仿宋_GB2312" w:hAnsi="Times New Roman" w:eastAsia="仿宋_GB2312" w:cs="Times New Roman"/>
          <w:b/>
          <w:color w:val="000000"/>
          <w:spacing w:val="-2"/>
          <w:sz w:val="32"/>
          <w:szCs w:val="32"/>
        </w:rPr>
      </w:pPr>
    </w:p>
    <w:p>
      <w:pPr>
        <w:pageBreakBefore w:val="0"/>
        <w:widowControl w:val="0"/>
        <w:kinsoku/>
        <w:wordWrap/>
        <w:overflowPunct/>
        <w:topLinePunct w:val="0"/>
        <w:bidi w:val="0"/>
        <w:snapToGrid/>
        <w:ind w:firstLine="640" w:firstLineChars="200"/>
        <w:jc w:val="center"/>
        <w:textAlignment w:val="auto"/>
        <w:rPr>
          <w:rFonts w:ascii="黑体" w:eastAsia="黑体"/>
          <w:sz w:val="32"/>
          <w:szCs w:val="32"/>
        </w:rPr>
      </w:pPr>
    </w:p>
    <w:p>
      <w:pPr>
        <w:pageBreakBefore w:val="0"/>
        <w:widowControl w:val="0"/>
        <w:kinsoku/>
        <w:wordWrap/>
        <w:overflowPunct/>
        <w:topLinePunct w:val="0"/>
        <w:bidi w:val="0"/>
        <w:snapToGrid/>
        <w:ind w:firstLine="640" w:firstLineChars="200"/>
        <w:jc w:val="center"/>
        <w:textAlignment w:val="auto"/>
        <w:rPr>
          <w:rFonts w:hint="eastAsia" w:ascii="黑体" w:eastAsia="黑体"/>
          <w:sz w:val="32"/>
          <w:szCs w:val="32"/>
        </w:rPr>
      </w:pPr>
    </w:p>
    <w:p>
      <w:pPr>
        <w:pStyle w:val="7"/>
        <w:rPr>
          <w:rFonts w:hint="eastAsia" w:ascii="黑体" w:eastAsia="黑体"/>
          <w:sz w:val="32"/>
          <w:szCs w:val="32"/>
        </w:rPr>
      </w:pPr>
    </w:p>
    <w:p>
      <w:pPr>
        <w:rPr>
          <w:rFonts w:hint="eastAsia" w:ascii="黑体" w:eastAsia="黑体"/>
          <w:sz w:val="32"/>
          <w:szCs w:val="32"/>
        </w:rPr>
      </w:pPr>
    </w:p>
    <w:p>
      <w:pPr>
        <w:pStyle w:val="7"/>
        <w:rPr>
          <w:rFonts w:hint="eastAsia" w:ascii="黑体" w:eastAsia="黑体"/>
          <w:sz w:val="32"/>
          <w:szCs w:val="32"/>
        </w:rPr>
      </w:pPr>
    </w:p>
    <w:p>
      <w:pPr>
        <w:rPr>
          <w:rFonts w:hint="eastAsia" w:ascii="黑体" w:eastAsia="黑体"/>
          <w:sz w:val="32"/>
          <w:szCs w:val="32"/>
        </w:rPr>
      </w:pPr>
    </w:p>
    <w:p>
      <w:pPr>
        <w:pStyle w:val="7"/>
        <w:rPr>
          <w:rFonts w:hint="eastAsia" w:ascii="黑体" w:eastAsia="黑体"/>
          <w:sz w:val="32"/>
          <w:szCs w:val="32"/>
        </w:rPr>
      </w:pPr>
    </w:p>
    <w:p>
      <w:pPr>
        <w:rPr>
          <w:rFonts w:hint="eastAsia" w:ascii="黑体" w:eastAsia="黑体"/>
          <w:sz w:val="32"/>
          <w:szCs w:val="32"/>
        </w:rPr>
      </w:pPr>
    </w:p>
    <w:p>
      <w:pPr>
        <w:pStyle w:val="7"/>
        <w:rPr>
          <w:rFonts w:hint="eastAsia" w:ascii="黑体" w:eastAsia="黑体"/>
          <w:sz w:val="32"/>
          <w:szCs w:val="32"/>
        </w:rPr>
      </w:pPr>
    </w:p>
    <w:p>
      <w:pPr>
        <w:rPr>
          <w:rFonts w:hint="eastAsia" w:ascii="黑体" w:eastAsia="黑体"/>
          <w:sz w:val="32"/>
          <w:szCs w:val="32"/>
        </w:rPr>
      </w:pPr>
    </w:p>
    <w:p>
      <w:pPr>
        <w:pStyle w:val="7"/>
        <w:rPr>
          <w:rFonts w:hint="eastAsia" w:ascii="黑体" w:eastAsia="黑体"/>
          <w:sz w:val="32"/>
          <w:szCs w:val="32"/>
        </w:rPr>
      </w:pPr>
    </w:p>
    <w:p>
      <w:pPr>
        <w:rPr>
          <w:rFonts w:hint="eastAsia" w:ascii="黑体" w:eastAsia="黑体"/>
          <w:sz w:val="32"/>
          <w:szCs w:val="32"/>
        </w:rPr>
      </w:pPr>
    </w:p>
    <w:p>
      <w:pPr>
        <w:pStyle w:val="7"/>
        <w:rPr>
          <w:rFonts w:hint="eastAsia"/>
        </w:rPr>
      </w:pPr>
    </w:p>
    <w:p>
      <w:pPr>
        <w:pageBreakBefore w:val="0"/>
        <w:widowControl w:val="0"/>
        <w:kinsoku/>
        <w:wordWrap/>
        <w:overflowPunct/>
        <w:topLinePunct w:val="0"/>
        <w:bidi w:val="0"/>
        <w:snapToGrid/>
        <w:ind w:firstLine="640" w:firstLineChars="200"/>
        <w:jc w:val="center"/>
        <w:textAlignment w:val="auto"/>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pageBreakBefore w:val="0"/>
        <w:widowControl w:val="0"/>
        <w:kinsoku/>
        <w:wordWrap/>
        <w:overflowPunct/>
        <w:topLinePunct w:val="0"/>
        <w:bidi w:val="0"/>
        <w:snapToGrid/>
        <w:ind w:firstLine="560" w:firstLineChars="200"/>
        <w:textAlignment w:val="auto"/>
        <w:rPr>
          <w:rFonts w:hint="eastAsia" w:ascii="黑体" w:eastAsia="黑体"/>
          <w:sz w:val="28"/>
          <w:szCs w:val="28"/>
          <w:highlight w:val="yellow"/>
        </w:rPr>
      </w:pPr>
    </w:p>
    <w:p>
      <w:pPr>
        <w:pageBreakBefore w:val="0"/>
        <w:widowControl w:val="0"/>
        <w:kinsoku/>
        <w:wordWrap/>
        <w:overflowPunct/>
        <w:topLinePunct w:val="0"/>
        <w:bidi w:val="0"/>
        <w:snapToGrid/>
        <w:ind w:firstLine="560" w:firstLineChars="200"/>
        <w:textAlignment w:val="auto"/>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pageBreakBefore w:val="0"/>
        <w:widowControl w:val="0"/>
        <w:kinsoku/>
        <w:wordWrap/>
        <w:overflowPunct/>
        <w:topLinePunct w:val="0"/>
        <w:bidi w:val="0"/>
        <w:snapToGrid/>
        <w:ind w:firstLine="420" w:firstLineChars="200"/>
        <w:textAlignment w:val="auto"/>
        <w:rPr>
          <w:rFonts w:hint="eastAsia"/>
        </w:rPr>
      </w:pPr>
    </w:p>
    <w:p>
      <w:pPr>
        <w:pStyle w:val="3"/>
        <w:pageBreakBefore w:val="0"/>
        <w:widowControl w:val="0"/>
        <w:kinsoku/>
        <w:wordWrap/>
        <w:overflowPunct/>
        <w:topLinePunct w:val="0"/>
        <w:bidi w:val="0"/>
        <w:snapToGrid/>
        <w:ind w:firstLine="720" w:firstLineChars="200"/>
        <w:textAlignment w:val="auto"/>
        <w:rPr>
          <w:rFonts w:hint="eastAsia"/>
        </w:rPr>
      </w:pPr>
    </w:p>
    <w:p>
      <w:pPr>
        <w:pageBreakBefore w:val="0"/>
        <w:widowControl w:val="0"/>
        <w:kinsoku/>
        <w:wordWrap/>
        <w:overflowPunct/>
        <w:topLinePunct w:val="0"/>
        <w:bidi w:val="0"/>
        <w:snapToGrid/>
        <w:ind w:firstLine="420" w:firstLineChars="200"/>
        <w:textAlignment w:val="auto"/>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8C31D4D"/>
    <w:rsid w:val="0F8E2C57"/>
    <w:rsid w:val="1059665E"/>
    <w:rsid w:val="10AC13BA"/>
    <w:rsid w:val="15AD5D7B"/>
    <w:rsid w:val="19B74D02"/>
    <w:rsid w:val="1AEC0734"/>
    <w:rsid w:val="1C884318"/>
    <w:rsid w:val="1DEF20B0"/>
    <w:rsid w:val="214243FA"/>
    <w:rsid w:val="257A14F5"/>
    <w:rsid w:val="27196C26"/>
    <w:rsid w:val="29EF086F"/>
    <w:rsid w:val="2DF00D0E"/>
    <w:rsid w:val="2EFFE297"/>
    <w:rsid w:val="2F262743"/>
    <w:rsid w:val="301437CA"/>
    <w:rsid w:val="35491B82"/>
    <w:rsid w:val="394F7F33"/>
    <w:rsid w:val="40374B05"/>
    <w:rsid w:val="433E495C"/>
    <w:rsid w:val="435C6CEF"/>
    <w:rsid w:val="4AC27CB3"/>
    <w:rsid w:val="4BF72BEF"/>
    <w:rsid w:val="51DB3C59"/>
    <w:rsid w:val="51FED7AB"/>
    <w:rsid w:val="55762E42"/>
    <w:rsid w:val="57A7B272"/>
    <w:rsid w:val="58470068"/>
    <w:rsid w:val="5A1720F9"/>
    <w:rsid w:val="5B9C37C2"/>
    <w:rsid w:val="5BA7C654"/>
    <w:rsid w:val="5BD462C2"/>
    <w:rsid w:val="5EFA7CCD"/>
    <w:rsid w:val="5F336811"/>
    <w:rsid w:val="5F4460D5"/>
    <w:rsid w:val="625A5EF6"/>
    <w:rsid w:val="64C0607C"/>
    <w:rsid w:val="676F09E1"/>
    <w:rsid w:val="6CB711E1"/>
    <w:rsid w:val="6D2D094B"/>
    <w:rsid w:val="6E877630"/>
    <w:rsid w:val="6FBB27F8"/>
    <w:rsid w:val="6FFF438D"/>
    <w:rsid w:val="71457DD3"/>
    <w:rsid w:val="71E9593C"/>
    <w:rsid w:val="757DE146"/>
    <w:rsid w:val="7A7F1C49"/>
    <w:rsid w:val="7AAB0BD0"/>
    <w:rsid w:val="7B5B7AE6"/>
    <w:rsid w:val="7BA7071E"/>
    <w:rsid w:val="7BDF6DA8"/>
    <w:rsid w:val="7C7EDC1A"/>
    <w:rsid w:val="7CCED98D"/>
    <w:rsid w:val="7D08410F"/>
    <w:rsid w:val="7DB96DED"/>
    <w:rsid w:val="7DD3AD81"/>
    <w:rsid w:val="7E7F2C90"/>
    <w:rsid w:val="7F7D58EC"/>
    <w:rsid w:val="7F7FE70F"/>
    <w:rsid w:val="7F921B70"/>
    <w:rsid w:val="7FFF772F"/>
    <w:rsid w:val="95F35EF6"/>
    <w:rsid w:val="9BFFD860"/>
    <w:rsid w:val="9D4B5CFF"/>
    <w:rsid w:val="AC5F73DE"/>
    <w:rsid w:val="B5DDD2C8"/>
    <w:rsid w:val="B9DFABD9"/>
    <w:rsid w:val="BA7B23C6"/>
    <w:rsid w:val="BC0D83FC"/>
    <w:rsid w:val="BF3BDEFB"/>
    <w:rsid w:val="C75F6086"/>
    <w:rsid w:val="C7F7ED2D"/>
    <w:rsid w:val="CFAF854E"/>
    <w:rsid w:val="D8D7928E"/>
    <w:rsid w:val="D8FE3136"/>
    <w:rsid w:val="DDDE60B7"/>
    <w:rsid w:val="DE9F6A22"/>
    <w:rsid w:val="DF4FCE6A"/>
    <w:rsid w:val="DFF7E9E8"/>
    <w:rsid w:val="E4FED278"/>
    <w:rsid w:val="E9F71EFB"/>
    <w:rsid w:val="EDAA365C"/>
    <w:rsid w:val="EDADFC12"/>
    <w:rsid w:val="F2FD229B"/>
    <w:rsid w:val="F7F709E9"/>
    <w:rsid w:val="F7FF3690"/>
    <w:rsid w:val="F9BD3900"/>
    <w:rsid w:val="FB7E255A"/>
    <w:rsid w:val="FC8B9876"/>
    <w:rsid w:val="FE734873"/>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next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layout/>
      <c:overlay val="0"/>
      <c:spPr>
        <a:noFill/>
        <a:ln>
          <a:noFill/>
        </a:ln>
        <a:effectLst/>
      </c:spPr>
    </c:title>
    <c:autoTitleDeleted val="0"/>
    <c:plotArea>
      <c:layout/>
      <c:pieChart>
        <c:varyColors val="1"/>
        <c:ser>
          <c:idx val="0"/>
          <c:order val="0"/>
          <c:tx>
            <c:strRef>
              <c:f>Sheet1!$B$1</c:f>
              <c:strCache>
                <c:ptCount val="1"/>
                <c:pt idx="0">
                  <c:v>收入</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财政拨款收入</c:v>
                </c:pt>
                <c:pt idx="1">
                  <c:v>其他收入</c:v>
                </c:pt>
              </c:strCache>
            </c:strRef>
          </c:cat>
          <c:val>
            <c:numRef>
              <c:f>Sheet1!$B$2:$B$3</c:f>
              <c:numCache>
                <c:formatCode>General</c:formatCode>
                <c:ptCount val="2"/>
                <c:pt idx="0">
                  <c:v>9480.45</c:v>
                </c:pt>
                <c:pt idx="1">
                  <c:v>4237.74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a:solidFill>
                  <a:schemeClr val="bg1">
                    <a:lumMod val="50000"/>
                  </a:schemeClr>
                </a:solidFill>
              </a:rPr>
              <a:t>支出决算</a:t>
            </a:r>
            <a:endParaRPr>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7195.84</c:v>
                </c:pt>
                <c:pt idx="1">
                  <c:v>9454.66</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5</TotalTime>
  <ScaleCrop>false</ScaleCrop>
  <LinksUpToDate>false</LinksUpToDate>
  <CharactersWithSpaces>6114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刘金</cp:lastModifiedBy>
  <cp:lastPrinted>2020-08-07T19:39:00Z</cp:lastPrinted>
  <dcterms:modified xsi:type="dcterms:W3CDTF">2024-08-26T02:08:20Z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C53E0049DD7D4F56A956C4A3BA3D12CC_13</vt:lpwstr>
  </property>
</Properties>
</file>