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lang w:eastAsia="zh-CN"/>
        </w:rPr>
      </w:pPr>
      <w:r>
        <w:rPr>
          <w:rFonts w:hint="eastAsia" w:ascii="黑体" w:eastAsia="黑体"/>
          <w:b/>
          <w:sz w:val="28"/>
          <w:szCs w:val="28"/>
        </w:rPr>
        <w:t>一、单位基本情况</w:t>
      </w:r>
      <w:r>
        <w:rPr>
          <w:rFonts w:hint="eastAsia" w:ascii="仿宋_GB2312" w:eastAsia="仿宋_GB2312"/>
          <w:sz w:val="28"/>
          <w:szCs w:val="28"/>
          <w:lang w:val="en-US" w:eastAsia="zh-CN"/>
        </w:rPr>
        <w:t xml:space="preserve"> </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北京市规划和自然资源数据管理中心于2021年12月经北京市编办京编委【2021】123号文，改名为北京市国土空间大数据中心。经费来源财政全额拨款。机构类型：事业法人。</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北京市国土空间大数据中心下设9个科室。分别是：综合办公室、发展计划科、数据管理科、数据建设科、数据应用科、数据创新科、系统一科、系统二科、网络设施科。</w:t>
      </w:r>
    </w:p>
    <w:p>
      <w:pPr>
        <w:tabs>
          <w:tab w:val="center" w:pos="6979"/>
        </w:tabs>
        <w:spacing w:line="580" w:lineRule="exact"/>
        <w:ind w:firstLine="560" w:firstLineChars="200"/>
        <w:rPr>
          <w:rFonts w:hint="eastAsia"/>
        </w:rPr>
      </w:pPr>
      <w:r>
        <w:rPr>
          <w:rFonts w:hint="eastAsia" w:ascii="仿宋_GB2312" w:eastAsia="仿宋_GB2312"/>
          <w:sz w:val="28"/>
          <w:szCs w:val="28"/>
        </w:rPr>
        <w:t>具体职责：负责本市国土空间大数据平台建设维护；承担国土空间相关数据的归集整理、整合融合、开发共享等工作；承担全市工程建设项目审批一张图、“多规合一”协同信息平台建设和机关信息化建设等事务性工作。完成上级机关交办的其他任务。</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52</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40</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1600.07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143.33</w:t>
      </w:r>
      <w:r>
        <w:rPr>
          <w:rFonts w:hint="eastAsia" w:ascii="仿宋_GB2312" w:eastAsia="仿宋_GB2312"/>
          <w:sz w:val="28"/>
          <w:szCs w:val="28"/>
        </w:rPr>
        <w:t>万元，增长</w:t>
      </w:r>
      <w:r>
        <w:rPr>
          <w:rFonts w:hint="eastAsia" w:ascii="仿宋_GB2312" w:eastAsia="仿宋_GB2312"/>
          <w:sz w:val="28"/>
          <w:szCs w:val="28"/>
          <w:lang w:val="en-US" w:eastAsia="zh-CN"/>
        </w:rPr>
        <w:t>9.04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1557.89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106.17</w:t>
      </w:r>
      <w:r>
        <w:rPr>
          <w:rFonts w:hint="eastAsia" w:ascii="仿宋_GB2312" w:eastAsia="仿宋_GB2312"/>
          <w:sz w:val="28"/>
          <w:szCs w:val="28"/>
        </w:rPr>
        <w:t>万元，增长</w:t>
      </w:r>
      <w:r>
        <w:rPr>
          <w:rFonts w:hint="eastAsia" w:ascii="仿宋_GB2312" w:eastAsia="仿宋_GB2312"/>
          <w:sz w:val="28"/>
          <w:szCs w:val="28"/>
          <w:lang w:val="en-US" w:eastAsia="zh-CN"/>
        </w:rPr>
        <w:t>7.31</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1557.46</w:t>
      </w:r>
      <w:r>
        <w:rPr>
          <w:rFonts w:hint="eastAsia" w:ascii="仿宋_GB2312" w:eastAsia="仿宋_GB2312"/>
          <w:sz w:val="28"/>
          <w:szCs w:val="28"/>
        </w:rPr>
        <w:t>万元，占收入合计的</w:t>
      </w:r>
      <w:r>
        <w:rPr>
          <w:rFonts w:ascii="仿宋_GB2312" w:eastAsia="仿宋_GB2312"/>
          <w:sz w:val="28"/>
          <w:szCs w:val="28"/>
        </w:rPr>
        <w:t>99.97</w:t>
      </w:r>
      <w:r>
        <w:rPr>
          <w:rFonts w:hint="eastAsia" w:ascii="仿宋_GB2312" w:eastAsia="仿宋_GB2312"/>
          <w:sz w:val="28"/>
          <w:szCs w:val="28"/>
        </w:rPr>
        <w:t>%。其中：一般公共预算财政拨款收入</w:t>
      </w:r>
      <w:r>
        <w:rPr>
          <w:rFonts w:ascii="仿宋_GB2312" w:eastAsia="仿宋_GB2312"/>
          <w:sz w:val="28"/>
          <w:szCs w:val="28"/>
        </w:rPr>
        <w:t>1557.46</w:t>
      </w:r>
      <w:r>
        <w:rPr>
          <w:rFonts w:hint="eastAsia" w:ascii="仿宋_GB2312" w:eastAsia="仿宋_GB2312"/>
          <w:sz w:val="28"/>
          <w:szCs w:val="28"/>
        </w:rPr>
        <w:t>万元，占收入合计的</w:t>
      </w:r>
      <w:r>
        <w:rPr>
          <w:rFonts w:ascii="仿宋_GB2312" w:eastAsia="仿宋_GB2312"/>
          <w:sz w:val="28"/>
          <w:szCs w:val="28"/>
        </w:rPr>
        <w:t>99.97</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0.4</w:t>
      </w:r>
      <w:r>
        <w:rPr>
          <w:rFonts w:hint="eastAsia" w:ascii="仿宋_GB2312" w:eastAsia="仿宋_GB2312"/>
          <w:sz w:val="28"/>
          <w:szCs w:val="28"/>
          <w:lang w:val="en-US" w:eastAsia="zh-CN"/>
        </w:rPr>
        <w:t>3</w:t>
      </w:r>
      <w:r>
        <w:rPr>
          <w:rFonts w:hint="eastAsia" w:ascii="仿宋_GB2312" w:eastAsia="仿宋_GB2312"/>
          <w:sz w:val="28"/>
          <w:szCs w:val="28"/>
        </w:rPr>
        <w:t>万元，占收入合计的</w:t>
      </w:r>
      <w:r>
        <w:rPr>
          <w:rFonts w:ascii="仿宋_GB2312" w:eastAsia="仿宋_GB2312"/>
          <w:sz w:val="28"/>
          <w:szCs w:val="28"/>
        </w:rPr>
        <w:t>0.0</w:t>
      </w:r>
      <w:r>
        <w:rPr>
          <w:rFonts w:hint="eastAsia" w:ascii="仿宋_GB2312" w:eastAsia="仿宋_GB2312"/>
          <w:sz w:val="28"/>
          <w:szCs w:val="28"/>
          <w:lang w:val="en-US" w:eastAsia="zh-CN"/>
        </w:rPr>
        <w:t>3</w:t>
      </w:r>
      <w:r>
        <w:rPr>
          <w:rFonts w:hint="eastAsia" w:ascii="仿宋_GB2312" w:eastAsia="仿宋_GB2312"/>
          <w:sz w:val="28"/>
          <w:szCs w:val="28"/>
        </w:rPr>
        <w:t>%。</w:t>
      </w:r>
    </w:p>
    <w:p>
      <w:pPr>
        <w:tabs>
          <w:tab w:val="center" w:pos="6979"/>
        </w:tabs>
        <w:spacing w:line="580" w:lineRule="exact"/>
        <w:ind w:firstLine="640" w:firstLineChars="200"/>
        <w:jc w:val="center"/>
        <w:rPr>
          <w:rFonts w:hint="default"/>
          <w:highlight w:val="none"/>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1553.26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102.74</w:t>
      </w:r>
      <w:r>
        <w:rPr>
          <w:rFonts w:hint="eastAsia" w:ascii="仿宋_GB2312" w:eastAsia="仿宋_GB2312"/>
          <w:sz w:val="28"/>
          <w:szCs w:val="28"/>
        </w:rPr>
        <w:t>万元，增长</w:t>
      </w:r>
      <w:r>
        <w:rPr>
          <w:rFonts w:hint="eastAsia" w:ascii="仿宋_GB2312" w:eastAsia="仿宋_GB2312"/>
          <w:sz w:val="28"/>
          <w:szCs w:val="28"/>
          <w:lang w:val="en-US" w:eastAsia="zh-CN"/>
        </w:rPr>
        <w:t>7.08</w:t>
      </w:r>
      <w:r>
        <w:rPr>
          <w:rFonts w:hint="eastAsia" w:ascii="仿宋_GB2312" w:eastAsia="仿宋_GB2312"/>
          <w:sz w:val="28"/>
          <w:szCs w:val="28"/>
        </w:rPr>
        <w:t>%，其中：基本支出</w:t>
      </w:r>
      <w:r>
        <w:rPr>
          <w:rFonts w:ascii="仿宋_GB2312" w:eastAsia="仿宋_GB2312"/>
          <w:sz w:val="28"/>
          <w:szCs w:val="28"/>
        </w:rPr>
        <w:t>1487.9</w:t>
      </w:r>
      <w:r>
        <w:rPr>
          <w:rFonts w:hint="eastAsia" w:ascii="仿宋_GB2312" w:eastAsia="仿宋_GB2312"/>
          <w:sz w:val="28"/>
          <w:szCs w:val="28"/>
          <w:lang w:val="en-US" w:eastAsia="zh-CN"/>
        </w:rPr>
        <w:t>3</w:t>
      </w:r>
      <w:r>
        <w:rPr>
          <w:rFonts w:hint="eastAsia" w:ascii="仿宋_GB2312" w:eastAsia="仿宋_GB2312"/>
          <w:sz w:val="28"/>
          <w:szCs w:val="28"/>
        </w:rPr>
        <w:t>万元，占支出合计的</w:t>
      </w:r>
      <w:r>
        <w:rPr>
          <w:rFonts w:ascii="仿宋_GB2312" w:eastAsia="仿宋_GB2312"/>
          <w:sz w:val="28"/>
          <w:szCs w:val="28"/>
        </w:rPr>
        <w:t>95.79</w:t>
      </w:r>
      <w:r>
        <w:rPr>
          <w:rFonts w:hint="eastAsia" w:ascii="仿宋_GB2312" w:eastAsia="仿宋_GB2312"/>
          <w:sz w:val="28"/>
          <w:szCs w:val="28"/>
        </w:rPr>
        <w:t>%；项目支出</w:t>
      </w:r>
      <w:r>
        <w:rPr>
          <w:rFonts w:ascii="仿宋_GB2312" w:eastAsia="仿宋_GB2312"/>
          <w:sz w:val="28"/>
          <w:szCs w:val="28"/>
        </w:rPr>
        <w:t>65.33</w:t>
      </w:r>
      <w:r>
        <w:rPr>
          <w:rFonts w:hint="eastAsia" w:ascii="仿宋_GB2312" w:eastAsia="仿宋_GB2312"/>
          <w:sz w:val="28"/>
          <w:szCs w:val="28"/>
        </w:rPr>
        <w:t>万元，占支出合计的</w:t>
      </w:r>
      <w:r>
        <w:rPr>
          <w:rFonts w:ascii="仿宋_GB2312" w:eastAsia="仿宋_GB2312"/>
          <w:sz w:val="28"/>
          <w:szCs w:val="28"/>
        </w:rPr>
        <w:t>4.2</w:t>
      </w:r>
      <w:r>
        <w:rPr>
          <w:rFonts w:hint="eastAsia" w:ascii="仿宋_GB2312" w:eastAsia="仿宋_GB2312"/>
          <w:sz w:val="28"/>
          <w:szCs w:val="28"/>
          <w:lang w:val="en-US" w:eastAsia="zh-CN"/>
        </w:rPr>
        <w:t>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536190"/>
            <wp:effectExtent l="4445" t="4445" r="14605" b="1206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840" w:firstLineChars="300"/>
        <w:rPr>
          <w:rFonts w:hint="eastAsia" w:ascii="黑体" w:eastAsia="黑体"/>
          <w:b/>
          <w:sz w:val="28"/>
          <w:szCs w:val="28"/>
        </w:rPr>
      </w:pP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1557.46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106.07</w:t>
      </w:r>
      <w:r>
        <w:rPr>
          <w:rFonts w:hint="eastAsia" w:ascii="仿宋_GB2312" w:eastAsia="仿宋_GB2312"/>
          <w:sz w:val="28"/>
          <w:szCs w:val="28"/>
        </w:rPr>
        <w:t>万元，增长</w:t>
      </w:r>
      <w:r>
        <w:rPr>
          <w:rFonts w:hint="eastAsia" w:ascii="仿宋_GB2312" w:eastAsia="仿宋_GB2312"/>
          <w:sz w:val="28"/>
          <w:szCs w:val="28"/>
          <w:lang w:val="en-US" w:eastAsia="zh-CN"/>
        </w:rPr>
        <w:t>7.31</w:t>
      </w:r>
      <w:r>
        <w:rPr>
          <w:rFonts w:hint="eastAsia" w:ascii="仿宋_GB2312" w:eastAsia="仿宋_GB2312"/>
          <w:sz w:val="28"/>
          <w:szCs w:val="28"/>
        </w:rPr>
        <w:t>%。主要原因：</w:t>
      </w:r>
      <w:r>
        <w:rPr>
          <w:rFonts w:hint="eastAsia" w:ascii="仿宋_GB2312" w:eastAsia="仿宋_GB2312"/>
          <w:sz w:val="28"/>
          <w:szCs w:val="28"/>
          <w:lang w:eastAsia="zh-CN"/>
        </w:rPr>
        <w:t>本年单位人员增加导致预算增加</w:t>
      </w:r>
      <w:r>
        <w:rPr>
          <w:rFonts w:hint="eastAsia" w:ascii="仿宋_GB2312" w:eastAsia="仿宋_GB2312"/>
          <w:sz w:val="28"/>
          <w:szCs w:val="28"/>
        </w:rPr>
        <w:t>。</w:t>
      </w: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1552.83</w:t>
      </w:r>
      <w:r>
        <w:rPr>
          <w:rFonts w:hint="eastAsia" w:ascii="仿宋_GB2312" w:eastAsia="仿宋_GB2312"/>
          <w:sz w:val="28"/>
          <w:szCs w:val="28"/>
        </w:rPr>
        <w:t>万元，主要用于以下方面（按大类）： 社会保障和就业支出</w:t>
      </w:r>
      <w:r>
        <w:rPr>
          <w:rFonts w:hint="eastAsia" w:ascii="仿宋_GB2312" w:eastAsia="仿宋_GB2312"/>
          <w:sz w:val="28"/>
          <w:szCs w:val="28"/>
          <w:lang w:val="en-US" w:eastAsia="zh-CN"/>
        </w:rPr>
        <w:t>153.32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9.87</w:t>
      </w:r>
      <w:r>
        <w:rPr>
          <w:rFonts w:hint="eastAsia" w:ascii="仿宋_GB2312" w:eastAsia="仿宋_GB2312"/>
          <w:sz w:val="28"/>
          <w:szCs w:val="28"/>
        </w:rPr>
        <w:t>%； 卫生健康支出</w:t>
      </w:r>
      <w:r>
        <w:rPr>
          <w:rFonts w:hint="eastAsia" w:ascii="仿宋_GB2312" w:eastAsia="仿宋_GB2312"/>
          <w:sz w:val="28"/>
          <w:szCs w:val="28"/>
          <w:lang w:val="en-US" w:eastAsia="zh-CN"/>
        </w:rPr>
        <w:t>88.05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5.67</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1311.46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84.46</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153.32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15.98万元，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11.64</w:t>
      </w:r>
      <w:r>
        <w:rPr>
          <w:rFonts w:hint="eastAsia" w:ascii="仿宋_GB2312" w:eastAsia="仿宋_GB2312"/>
          <w:sz w:val="28"/>
          <w:szCs w:val="28"/>
        </w:rPr>
        <w:t>%。</w:t>
      </w:r>
      <w:r>
        <w:rPr>
          <w:rFonts w:hint="eastAsia" w:ascii="仿宋_GB2312" w:eastAsia="仿宋_GB2312"/>
          <w:sz w:val="28"/>
          <w:szCs w:val="28"/>
          <w:lang w:val="en-US" w:eastAsia="zh-CN"/>
        </w:rPr>
        <w:t xml:space="preserve">                </w:t>
      </w:r>
      <w:r>
        <w:rPr>
          <w:rFonts w:hint="eastAsia" w:ascii="仿宋_GB2312" w:eastAsia="仿宋_GB2312"/>
          <w:sz w:val="28"/>
          <w:szCs w:val="28"/>
        </w:rPr>
        <w:t>其中：“行政事业单位养老支出”202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153.32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15.98万元，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11.64</w:t>
      </w:r>
      <w:r>
        <w:rPr>
          <w:rFonts w:hint="eastAsia" w:ascii="仿宋_GB2312" w:eastAsia="仿宋_GB2312"/>
          <w:sz w:val="28"/>
          <w:szCs w:val="28"/>
        </w:rPr>
        <w:t>%。主要原因：</w:t>
      </w:r>
      <w:r>
        <w:rPr>
          <w:rFonts w:hint="eastAsia" w:ascii="仿宋_GB2312" w:eastAsia="仿宋_GB2312"/>
          <w:sz w:val="28"/>
          <w:szCs w:val="28"/>
          <w:lang w:eastAsia="zh-CN"/>
        </w:rPr>
        <w:t>人员增加及社保基数变更产生增加。</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88.05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3.7万元，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4.39</w:t>
      </w:r>
      <w:r>
        <w:rPr>
          <w:rFonts w:hint="eastAsia" w:ascii="仿宋_GB2312" w:eastAsia="仿宋_GB2312"/>
          <w:sz w:val="28"/>
          <w:szCs w:val="28"/>
        </w:rPr>
        <w:t>%。</w:t>
      </w:r>
      <w:r>
        <w:rPr>
          <w:rFonts w:hint="eastAsia" w:ascii="仿宋_GB2312" w:eastAsia="仿宋_GB2312"/>
          <w:sz w:val="28"/>
          <w:szCs w:val="28"/>
          <w:lang w:val="en-US" w:eastAsia="zh-CN"/>
        </w:rPr>
        <w:t xml:space="preserve">             </w:t>
      </w:r>
    </w:p>
    <w:p>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rPr>
        <w:t>其中：“行政事业单位医疗”202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88.05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3.7万元，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4.39</w:t>
      </w:r>
      <w:r>
        <w:rPr>
          <w:rFonts w:hint="eastAsia" w:ascii="仿宋_GB2312" w:eastAsia="仿宋_GB2312"/>
          <w:sz w:val="28"/>
          <w:szCs w:val="28"/>
        </w:rPr>
        <w:t>%。主要原因：</w:t>
      </w:r>
      <w:r>
        <w:rPr>
          <w:rFonts w:hint="eastAsia" w:ascii="仿宋_GB2312" w:eastAsia="仿宋_GB2312"/>
          <w:sz w:val="28"/>
          <w:szCs w:val="28"/>
          <w:lang w:eastAsia="zh-CN"/>
        </w:rPr>
        <w:t>人员增加及社保基数变更产生增加。</w:t>
      </w:r>
      <w:r>
        <w:rPr>
          <w:rFonts w:hint="eastAsia" w:ascii="仿宋_GB2312" w:eastAsia="仿宋_GB2312"/>
          <w:sz w:val="28"/>
          <w:szCs w:val="28"/>
          <w:lang w:val="en-US" w:eastAsia="zh-CN"/>
        </w:rPr>
        <w:t xml:space="preserve"> </w:t>
      </w:r>
    </w:p>
    <w:p>
      <w:pPr>
        <w:numPr>
          <w:ilvl w:val="0"/>
          <w:numId w:val="2"/>
        </w:numPr>
        <w:spacing w:line="580" w:lineRule="exact"/>
        <w:ind w:left="0" w:firstLine="560" w:firstLineChars="200"/>
        <w:rPr>
          <w:rFonts w:hint="eastAsia" w:ascii="仿宋_GB2312" w:eastAsia="仿宋_GB2312"/>
          <w:sz w:val="28"/>
          <w:szCs w:val="28"/>
        </w:rPr>
      </w:pPr>
      <w:r>
        <w:rPr>
          <w:rFonts w:hint="eastAsia" w:ascii="仿宋_GB2312" w:eastAsia="仿宋_GB2312"/>
          <w:sz w:val="28"/>
          <w:szCs w:val="28"/>
        </w:rPr>
        <w:t>“自然资源海洋气象等支出”(类)202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1311.46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85.77万元，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7.00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其中：“自然资源事务”202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1311.46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85.77万元，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7.00</w:t>
      </w:r>
      <w:r>
        <w:rPr>
          <w:rFonts w:hint="eastAsia" w:ascii="仿宋_GB2312" w:eastAsia="仿宋_GB2312"/>
          <w:sz w:val="28"/>
          <w:szCs w:val="28"/>
        </w:rPr>
        <w:t>%。主要原因：</w:t>
      </w:r>
      <w:r>
        <w:rPr>
          <w:rFonts w:hint="eastAsia" w:ascii="仿宋_GB2312" w:eastAsia="仿宋_GB2312"/>
          <w:sz w:val="28"/>
          <w:szCs w:val="28"/>
          <w:lang w:eastAsia="zh-CN"/>
        </w:rPr>
        <w:t>人员增加及社保、公积金基数变更产生增加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yellow"/>
        </w:rPr>
      </w:pPr>
      <w:r>
        <w:rPr>
          <w:rFonts w:hint="eastAsia" w:ascii="仿宋_GB2312" w:eastAsia="仿宋_GB2312"/>
          <w:sz w:val="28"/>
          <w:szCs w:val="28"/>
        </w:rPr>
        <w:t>（一）</w:t>
      </w:r>
      <w:r>
        <w:rPr>
          <w:rFonts w:hint="eastAsia" w:ascii="仿宋_GB2312" w:eastAsia="仿宋_GB2312"/>
          <w:sz w:val="28"/>
          <w:szCs w:val="28"/>
          <w:highlight w:val="none"/>
        </w:rPr>
        <w:t>政府性基金预算财政拨款支出决算总体情况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eastAsia="zh-CN"/>
        </w:rPr>
        <w:t>本单位无此项支出</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本单位无此项支出</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本单位无此项支出</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1487.5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554" w:firstLineChars="198"/>
        <w:rPr>
          <w:rFonts w:hint="eastAsia" w:ascii="仿宋_GB2312" w:eastAsia="仿宋_GB2312"/>
          <w:sz w:val="28"/>
          <w:szCs w:val="28"/>
          <w:lang w:eastAsia="zh-CN"/>
        </w:rPr>
      </w:pPr>
      <w:r>
        <w:rPr>
          <w:rFonts w:hint="eastAsia" w:ascii="仿宋_GB2312" w:eastAsia="仿宋_GB2312"/>
          <w:sz w:val="28"/>
          <w:szCs w:val="28"/>
          <w:lang w:eastAsia="zh-CN"/>
        </w:rPr>
        <w:t>本单位无此项支出。</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我单位不在机关运行经费统计范围之内</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3.69</w:t>
      </w:r>
      <w:r>
        <w:rPr>
          <w:rFonts w:hint="eastAsia" w:ascii="仿宋_GB2312" w:eastAsia="仿宋_GB2312"/>
          <w:sz w:val="28"/>
          <w:szCs w:val="28"/>
        </w:rPr>
        <w:t>万元，其中：政府采购货物支出</w:t>
      </w:r>
      <w:r>
        <w:rPr>
          <w:rFonts w:ascii="仿宋_GB2312" w:eastAsia="仿宋_GB2312"/>
          <w:sz w:val="28"/>
          <w:szCs w:val="28"/>
        </w:rPr>
        <w:t>3.69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highlight w:val="none"/>
        </w:rPr>
        <w:t>3.69</w:t>
      </w:r>
      <w:r>
        <w:rPr>
          <w:rFonts w:hint="eastAsia" w:ascii="仿宋_GB2312" w:eastAsia="仿宋_GB2312"/>
          <w:sz w:val="28"/>
          <w:szCs w:val="28"/>
        </w:rPr>
        <w:t>万元，占政府采购支出总额的</w:t>
      </w:r>
      <w:r>
        <w:rPr>
          <w:rFonts w:ascii="仿宋_GB2312" w:eastAsia="仿宋_GB2312"/>
          <w:sz w:val="28"/>
          <w:szCs w:val="28"/>
          <w:highlight w:val="none"/>
        </w:rPr>
        <w:t>100</w:t>
      </w:r>
      <w:r>
        <w:rPr>
          <w:rFonts w:hint="eastAsia" w:ascii="仿宋_GB2312" w:eastAsia="仿宋_GB2312"/>
          <w:sz w:val="28"/>
          <w:szCs w:val="28"/>
        </w:rPr>
        <w:t>%，其中：授予小微企业合同金额</w:t>
      </w:r>
      <w:r>
        <w:rPr>
          <w:rFonts w:ascii="仿宋_GB2312" w:eastAsia="仿宋_GB2312"/>
          <w:sz w:val="28"/>
          <w:szCs w:val="28"/>
          <w:highlight w:val="none"/>
        </w:rPr>
        <w:t>1.65</w:t>
      </w:r>
      <w:r>
        <w:rPr>
          <w:rFonts w:hint="eastAsia" w:ascii="仿宋_GB2312" w:eastAsia="仿宋_GB2312"/>
          <w:sz w:val="28"/>
          <w:szCs w:val="28"/>
        </w:rPr>
        <w:t>万元，占政府采购支出总额的</w:t>
      </w:r>
      <w:r>
        <w:rPr>
          <w:rFonts w:ascii="仿宋_GB2312" w:eastAsia="仿宋_GB2312"/>
          <w:sz w:val="28"/>
          <w:szCs w:val="28"/>
          <w:highlight w:val="none"/>
        </w:rPr>
        <w:t>44.77</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hint="eastAsia" w:ascii="仿宋_GB2312" w:eastAsia="仿宋_GB2312"/>
          <w:sz w:val="32"/>
          <w:szCs w:val="32"/>
          <w:highlight w:val="none"/>
          <w:lang w:val="en-US"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新购置</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新购置</w:t>
      </w:r>
      <w:r>
        <w:rPr>
          <w:rFonts w:hint="eastAsia" w:ascii="仿宋_GB2312" w:eastAsia="仿宋_GB2312"/>
          <w:sz w:val="28"/>
          <w:szCs w:val="28"/>
          <w:highlight w:val="none"/>
        </w:rPr>
        <w:t>单位价值100万元（含）以上的设备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。截至</w:t>
      </w:r>
      <w:r>
        <w:rPr>
          <w:rFonts w:hint="eastAsia" w:ascii="仿宋_GB2312" w:eastAsia="仿宋_GB2312"/>
          <w:sz w:val="28"/>
          <w:szCs w:val="28"/>
          <w:highlight w:val="none"/>
          <w:lang w:val="en-US" w:eastAsia="zh-CN"/>
        </w:rPr>
        <w:t>12月31日，本单位共有</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万元；单位价值100万元（含）以上的设备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lang w:eastAsia="zh-CN"/>
        </w:rPr>
        <w:t>本单位无此项支出。</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lang w:val="zh-CN"/>
        </w:rPr>
      </w:pPr>
      <w:r>
        <w:rPr>
          <w:rFonts w:hint="eastAsia" w:ascii="仿宋_GB2312" w:eastAsia="仿宋_GB2312"/>
          <w:sz w:val="28"/>
          <w:szCs w:val="28"/>
          <w:lang w:val="en-US" w:eastAsia="zh-CN"/>
        </w:rPr>
        <w:t>6</w:t>
      </w:r>
      <w:r>
        <w:rPr>
          <w:rFonts w:hint="default" w:ascii="仿宋_GB2312" w:eastAsia="仿宋_GB2312"/>
          <w:sz w:val="28"/>
          <w:szCs w:val="28"/>
        </w:rPr>
        <w:t>.</w:t>
      </w:r>
      <w:r>
        <w:rPr>
          <w:rFonts w:hint="eastAsia" w:ascii="仿宋_GB2312" w:eastAsia="仿宋_GB2312"/>
          <w:sz w:val="28"/>
          <w:szCs w:val="28"/>
          <w:lang w:val="zh-CN"/>
        </w:rPr>
        <w:t>教育支出（类）进修及培训（款）培训支出（项）：反映各部门安排的用于培训的支出。教育部门的师资培训，党校、行政学院等专业干部教育机构的支出，以及退役士兵、转业士兵的培训支出，不在本科目反映。</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highlight w:val="none"/>
          <w:lang w:val="en-US" w:eastAsia="zh-CN"/>
        </w:rPr>
        <w:t>7.</w:t>
      </w:r>
      <w:r>
        <w:rPr>
          <w:rFonts w:hint="eastAsia"/>
          <w:highlight w:val="none"/>
          <w:lang w:val="en-US" w:eastAsia="zh-CN"/>
        </w:rPr>
        <w:t xml:space="preserve"> </w:t>
      </w:r>
      <w:r>
        <w:rPr>
          <w:rFonts w:hint="eastAsia" w:ascii="仿宋_GB2312" w:eastAsia="仿宋_GB2312"/>
          <w:sz w:val="28"/>
          <w:szCs w:val="28"/>
          <w:lang w:val="en-US" w:eastAsia="zh-CN"/>
        </w:rPr>
        <w:t>自然资源海洋气象等支出（类）自然资源事务（款）一般行政管理事务（项）：反映行政单位（包括实行公务员管理的事业单位）未单独设置项级科目的其他项目支出。</w:t>
      </w:r>
    </w:p>
    <w:p>
      <w:pPr>
        <w:pStyle w:val="2"/>
        <w:rPr>
          <w:rFonts w:hint="eastAsia"/>
          <w:lang w:val="zh-CN"/>
        </w:rPr>
      </w:pPr>
    </w:p>
    <w:p>
      <w:pPr>
        <w:pStyle w:val="2"/>
        <w:rPr>
          <w:rFonts w:hint="default"/>
          <w:lang w:val="en-US"/>
        </w:rPr>
      </w:pPr>
    </w:p>
    <w:p>
      <w:pPr>
        <w:ind w:firstLine="560" w:firstLineChars="200"/>
        <w:rPr>
          <w:rFonts w:hint="default" w:ascii="仿宋_GB2312" w:eastAsia="仿宋_GB2312"/>
          <w:sz w:val="28"/>
          <w:szCs w:val="28"/>
          <w:lang w:val="en-US"/>
        </w:rPr>
      </w:pPr>
      <w:r>
        <w:rPr>
          <w:rFonts w:hint="eastAsia" w:ascii="仿宋_GB2312" w:eastAsia="仿宋_GB2312"/>
          <w:sz w:val="28"/>
          <w:szCs w:val="28"/>
          <w:lang w:val="en-US" w:eastAsia="zh-CN"/>
        </w:rPr>
        <w:t>8</w:t>
      </w:r>
      <w:r>
        <w:rPr>
          <w:rFonts w:hint="default" w:ascii="仿宋_GB2312" w:eastAsia="仿宋_GB2312"/>
          <w:sz w:val="28"/>
          <w:szCs w:val="28"/>
          <w:lang w:val="en-US"/>
        </w:rPr>
        <w:t>.</w:t>
      </w:r>
      <w:r>
        <w:rPr>
          <w:rFonts w:hint="eastAsia" w:ascii="仿宋_GB2312" w:eastAsia="仿宋_GB2312"/>
          <w:sz w:val="28"/>
          <w:szCs w:val="28"/>
          <w:lang w:val="zh-CN"/>
        </w:rPr>
        <w:t>社会保障和就业支出（类）行政事业单位养老支出（款）事业单位离退休（项）：反映事业单位开支的离退休经费。</w:t>
      </w:r>
    </w:p>
    <w:p>
      <w:pPr>
        <w:ind w:firstLine="560" w:firstLineChars="200"/>
        <w:rPr>
          <w:rFonts w:hint="default" w:ascii="仿宋_GB2312" w:eastAsia="仿宋_GB2312"/>
          <w:sz w:val="28"/>
          <w:szCs w:val="28"/>
          <w:lang w:val="en-US"/>
        </w:rPr>
      </w:pPr>
      <w:r>
        <w:rPr>
          <w:rFonts w:hint="eastAsia" w:ascii="仿宋_GB2312" w:eastAsia="仿宋_GB2312"/>
          <w:sz w:val="28"/>
          <w:szCs w:val="28"/>
          <w:lang w:val="en-US" w:eastAsia="zh-CN"/>
        </w:rPr>
        <w:t>9</w:t>
      </w:r>
      <w:r>
        <w:rPr>
          <w:rFonts w:hint="default" w:ascii="仿宋_GB2312" w:eastAsia="仿宋_GB2312"/>
          <w:sz w:val="28"/>
          <w:szCs w:val="28"/>
          <w:lang w:val="en-US"/>
        </w:rPr>
        <w:t>.</w:t>
      </w:r>
      <w:r>
        <w:rPr>
          <w:rFonts w:hint="eastAsia" w:ascii="仿宋_GB2312" w:eastAsia="仿宋_GB2312"/>
          <w:sz w:val="28"/>
          <w:szCs w:val="28"/>
          <w:lang w:val="zh-CN"/>
        </w:rPr>
        <w:t>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default" w:ascii="仿宋_GB2312" w:eastAsia="仿宋_GB2312"/>
          <w:sz w:val="28"/>
          <w:szCs w:val="28"/>
          <w:lang w:val="en-US"/>
        </w:rPr>
      </w:pPr>
      <w:r>
        <w:rPr>
          <w:rFonts w:hint="eastAsia" w:ascii="仿宋_GB2312" w:eastAsia="仿宋_GB2312"/>
          <w:sz w:val="28"/>
          <w:szCs w:val="28"/>
          <w:lang w:val="en-US" w:eastAsia="zh-CN"/>
        </w:rPr>
        <w:t>10</w:t>
      </w:r>
      <w:r>
        <w:rPr>
          <w:rFonts w:hint="default" w:ascii="仿宋_GB2312" w:eastAsia="仿宋_GB2312"/>
          <w:sz w:val="28"/>
          <w:szCs w:val="28"/>
          <w:lang w:val="en-US"/>
        </w:rPr>
        <w:t>.</w:t>
      </w:r>
      <w:r>
        <w:rPr>
          <w:rFonts w:hint="eastAsia" w:ascii="仿宋_GB2312" w:eastAsia="仿宋_GB2312"/>
          <w:sz w:val="28"/>
          <w:szCs w:val="28"/>
          <w:lang w:val="zh-CN"/>
        </w:rPr>
        <w:t>社会保障和就业支出（类）行政事业单位养老支出（款）机关事业单位职业年金缴费支出（项）：反映机关事业单位实施养老保险制度由单位实际缴纳的职业年金支出。</w:t>
      </w:r>
    </w:p>
    <w:p>
      <w:pPr>
        <w:ind w:firstLine="560" w:firstLineChars="200"/>
        <w:rPr>
          <w:rFonts w:hint="default" w:ascii="仿宋_GB2312" w:eastAsia="仿宋_GB2312"/>
          <w:sz w:val="28"/>
          <w:szCs w:val="28"/>
          <w:lang w:val="en-US"/>
        </w:rPr>
      </w:pPr>
      <w:r>
        <w:rPr>
          <w:rFonts w:hint="default" w:ascii="仿宋_GB2312" w:eastAsia="仿宋_GB2312"/>
          <w:sz w:val="28"/>
          <w:szCs w:val="28"/>
          <w:lang w:val="en-US"/>
        </w:rPr>
        <w:t>1</w:t>
      </w:r>
      <w:r>
        <w:rPr>
          <w:rFonts w:hint="eastAsia" w:ascii="仿宋_GB2312" w:eastAsia="仿宋_GB2312"/>
          <w:sz w:val="28"/>
          <w:szCs w:val="28"/>
          <w:lang w:val="en-US" w:eastAsia="zh-CN"/>
        </w:rPr>
        <w:t>1</w:t>
      </w:r>
      <w:r>
        <w:rPr>
          <w:rFonts w:hint="default" w:ascii="仿宋_GB2312" w:eastAsia="仿宋_GB2312"/>
          <w:sz w:val="28"/>
          <w:szCs w:val="28"/>
          <w:lang w:val="en-US"/>
        </w:rPr>
        <w:t>.</w:t>
      </w:r>
      <w:r>
        <w:rPr>
          <w:rFonts w:hint="eastAsia" w:ascii="仿宋_GB2312" w:eastAsia="仿宋_GB2312"/>
          <w:sz w:val="28"/>
          <w:szCs w:val="28"/>
          <w:lang w:val="zh-CN"/>
        </w:rPr>
        <w:t>卫生健康支出（类）行政单位医疗（款）事业单位医疗（项）：反映财政部门安排的事业单位基本医疗保险缴费经费，未参加医疗保险的事业单位的公费医疗经费，按国家规定享受离休人员待遇的医疗经费。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default" w:ascii="仿宋_GB2312" w:eastAsia="仿宋_GB2312"/>
          <w:sz w:val="28"/>
          <w:szCs w:val="28"/>
          <w:lang w:val="en-US"/>
        </w:rPr>
      </w:pPr>
      <w:r>
        <w:rPr>
          <w:rFonts w:hint="default" w:ascii="仿宋_GB2312" w:eastAsia="仿宋_GB2312"/>
          <w:sz w:val="28"/>
          <w:szCs w:val="28"/>
          <w:lang w:val="en-US"/>
        </w:rPr>
        <w:t>1</w:t>
      </w:r>
      <w:r>
        <w:rPr>
          <w:rFonts w:hint="eastAsia" w:ascii="仿宋_GB2312" w:eastAsia="仿宋_GB2312"/>
          <w:sz w:val="28"/>
          <w:szCs w:val="28"/>
          <w:lang w:val="en-US" w:eastAsia="zh-CN"/>
        </w:rPr>
        <w:t>2</w:t>
      </w:r>
      <w:r>
        <w:rPr>
          <w:rFonts w:hint="default" w:ascii="仿宋_GB2312" w:eastAsia="仿宋_GB2312"/>
          <w:sz w:val="28"/>
          <w:szCs w:val="28"/>
          <w:lang w:val="en-US"/>
        </w:rPr>
        <w:t>.</w:t>
      </w:r>
      <w:r>
        <w:rPr>
          <w:rFonts w:hint="eastAsia" w:ascii="仿宋_GB2312" w:eastAsia="仿宋_GB2312"/>
          <w:sz w:val="28"/>
          <w:szCs w:val="28"/>
          <w:lang w:val="zh-CN"/>
        </w:rPr>
        <w:t>自然资源海洋气象等支出（类）自然资源事务（款）事业运行（项）：反映事业单位的基本支出，不包括行政单位（包括实行公务员管理的事业单位）后勤服务中心、医务室等附属事业单位。</w:t>
      </w:r>
    </w:p>
    <w:p>
      <w:pPr>
        <w:ind w:firstLine="560" w:firstLineChars="200"/>
        <w:rPr>
          <w:rFonts w:hint="eastAsia" w:ascii="仿宋_GB2312" w:eastAsia="仿宋_GB2312"/>
          <w:sz w:val="28"/>
          <w:szCs w:val="28"/>
          <w:lang w:val="zh-CN"/>
        </w:rPr>
      </w:pPr>
      <w:r>
        <w:rPr>
          <w:rFonts w:hint="default" w:ascii="仿宋_GB2312" w:eastAsia="仿宋_GB2312"/>
          <w:sz w:val="28"/>
          <w:szCs w:val="28"/>
          <w:lang w:val="en-US"/>
        </w:rPr>
        <w:t>1</w:t>
      </w:r>
      <w:r>
        <w:rPr>
          <w:rFonts w:hint="eastAsia" w:ascii="仿宋_GB2312" w:eastAsia="仿宋_GB2312"/>
          <w:sz w:val="28"/>
          <w:szCs w:val="28"/>
          <w:lang w:val="en-US" w:eastAsia="zh-CN"/>
        </w:rPr>
        <w:t>3</w:t>
      </w:r>
      <w:r>
        <w:rPr>
          <w:rFonts w:hint="default" w:ascii="仿宋_GB2312" w:eastAsia="仿宋_GB2312"/>
          <w:sz w:val="28"/>
          <w:szCs w:val="28"/>
          <w:lang w:val="en-US"/>
        </w:rPr>
        <w:t>.</w:t>
      </w:r>
      <w:r>
        <w:rPr>
          <w:rFonts w:hint="eastAsia" w:ascii="仿宋_GB2312" w:eastAsia="仿宋_GB2312"/>
          <w:sz w:val="28"/>
          <w:szCs w:val="28"/>
          <w:lang w:val="zh-CN"/>
        </w:rPr>
        <w:t>自然资源海洋气象等支出（类）自然资源事务（款）其他自然资源事务支出（项）：反映除上述项目以外其他用于自然资源事务方面的支出。</w:t>
      </w:r>
    </w:p>
    <w:p>
      <w:pPr>
        <w:ind w:firstLine="560" w:firstLineChars="200"/>
        <w:rPr>
          <w:rFonts w:hint="eastAsia" w:ascii="仿宋_GB2312" w:eastAsia="仿宋_GB2312"/>
          <w:sz w:val="28"/>
          <w:szCs w:val="28"/>
          <w:lang w:val="en-US" w:eastAsia="zh-CN"/>
        </w:rPr>
      </w:pPr>
    </w:p>
    <w:p>
      <w:pPr>
        <w:ind w:firstLine="560" w:firstLineChars="200"/>
        <w:rPr>
          <w:rFonts w:hint="default" w:ascii="仿宋_GB2312" w:eastAsia="仿宋_GB2312"/>
          <w:sz w:val="28"/>
          <w:szCs w:val="28"/>
          <w:lang w:val="en-US"/>
        </w:rPr>
      </w:pPr>
    </w:p>
    <w:p>
      <w:pPr>
        <w:numPr>
          <w:ilvl w:val="0"/>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bookmarkStart w:id="0" w:name="_GoBack"/>
      <w:bookmarkEnd w:id="0"/>
      <w:r>
        <w:rPr>
          <w:rFonts w:hint="eastAsia" w:ascii="黑体" w:eastAsia="黑体"/>
          <w:sz w:val="28"/>
          <w:szCs w:val="28"/>
          <w:lang w:eastAsia="zh-CN"/>
        </w:rPr>
        <w:t>）</w:t>
      </w: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4"/>
      </w:rPr>
    </w:pPr>
    <w:r>
      <w:fldChar w:fldCharType="begin"/>
    </w:r>
    <w:r>
      <w:rPr>
        <w:rStyle w:val="14"/>
      </w:rPr>
      <w:instrText xml:space="preserve">PAGE  </w:instrText>
    </w:r>
    <w:r>
      <w:fldChar w:fldCharType="separate"/>
    </w:r>
    <w:r>
      <w:rPr>
        <w:rStyle w:val="14"/>
      </w:rPr>
      <w:t>14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FA376C"/>
    <w:multiLevelType w:val="singleLevel"/>
    <w:tmpl w:val="98FA376C"/>
    <w:lvl w:ilvl="0" w:tentative="0">
      <w:start w:val="3"/>
      <w:numFmt w:val="decimal"/>
      <w:suff w:val="nothing"/>
      <w:lvlText w:val="%1、"/>
      <w:lvlJc w:val="left"/>
      <w:pPr>
        <w:ind w:left="560" w:firstLine="0"/>
      </w:pPr>
    </w:lvl>
  </w:abstractNum>
  <w:abstractNum w:abstractNumId="1">
    <w:nsid w:val="9D7EBE0B"/>
    <w:multiLevelType w:val="singleLevel"/>
    <w:tmpl w:val="9D7EBE0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45B18C8"/>
    <w:rsid w:val="079004AC"/>
    <w:rsid w:val="080934D5"/>
    <w:rsid w:val="08995FCA"/>
    <w:rsid w:val="0B105F33"/>
    <w:rsid w:val="0D8C2AEA"/>
    <w:rsid w:val="0F8E2C57"/>
    <w:rsid w:val="1059665E"/>
    <w:rsid w:val="10AC13BA"/>
    <w:rsid w:val="16842A18"/>
    <w:rsid w:val="1AEC0734"/>
    <w:rsid w:val="1B3D6400"/>
    <w:rsid w:val="1C6D098B"/>
    <w:rsid w:val="1DEF20B0"/>
    <w:rsid w:val="214243FA"/>
    <w:rsid w:val="2515207D"/>
    <w:rsid w:val="257A14F5"/>
    <w:rsid w:val="258A22E3"/>
    <w:rsid w:val="27196C26"/>
    <w:rsid w:val="29EF086F"/>
    <w:rsid w:val="2A4041E4"/>
    <w:rsid w:val="2EB35555"/>
    <w:rsid w:val="2EDF70A6"/>
    <w:rsid w:val="2EFFE297"/>
    <w:rsid w:val="2FDD522F"/>
    <w:rsid w:val="301437CA"/>
    <w:rsid w:val="3255429E"/>
    <w:rsid w:val="32DF7352"/>
    <w:rsid w:val="32F57928"/>
    <w:rsid w:val="336070E4"/>
    <w:rsid w:val="33D5665B"/>
    <w:rsid w:val="39B24491"/>
    <w:rsid w:val="3A35431E"/>
    <w:rsid w:val="420E4D26"/>
    <w:rsid w:val="42AD130F"/>
    <w:rsid w:val="42D640BC"/>
    <w:rsid w:val="433E495C"/>
    <w:rsid w:val="4AC27CB3"/>
    <w:rsid w:val="4BF72BEF"/>
    <w:rsid w:val="50145B20"/>
    <w:rsid w:val="50EE23E7"/>
    <w:rsid w:val="51D74DCD"/>
    <w:rsid w:val="51DB3C59"/>
    <w:rsid w:val="54CE11D8"/>
    <w:rsid w:val="55762E42"/>
    <w:rsid w:val="561601FA"/>
    <w:rsid w:val="57A7B272"/>
    <w:rsid w:val="58470068"/>
    <w:rsid w:val="59E1000F"/>
    <w:rsid w:val="5A1720F9"/>
    <w:rsid w:val="5B58422B"/>
    <w:rsid w:val="5B9C37C2"/>
    <w:rsid w:val="5BA7C654"/>
    <w:rsid w:val="5EE0438F"/>
    <w:rsid w:val="607C6A2E"/>
    <w:rsid w:val="64C0607C"/>
    <w:rsid w:val="652E3C3C"/>
    <w:rsid w:val="65C543BA"/>
    <w:rsid w:val="676F09E1"/>
    <w:rsid w:val="6B670758"/>
    <w:rsid w:val="6F3F28F3"/>
    <w:rsid w:val="71310E46"/>
    <w:rsid w:val="71D40434"/>
    <w:rsid w:val="72E95F10"/>
    <w:rsid w:val="736B6FC9"/>
    <w:rsid w:val="761457C3"/>
    <w:rsid w:val="787C4DD2"/>
    <w:rsid w:val="78F56463"/>
    <w:rsid w:val="7905156A"/>
    <w:rsid w:val="79371479"/>
    <w:rsid w:val="7A7F1C49"/>
    <w:rsid w:val="7B5B7AE6"/>
    <w:rsid w:val="7BA7071E"/>
    <w:rsid w:val="7BDF6DA8"/>
    <w:rsid w:val="7C7EDC1A"/>
    <w:rsid w:val="7CCED98D"/>
    <w:rsid w:val="7D08410F"/>
    <w:rsid w:val="7DB96DED"/>
    <w:rsid w:val="7DD3AD81"/>
    <w:rsid w:val="7ED93637"/>
    <w:rsid w:val="7EF053A0"/>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link w:val="15"/>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annotation text"/>
    <w:basedOn w:val="1"/>
    <w:qFormat/>
    <w:uiPriority w:val="0"/>
    <w:pPr>
      <w:jc w:val="left"/>
    </w:p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2"/>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manualLayout>
                  <c:x val="0.00830197267342861"/>
                  <c:y val="-0.19550510418964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0923541898776381"/>
                  <c:y val="0.21225429147161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cap="none" spc="0" normalizeH="0" baseline="0">
                    <a:solidFill>
                      <a:schemeClr val="bg1"/>
                    </a:solidFill>
                    <a:uFill>
                      <a:solidFill>
                        <a:schemeClr val="tx1"/>
                      </a:solidFill>
                    </a:u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其他收入</c:v>
                </c:pt>
              </c:strCache>
            </c:strRef>
          </c:cat>
          <c:val>
            <c:numRef>
              <c:f>Sheet1!$B$2:$B$3</c:f>
              <c:numCache>
                <c:formatCode>General</c:formatCode>
                <c:ptCount val="2"/>
                <c:pt idx="0">
                  <c:v>1557.46</c:v>
                </c:pt>
                <c:pt idx="1">
                  <c:v>0.44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explosion val="1"/>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dLbl>
              <c:idx val="0"/>
              <c:layout>
                <c:manualLayout>
                  <c:x val="-0.0452207166144548"/>
                  <c:y val="-0.24296208795692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447024481255421"/>
                  <c:y val="0.125063849879454"/>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0.110694444444445"/>
                      <c:h val="0.0643518518518519"/>
                    </c:manualLayout>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cap="none" spc="0" normalizeH="0" baseline="0">
                    <a:solidFill>
                      <a:schemeClr val="bg1"/>
                    </a:solidFill>
                    <a:uFill>
                      <a:solidFill>
                        <a:srgbClr val="404040">
                          <a:lumMod val="75000"/>
                          <a:lumOff val="25000"/>
                        </a:srgbClr>
                      </a:solidFill>
                    </a:uFill>
                    <a:latin typeface="+mn-lt"/>
                    <a:ea typeface="+mn-ea"/>
                    <a:cs typeface="+mn-cs"/>
                  </a:defRPr>
                </a:pPr>
              </a:p>
            </c:txPr>
            <c:dLblPos val="bestFit"/>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spPr>
                    <a:ln w="9525" cap="flat" cmpd="sng" algn="ctr">
                      <a:solidFill>
                        <a:srgbClr val="A6A6A6">
                          <a:lumMod val="35000"/>
                          <a:lumOff val="65000"/>
                        </a:srgb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1487.94</c:v>
                </c:pt>
                <c:pt idx="1">
                  <c:v>65.33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365208333333333"/>
          <c:y val="0.895138888888889"/>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chemeClr val="bg1">
          <a:lumMod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1</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2024-09-04T08:31:41Z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