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style1.xml" ContentType="application/vnd.ms-office.chartstyle+xml"/>
  <Override PartName="/word/charts/style2.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仿宋_GB2312" w:eastAsia="仿宋_GB2312"/>
          <w:b/>
          <w:sz w:val="32"/>
          <w:szCs w:val="32"/>
        </w:rPr>
      </w:pPr>
    </w:p>
    <w:p>
      <w:pPr>
        <w:jc w:val="center"/>
        <w:rPr>
          <w:rFonts w:hint="eastAsia" w:ascii="黑体" w:eastAsia="黑体"/>
          <w:sz w:val="72"/>
          <w:szCs w:val="72"/>
        </w:rPr>
      </w:pPr>
    </w:p>
    <w:p>
      <w:pPr>
        <w:jc w:val="center"/>
        <w:rPr>
          <w:rFonts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rPr>
      </w:pPr>
    </w:p>
    <w:p>
      <w:pPr>
        <w:jc w:val="center"/>
        <w:rPr>
          <w:rFonts w:hint="eastAsia" w:ascii="黑体" w:eastAsia="黑体"/>
          <w:sz w:val="72"/>
          <w:szCs w:val="72"/>
          <w:lang w:eastAsia="zh-CN"/>
        </w:rPr>
      </w:pPr>
      <w:r>
        <w:rPr>
          <w:rFonts w:hint="eastAsia" w:ascii="黑体" w:eastAsia="黑体"/>
          <w:sz w:val="72"/>
          <w:szCs w:val="72"/>
        </w:rPr>
        <w:t>202</w:t>
      </w:r>
      <w:r>
        <w:rPr>
          <w:rFonts w:hint="eastAsia" w:ascii="黑体" w:eastAsia="黑体"/>
          <w:sz w:val="72"/>
          <w:szCs w:val="72"/>
          <w:lang w:val="en-US" w:eastAsia="zh-CN"/>
        </w:rPr>
        <w:t>3</w:t>
      </w:r>
      <w:r>
        <w:rPr>
          <w:rFonts w:hint="eastAsia" w:ascii="黑体" w:eastAsia="黑体"/>
          <w:sz w:val="72"/>
          <w:szCs w:val="72"/>
        </w:rPr>
        <w:t>年度部门决算</w:t>
      </w:r>
      <w:r>
        <w:rPr>
          <w:rFonts w:hint="eastAsia" w:ascii="黑体" w:eastAsia="黑体"/>
          <w:sz w:val="72"/>
          <w:szCs w:val="72"/>
          <w:lang w:eastAsia="zh-CN"/>
        </w:rPr>
        <w:t>公开</w:t>
      </w: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ascii="黑体" w:eastAsia="黑体"/>
          <w:sz w:val="52"/>
          <w:szCs w:val="52"/>
        </w:rPr>
      </w:pPr>
    </w:p>
    <w:p>
      <w:pPr>
        <w:jc w:val="center"/>
        <w:rPr>
          <w:rFonts w:hint="eastAsia" w:ascii="黑体" w:eastAsia="黑体"/>
          <w:sz w:val="32"/>
          <w:szCs w:val="32"/>
        </w:rPr>
      </w:pPr>
    </w:p>
    <w:p>
      <w:pPr>
        <w:spacing w:line="500" w:lineRule="exact"/>
        <w:ind w:firstLine="645"/>
        <w:jc w:val="center"/>
        <w:rPr>
          <w:rFonts w:ascii="宋体" w:hAnsi="宋体" w:cs="宋体"/>
          <w:b/>
          <w:bCs/>
          <w:kern w:val="0"/>
          <w:sz w:val="44"/>
          <w:szCs w:val="36"/>
        </w:rPr>
      </w:pPr>
      <w:r>
        <w:rPr>
          <w:rFonts w:hint="eastAsia" w:ascii="宋体" w:hAnsi="宋体" w:cs="宋体"/>
          <w:b/>
          <w:bCs/>
          <w:kern w:val="0"/>
          <w:sz w:val="44"/>
          <w:szCs w:val="36"/>
        </w:rPr>
        <w:t>目    录</w:t>
      </w:r>
    </w:p>
    <w:p>
      <w:pPr>
        <w:spacing w:line="500" w:lineRule="exact"/>
        <w:ind w:firstLine="645"/>
        <w:jc w:val="center"/>
        <w:rPr>
          <w:rFonts w:hint="eastAsia" w:ascii="宋体" w:hAnsi="宋体" w:cs="宋体"/>
          <w:b/>
          <w:bCs/>
          <w:kern w:val="0"/>
          <w:sz w:val="36"/>
          <w:szCs w:val="36"/>
        </w:rPr>
      </w:pP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第一部分 202</w:t>
      </w:r>
      <w:r>
        <w:rPr>
          <w:rFonts w:hint="eastAsia" w:ascii="宋体" w:hAnsi="宋体" w:cs="宋体"/>
          <w:bCs/>
          <w:spacing w:val="40"/>
          <w:kern w:val="0"/>
          <w:sz w:val="32"/>
          <w:szCs w:val="32"/>
          <w:lang w:val="en-US" w:eastAsia="zh-CN"/>
        </w:rPr>
        <w:t>3</w:t>
      </w:r>
      <w:r>
        <w:rPr>
          <w:rFonts w:hint="eastAsia" w:ascii="宋体" w:hAnsi="宋体" w:cs="宋体"/>
          <w:bCs/>
          <w:spacing w:val="40"/>
          <w:kern w:val="0"/>
          <w:sz w:val="32"/>
          <w:szCs w:val="32"/>
        </w:rPr>
        <w:t>年度部门决算报表</w:t>
      </w:r>
    </w:p>
    <w:p>
      <w:pPr>
        <w:tabs>
          <w:tab w:val="center" w:pos="6979"/>
        </w:tabs>
        <w:spacing w:line="500" w:lineRule="exact"/>
        <w:ind w:firstLine="2400" w:firstLineChars="600"/>
        <w:jc w:val="left"/>
        <w:rPr>
          <w:rFonts w:hint="eastAsia" w:ascii="仿宋_GB2312" w:hAnsi="仿宋" w:eastAsia="仿宋_GB2312"/>
          <w:spacing w:val="40"/>
          <w:sz w:val="32"/>
          <w:szCs w:val="32"/>
        </w:rPr>
      </w:pPr>
      <w:r>
        <w:rPr>
          <w:rFonts w:hint="eastAsia" w:ascii="仿宋_GB2312" w:hAnsi="仿宋" w:eastAsia="仿宋_GB2312" w:cs="宋体"/>
          <w:bCs/>
          <w:spacing w:val="40"/>
          <w:kern w:val="0"/>
          <w:sz w:val="32"/>
          <w:szCs w:val="32"/>
        </w:rPr>
        <w:t>一、收入支出决算总表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二、收入决算表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三、支出决算表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四、财政拨款收入支出决算总表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五、一般公共预算财政拨款收入支出决算表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六、一般公共预算财政拨款支出决算表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七、一般公共预算财政拨款</w:t>
      </w:r>
      <w:r>
        <w:rPr>
          <w:rFonts w:ascii="仿宋_GB2312" w:hAnsi="仿宋" w:eastAsia="仿宋_GB2312" w:cs="宋体"/>
          <w:bCs/>
          <w:spacing w:val="40"/>
          <w:kern w:val="0"/>
          <w:sz w:val="32"/>
          <w:szCs w:val="32"/>
        </w:rPr>
        <w:t>基本支出决算表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八</w:t>
      </w:r>
      <w:r>
        <w:rPr>
          <w:rFonts w:ascii="仿宋_GB2312" w:hAnsi="仿宋" w:eastAsia="仿宋_GB2312" w:cs="宋体"/>
          <w:bCs/>
          <w:spacing w:val="40"/>
          <w:kern w:val="0"/>
          <w:sz w:val="32"/>
          <w:szCs w:val="32"/>
        </w:rPr>
        <w:t>、</w:t>
      </w:r>
      <w:r>
        <w:rPr>
          <w:rFonts w:hint="eastAsia" w:ascii="仿宋_GB2312" w:hAnsi="仿宋" w:eastAsia="仿宋_GB2312" w:cs="宋体"/>
          <w:bCs/>
          <w:spacing w:val="40"/>
          <w:kern w:val="0"/>
          <w:sz w:val="32"/>
          <w:szCs w:val="32"/>
        </w:rPr>
        <w:t>政府性基金预算财政拨款收入支出决算表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九、</w:t>
      </w:r>
      <w:r>
        <w:rPr>
          <w:rFonts w:ascii="仿宋_GB2312" w:hAnsi="仿宋" w:eastAsia="仿宋_GB2312" w:cs="宋体"/>
          <w:bCs/>
          <w:spacing w:val="40"/>
          <w:kern w:val="0"/>
          <w:sz w:val="32"/>
          <w:szCs w:val="32"/>
        </w:rPr>
        <w:t>政府性基金</w:t>
      </w:r>
      <w:r>
        <w:rPr>
          <w:rFonts w:hint="eastAsia" w:ascii="仿宋_GB2312" w:hAnsi="仿宋" w:eastAsia="仿宋_GB2312" w:cs="宋体"/>
          <w:bCs/>
          <w:spacing w:val="40"/>
          <w:kern w:val="0"/>
          <w:sz w:val="32"/>
          <w:szCs w:val="32"/>
        </w:rPr>
        <w:t>预算</w:t>
      </w:r>
      <w:r>
        <w:rPr>
          <w:rFonts w:ascii="仿宋_GB2312" w:hAnsi="仿宋" w:eastAsia="仿宋_GB2312" w:cs="宋体"/>
          <w:bCs/>
          <w:spacing w:val="40"/>
          <w:kern w:val="0"/>
          <w:sz w:val="32"/>
          <w:szCs w:val="32"/>
        </w:rPr>
        <w:t>财政拨款基本支出决算表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十、国有资本经营预算财政拨款支出决算表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十一、财政拨款“三公”经费支出决算表</w:t>
      </w:r>
    </w:p>
    <w:p>
      <w:pPr>
        <w:tabs>
          <w:tab w:val="center" w:pos="6979"/>
        </w:tabs>
        <w:spacing w:line="500" w:lineRule="exact"/>
        <w:ind w:firstLine="2400" w:firstLineChars="600"/>
        <w:jc w:val="left"/>
        <w:rPr>
          <w:rFonts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十二、政府采购情况表</w:t>
      </w:r>
    </w:p>
    <w:p>
      <w:pPr>
        <w:tabs>
          <w:tab w:val="center" w:pos="6979"/>
        </w:tabs>
        <w:spacing w:line="500" w:lineRule="exact"/>
        <w:ind w:firstLine="2400" w:firstLineChars="600"/>
        <w:jc w:val="left"/>
        <w:rPr>
          <w:rFonts w:hint="eastAsia" w:ascii="仿宋_GB2312" w:hAnsi="仿宋" w:eastAsia="仿宋_GB2312" w:cs="宋体"/>
          <w:bCs/>
          <w:spacing w:val="40"/>
          <w:kern w:val="0"/>
          <w:sz w:val="32"/>
          <w:szCs w:val="32"/>
        </w:rPr>
      </w:pPr>
      <w:r>
        <w:rPr>
          <w:rFonts w:hint="eastAsia" w:ascii="仿宋_GB2312" w:hAnsi="仿宋" w:eastAsia="仿宋_GB2312" w:cs="宋体"/>
          <w:bCs/>
          <w:spacing w:val="40"/>
          <w:kern w:val="0"/>
          <w:sz w:val="32"/>
          <w:szCs w:val="32"/>
        </w:rPr>
        <w:t>十三、政府购买服务决算公开情况表</w:t>
      </w:r>
    </w:p>
    <w:p>
      <w:pPr>
        <w:tabs>
          <w:tab w:val="center" w:pos="6979"/>
        </w:tabs>
        <w:spacing w:line="500" w:lineRule="exact"/>
        <w:ind w:firstLine="1600" w:firstLineChars="400"/>
        <w:jc w:val="left"/>
        <w:rPr>
          <w:rFonts w:hint="eastAsia" w:ascii="宋体" w:hAnsi="宋体" w:cs="宋体"/>
          <w:bCs/>
          <w:spacing w:val="40"/>
          <w:kern w:val="0"/>
          <w:sz w:val="32"/>
          <w:szCs w:val="32"/>
        </w:rPr>
      </w:pPr>
      <w:r>
        <w:rPr>
          <w:rFonts w:hint="eastAsia" w:ascii="宋体" w:hAnsi="宋体" w:cs="宋体"/>
          <w:bCs/>
          <w:spacing w:val="40"/>
          <w:kern w:val="0"/>
          <w:sz w:val="32"/>
          <w:szCs w:val="32"/>
        </w:rPr>
        <w:t xml:space="preserve">第二部分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年度部门决算说明</w:t>
      </w:r>
    </w:p>
    <w:p>
      <w:pPr>
        <w:tabs>
          <w:tab w:val="center" w:pos="6979"/>
        </w:tabs>
        <w:spacing w:line="500" w:lineRule="exact"/>
        <w:ind w:firstLine="1600" w:firstLineChars="400"/>
        <w:jc w:val="left"/>
        <w:rPr>
          <w:rFonts w:hint="eastAsia" w:ascii="宋体" w:hAnsi="宋体" w:cs="宋体"/>
          <w:spacing w:val="40"/>
          <w:kern w:val="0"/>
          <w:sz w:val="32"/>
          <w:szCs w:val="32"/>
        </w:rPr>
      </w:pPr>
      <w:r>
        <w:rPr>
          <w:rFonts w:hint="eastAsia" w:ascii="宋体" w:hAnsi="宋体" w:cs="宋体"/>
          <w:bCs/>
          <w:spacing w:val="40"/>
          <w:kern w:val="0"/>
          <w:sz w:val="32"/>
          <w:szCs w:val="32"/>
        </w:rPr>
        <w:t xml:space="preserve">第三部分 </w:t>
      </w:r>
      <w:r>
        <w:rPr>
          <w:rFonts w:hint="eastAsia" w:ascii="宋体" w:hAnsi="宋体"/>
          <w:spacing w:val="40"/>
          <w:sz w:val="32"/>
          <w:szCs w:val="32"/>
        </w:rPr>
        <w:t>202</w:t>
      </w:r>
      <w:r>
        <w:rPr>
          <w:rFonts w:hint="eastAsia" w:ascii="宋体" w:hAnsi="宋体"/>
          <w:spacing w:val="40"/>
          <w:sz w:val="32"/>
          <w:szCs w:val="32"/>
          <w:lang w:val="en-US" w:eastAsia="zh-CN"/>
        </w:rPr>
        <w:t>3</w:t>
      </w:r>
      <w:r>
        <w:rPr>
          <w:rFonts w:hint="eastAsia" w:ascii="宋体" w:hAnsi="宋体"/>
          <w:spacing w:val="40"/>
          <w:sz w:val="32"/>
          <w:szCs w:val="32"/>
        </w:rPr>
        <w:t>年度</w:t>
      </w:r>
      <w:r>
        <w:rPr>
          <w:rFonts w:hint="eastAsia" w:ascii="宋体" w:hAnsi="宋体" w:cs="宋体"/>
          <w:spacing w:val="40"/>
          <w:kern w:val="0"/>
          <w:sz w:val="32"/>
          <w:szCs w:val="32"/>
        </w:rPr>
        <w:t>其他重要事项的情况说明</w:t>
      </w:r>
    </w:p>
    <w:p>
      <w:pPr>
        <w:tabs>
          <w:tab w:val="center" w:pos="6979"/>
        </w:tabs>
        <w:spacing w:line="500" w:lineRule="exact"/>
        <w:ind w:firstLine="1600" w:firstLineChars="400"/>
        <w:jc w:val="left"/>
        <w:rPr>
          <w:rFonts w:hint="eastAsia" w:ascii="宋体" w:hAnsi="宋体" w:cs="宋体"/>
          <w:spacing w:val="40"/>
          <w:kern w:val="0"/>
          <w:sz w:val="36"/>
          <w:szCs w:val="32"/>
        </w:rPr>
      </w:pPr>
      <w:r>
        <w:rPr>
          <w:rFonts w:hint="eastAsia" w:ascii="宋体" w:hAnsi="宋体" w:cs="宋体"/>
          <w:spacing w:val="40"/>
          <w:kern w:val="0"/>
          <w:sz w:val="32"/>
          <w:szCs w:val="32"/>
        </w:rPr>
        <w:t>第四部分 202</w:t>
      </w:r>
      <w:r>
        <w:rPr>
          <w:rFonts w:hint="eastAsia" w:ascii="宋体" w:hAnsi="宋体" w:cs="宋体"/>
          <w:spacing w:val="40"/>
          <w:kern w:val="0"/>
          <w:sz w:val="32"/>
          <w:szCs w:val="32"/>
          <w:lang w:val="en-US" w:eastAsia="zh-CN"/>
        </w:rPr>
        <w:t>3</w:t>
      </w:r>
      <w:r>
        <w:rPr>
          <w:rFonts w:hint="eastAsia" w:ascii="宋体" w:hAnsi="宋体" w:cs="宋体"/>
          <w:spacing w:val="40"/>
          <w:kern w:val="0"/>
          <w:sz w:val="32"/>
          <w:szCs w:val="32"/>
        </w:rPr>
        <w:t>年度部门绩效评价情况</w:t>
      </w: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p>
    <w:p>
      <w:pPr>
        <w:tabs>
          <w:tab w:val="center" w:pos="6979"/>
        </w:tabs>
        <w:spacing w:before="156" w:beforeLines="50" w:after="156" w:afterLines="50"/>
        <w:jc w:val="center"/>
        <w:rPr>
          <w:rFonts w:hint="eastAsia" w:ascii="宋体" w:hAnsi="宋体" w:cs="宋体"/>
          <w:b/>
          <w:bCs/>
          <w:spacing w:val="40"/>
          <w:kern w:val="0"/>
          <w:sz w:val="32"/>
          <w:szCs w:val="32"/>
        </w:rPr>
      </w:pPr>
      <w:r>
        <w:rPr>
          <w:rFonts w:hint="eastAsia" w:ascii="宋体" w:hAnsi="宋体" w:cs="宋体"/>
          <w:b/>
          <w:bCs/>
          <w:spacing w:val="40"/>
          <w:kern w:val="0"/>
          <w:sz w:val="44"/>
          <w:szCs w:val="44"/>
        </w:rPr>
        <w:t>第一部分 202</w:t>
      </w:r>
      <w:r>
        <w:rPr>
          <w:rFonts w:hint="eastAsia" w:ascii="宋体" w:hAnsi="宋体" w:cs="宋体"/>
          <w:b/>
          <w:bCs/>
          <w:spacing w:val="40"/>
          <w:kern w:val="0"/>
          <w:sz w:val="44"/>
          <w:szCs w:val="44"/>
          <w:lang w:val="en-US" w:eastAsia="zh-CN"/>
        </w:rPr>
        <w:t>3</w:t>
      </w:r>
      <w:r>
        <w:rPr>
          <w:rFonts w:hint="eastAsia" w:ascii="宋体" w:hAnsi="宋体" w:cs="宋体"/>
          <w:b/>
          <w:bCs/>
          <w:spacing w:val="40"/>
          <w:kern w:val="0"/>
          <w:sz w:val="44"/>
          <w:szCs w:val="44"/>
        </w:rPr>
        <w:t>年度部门决算报表</w:t>
      </w:r>
    </w:p>
    <w:p>
      <w:pPr>
        <w:pStyle w:val="2"/>
        <w:rPr>
          <w:rFonts w:hint="eastAsia"/>
          <w:b w:val="0"/>
          <w:bCs w:val="0"/>
        </w:rPr>
        <w:sectPr>
          <w:footerReference r:id="rId3" w:type="default"/>
          <w:pgSz w:w="16838" w:h="11906" w:orient="landscape"/>
          <w:pgMar w:top="1134" w:right="1134" w:bottom="1134" w:left="1134" w:header="851" w:footer="992" w:gutter="0"/>
          <w:cols w:space="720" w:num="1"/>
          <w:docGrid w:type="linesAndChars" w:linePitch="312" w:charSpace="0"/>
        </w:sectPr>
      </w:pPr>
      <w:r>
        <w:rPr>
          <w:rFonts w:hint="eastAsia" w:ascii="仿宋_GB2312" w:eastAsia="仿宋_GB2312"/>
          <w:sz w:val="28"/>
          <w:szCs w:val="28"/>
        </w:rPr>
        <w:t xml:space="preserve"> </w:t>
      </w:r>
      <w:r>
        <w:rPr>
          <w:rFonts w:hint="eastAsia" w:ascii="仿宋_GB2312" w:eastAsia="仿宋_GB2312"/>
          <w:sz w:val="28"/>
          <w:szCs w:val="28"/>
          <w:lang w:val="en-US" w:eastAsia="zh-CN"/>
        </w:rPr>
        <w:t xml:space="preserve">  </w:t>
      </w:r>
      <w:r>
        <w:rPr>
          <w:rFonts w:hint="eastAsia" w:ascii="仿宋_GB2312" w:eastAsia="仿宋_GB2312"/>
          <w:b w:val="0"/>
          <w:bCs w:val="0"/>
          <w:sz w:val="28"/>
          <w:szCs w:val="28"/>
        </w:rPr>
        <w:t>报表详见附件</w:t>
      </w:r>
      <w:r>
        <w:rPr>
          <w:rFonts w:hint="eastAsia" w:ascii="仿宋_GB2312" w:eastAsia="仿宋_GB2312"/>
          <w:b w:val="0"/>
          <w:bCs w:val="0"/>
          <w:sz w:val="28"/>
          <w:szCs w:val="28"/>
          <w:lang w:val="en-US" w:eastAsia="zh-CN"/>
        </w:rPr>
        <w:t>1</w:t>
      </w:r>
      <w:r>
        <w:rPr>
          <w:rFonts w:hint="eastAsia" w:ascii="仿宋_GB2312" w:eastAsia="仿宋_GB2312"/>
          <w:b w:val="0"/>
          <w:bCs w:val="0"/>
          <w:sz w:val="28"/>
          <w:szCs w:val="28"/>
        </w:rPr>
        <w:t>。</w:t>
      </w:r>
    </w:p>
    <w:p>
      <w:pPr>
        <w:tabs>
          <w:tab w:val="center" w:pos="6979"/>
        </w:tabs>
        <w:spacing w:before="156" w:beforeLines="50" w:after="156" w:afterLines="50"/>
        <w:jc w:val="center"/>
        <w:rPr>
          <w:rFonts w:hint="eastAsia" w:ascii="宋体" w:hAnsi="宋体"/>
          <w:b/>
          <w:sz w:val="32"/>
          <w:szCs w:val="32"/>
        </w:rPr>
      </w:pPr>
      <w:r>
        <w:rPr>
          <w:rFonts w:hint="eastAsia" w:ascii="宋体" w:hAnsi="宋体" w:cs="宋体"/>
          <w:b/>
          <w:bCs/>
          <w:spacing w:val="40"/>
          <w:kern w:val="0"/>
          <w:sz w:val="32"/>
          <w:szCs w:val="32"/>
        </w:rPr>
        <w:t xml:space="preserve">第二部分 </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年度部门决算说明</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一、单位基本情况</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（一）机构</w:t>
      </w:r>
      <w:r>
        <w:rPr>
          <w:rFonts w:ascii="仿宋_GB2312" w:eastAsia="仿宋_GB2312"/>
          <w:sz w:val="28"/>
          <w:szCs w:val="28"/>
        </w:rPr>
        <w:t>设置、</w:t>
      </w:r>
      <w:r>
        <w:rPr>
          <w:rFonts w:hint="eastAsia" w:ascii="仿宋_GB2312" w:eastAsia="仿宋_GB2312"/>
          <w:sz w:val="28"/>
          <w:szCs w:val="28"/>
        </w:rPr>
        <w:t>职责</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1.机构设置。根据中共北京市规划和自然资源委员会党组关于印发《北京市规划和自然资源标准化中心职能配置、内设机构和人员编制规定》的通知精神，我中心设立5个科室，分别是综合办公室、研究室、编制一科、编制科二科、管理科。</w:t>
      </w:r>
    </w:p>
    <w:p>
      <w:pPr>
        <w:tabs>
          <w:tab w:val="center" w:pos="6979"/>
        </w:tabs>
        <w:spacing w:line="580" w:lineRule="exact"/>
        <w:ind w:firstLine="420" w:firstLineChars="150"/>
        <w:rPr>
          <w:rFonts w:hint="eastAsia" w:ascii="仿宋_GB2312" w:eastAsia="仿宋_GB2312"/>
          <w:sz w:val="28"/>
          <w:szCs w:val="28"/>
        </w:rPr>
      </w:pPr>
      <w:r>
        <w:rPr>
          <w:rFonts w:hint="eastAsia" w:ascii="仿宋_GB2312" w:eastAsia="仿宋_GB2312"/>
          <w:sz w:val="28"/>
          <w:szCs w:val="28"/>
        </w:rPr>
        <w:t xml:space="preserve">2.主要职责。根据市编办《中共北京市委机构编制委员会关于市规划自然资源系统所属事业单位改革有关事项的批复》（京编委〔2021〕123号）文件精神，我中心职责为承担本市国土空间规划、自然资源管理、勘察设计和测绘等标准基础研究、立项编制、审查报批、宣传培训等事务性工作。 </w:t>
      </w:r>
    </w:p>
    <w:p>
      <w:pPr>
        <w:tabs>
          <w:tab w:val="center" w:pos="6979"/>
        </w:tabs>
        <w:spacing w:line="580" w:lineRule="exact"/>
        <w:ind w:firstLine="420" w:firstLineChars="150"/>
        <w:rPr>
          <w:rFonts w:ascii="仿宋_GB2312" w:eastAsia="仿宋_GB2312"/>
          <w:sz w:val="28"/>
          <w:szCs w:val="28"/>
        </w:rPr>
      </w:pPr>
      <w:r>
        <w:rPr>
          <w:rFonts w:hint="eastAsia" w:ascii="仿宋_GB2312" w:eastAsia="仿宋_GB2312"/>
          <w:sz w:val="28"/>
          <w:szCs w:val="28"/>
        </w:rPr>
        <w:t>（二）人员构成情况</w:t>
      </w:r>
    </w:p>
    <w:p>
      <w:pPr>
        <w:tabs>
          <w:tab w:val="center" w:pos="6979"/>
        </w:tabs>
        <w:spacing w:line="580" w:lineRule="exact"/>
        <w:ind w:firstLine="560" w:firstLineChars="200"/>
        <w:rPr>
          <w:rFonts w:ascii="仿宋_GB2312" w:eastAsia="仿宋_GB2312"/>
          <w:kern w:val="0"/>
          <w:sz w:val="28"/>
          <w:szCs w:val="28"/>
        </w:rPr>
      </w:pPr>
      <w:r>
        <w:rPr>
          <w:rFonts w:hint="eastAsia" w:ascii="仿宋_GB2312" w:eastAsia="仿宋_GB2312"/>
          <w:kern w:val="0"/>
          <w:sz w:val="28"/>
          <w:szCs w:val="28"/>
        </w:rPr>
        <w:t>行政编制</w:t>
      </w:r>
      <w:r>
        <w:rPr>
          <w:rFonts w:hint="eastAsia" w:ascii="仿宋_GB2312" w:eastAsia="仿宋_GB2312"/>
          <w:kern w:val="0"/>
          <w:sz w:val="28"/>
          <w:szCs w:val="28"/>
          <w:lang w:val="en-US" w:eastAsia="zh-CN"/>
        </w:rPr>
        <w:t>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0</w:t>
      </w:r>
      <w:r>
        <w:rPr>
          <w:rFonts w:hint="eastAsia" w:ascii="仿宋_GB2312" w:eastAsia="仿宋_GB2312"/>
          <w:kern w:val="0"/>
          <w:sz w:val="28"/>
          <w:szCs w:val="28"/>
        </w:rPr>
        <w:t>人；事业编制</w:t>
      </w:r>
      <w:r>
        <w:rPr>
          <w:rFonts w:hint="eastAsia" w:ascii="仿宋_GB2312" w:eastAsia="仿宋_GB2312"/>
          <w:kern w:val="0"/>
          <w:sz w:val="28"/>
          <w:szCs w:val="28"/>
          <w:lang w:val="en-US" w:eastAsia="zh-CN"/>
        </w:rPr>
        <w:t>20</w:t>
      </w:r>
      <w:r>
        <w:rPr>
          <w:rFonts w:hint="eastAsia" w:ascii="仿宋_GB2312" w:eastAsia="仿宋_GB2312"/>
          <w:kern w:val="0"/>
          <w:sz w:val="28"/>
          <w:szCs w:val="28"/>
        </w:rPr>
        <w:t>人，实有人数</w:t>
      </w:r>
      <w:r>
        <w:rPr>
          <w:rFonts w:hint="eastAsia" w:ascii="仿宋_GB2312" w:eastAsia="仿宋_GB2312"/>
          <w:kern w:val="0"/>
          <w:sz w:val="28"/>
          <w:szCs w:val="28"/>
          <w:lang w:val="en-US" w:eastAsia="zh-CN"/>
        </w:rPr>
        <w:t>16</w:t>
      </w:r>
      <w:r>
        <w:rPr>
          <w:rFonts w:hint="eastAsia" w:ascii="仿宋_GB2312" w:eastAsia="仿宋_GB2312"/>
          <w:kern w:val="0"/>
          <w:sz w:val="28"/>
          <w:szCs w:val="28"/>
        </w:rPr>
        <w:t>人。</w:t>
      </w:r>
    </w:p>
    <w:p>
      <w:pPr>
        <w:tabs>
          <w:tab w:val="center" w:pos="6979"/>
        </w:tabs>
        <w:spacing w:line="580" w:lineRule="exact"/>
        <w:rPr>
          <w:rFonts w:hint="eastAsia" w:ascii="黑体" w:eastAsia="黑体"/>
          <w:b/>
          <w:sz w:val="28"/>
          <w:szCs w:val="28"/>
        </w:rPr>
      </w:pPr>
      <w:r>
        <w:rPr>
          <w:rFonts w:hint="eastAsia" w:ascii="仿宋_GB2312" w:eastAsia="仿宋_GB2312"/>
          <w:b/>
          <w:sz w:val="32"/>
          <w:szCs w:val="32"/>
        </w:rPr>
        <w:t xml:space="preserve">   </w:t>
      </w:r>
      <w:r>
        <w:rPr>
          <w:rFonts w:hint="eastAsia" w:ascii="黑体" w:eastAsia="黑体"/>
          <w:b/>
          <w:sz w:val="28"/>
          <w:szCs w:val="28"/>
        </w:rPr>
        <w:t>二、收入支出决算总体情况说明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1290.67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6.96</w:t>
      </w:r>
      <w:r>
        <w:rPr>
          <w:rFonts w:hint="eastAsia" w:ascii="仿宋_GB2312" w:eastAsia="仿宋_GB2312"/>
          <w:sz w:val="28"/>
          <w:szCs w:val="28"/>
        </w:rPr>
        <w:t>万元，下降</w:t>
      </w:r>
      <w:r>
        <w:rPr>
          <w:rFonts w:hint="eastAsia" w:ascii="仿宋_GB2312" w:eastAsia="仿宋_GB2312"/>
          <w:sz w:val="28"/>
          <w:szCs w:val="28"/>
          <w:lang w:val="en-US" w:eastAsia="zh-CN"/>
        </w:rPr>
        <w:t>0.54</w:t>
      </w:r>
      <w:r>
        <w:rPr>
          <w:rFonts w:hint="eastAsia" w:ascii="仿宋_GB2312" w:eastAsia="仿宋_GB2312"/>
          <w:sz w:val="28"/>
          <w:szCs w:val="28"/>
        </w:rPr>
        <w:t>%。</w:t>
      </w:r>
    </w:p>
    <w:p>
      <w:pPr>
        <w:tabs>
          <w:tab w:val="center" w:pos="6979"/>
        </w:tabs>
        <w:spacing w:line="580" w:lineRule="exact"/>
        <w:ind w:firstLine="570"/>
        <w:rPr>
          <w:rFonts w:hint="eastAsia" w:ascii="仿宋_GB2312" w:eastAsia="仿宋_GB2312"/>
          <w:sz w:val="28"/>
          <w:szCs w:val="28"/>
          <w:highlight w:val="none"/>
        </w:rPr>
      </w:pPr>
      <w:r>
        <w:rPr>
          <w:rFonts w:hint="eastAsia" w:ascii="仿宋_GB2312" w:eastAsia="仿宋_GB2312"/>
          <w:sz w:val="28"/>
          <w:szCs w:val="28"/>
          <w:highlight w:val="none"/>
        </w:rPr>
        <w:t>（一</w:t>
      </w:r>
      <w:r>
        <w:rPr>
          <w:rFonts w:ascii="仿宋_GB2312" w:eastAsia="仿宋_GB2312"/>
          <w:sz w:val="28"/>
          <w:szCs w:val="28"/>
          <w:highlight w:val="none"/>
        </w:rPr>
        <w:t>）</w:t>
      </w:r>
      <w:r>
        <w:rPr>
          <w:rFonts w:hint="eastAsia" w:ascii="仿宋_GB2312" w:eastAsia="仿宋_GB2312"/>
          <w:sz w:val="28"/>
          <w:szCs w:val="28"/>
          <w:highlight w:val="none"/>
        </w:rPr>
        <w:t>收入决算</w:t>
      </w:r>
      <w:r>
        <w:rPr>
          <w:rFonts w:ascii="仿宋_GB2312" w:eastAsia="仿宋_GB2312"/>
          <w:sz w:val="28"/>
          <w:szCs w:val="28"/>
          <w:highlight w:val="none"/>
        </w:rPr>
        <w:t>说明</w:t>
      </w:r>
    </w:p>
    <w:p>
      <w:pPr>
        <w:tabs>
          <w:tab w:val="center" w:pos="6979"/>
        </w:tabs>
        <w:spacing w:line="580" w:lineRule="exact"/>
        <w:ind w:firstLine="570"/>
        <w:rPr>
          <w:rFonts w:hint="eastAsia" w:ascii="仿宋_GB2312" w:eastAsia="仿宋_GB2312"/>
          <w:sz w:val="28"/>
          <w:szCs w:val="28"/>
          <w:lang w:eastAsia="zh-CN"/>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年度本年收入合计</w:t>
      </w:r>
      <w:r>
        <w:rPr>
          <w:rFonts w:ascii="仿宋_GB2312" w:eastAsia="仿宋_GB2312"/>
          <w:sz w:val="28"/>
          <w:szCs w:val="28"/>
        </w:rPr>
        <w:t>1290.67</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0.34</w:t>
      </w:r>
      <w:r>
        <w:rPr>
          <w:rFonts w:hint="eastAsia" w:ascii="仿宋_GB2312" w:eastAsia="仿宋_GB2312"/>
          <w:sz w:val="28"/>
          <w:szCs w:val="28"/>
        </w:rPr>
        <w:t>万元，下降</w:t>
      </w:r>
      <w:r>
        <w:rPr>
          <w:rFonts w:hint="eastAsia" w:ascii="仿宋_GB2312" w:eastAsia="仿宋_GB2312"/>
          <w:sz w:val="28"/>
          <w:szCs w:val="28"/>
          <w:lang w:val="en-US" w:eastAsia="zh-CN"/>
        </w:rPr>
        <w:t>0.03</w:t>
      </w:r>
      <w:r>
        <w:rPr>
          <w:rFonts w:hint="eastAsia" w:ascii="仿宋_GB2312" w:eastAsia="仿宋_GB2312"/>
          <w:sz w:val="28"/>
          <w:szCs w:val="28"/>
        </w:rPr>
        <w:t>%</w:t>
      </w:r>
      <w:r>
        <w:rPr>
          <w:rFonts w:hint="eastAsia" w:ascii="仿宋_GB2312" w:eastAsia="仿宋_GB2312"/>
          <w:sz w:val="28"/>
          <w:szCs w:val="28"/>
          <w:lang w:eastAsia="zh-CN"/>
        </w:rPr>
        <w:t>。</w:t>
      </w:r>
    </w:p>
    <w:p>
      <w:pPr>
        <w:tabs>
          <w:tab w:val="center" w:pos="6979"/>
        </w:tabs>
        <w:spacing w:line="580" w:lineRule="exact"/>
        <w:ind w:firstLine="560" w:firstLineChars="200"/>
        <w:rPr>
          <w:rFonts w:hint="eastAsia"/>
        </w:rPr>
      </w:pPr>
      <w:r>
        <w:rPr>
          <w:rFonts w:hint="eastAsia" w:ascii="仿宋_GB2312" w:eastAsia="仿宋_GB2312"/>
          <w:sz w:val="28"/>
          <w:szCs w:val="28"/>
        </w:rPr>
        <w:t>1.财政拨款收入</w:t>
      </w:r>
      <w:r>
        <w:rPr>
          <w:rFonts w:ascii="仿宋_GB2312" w:eastAsia="仿宋_GB2312"/>
          <w:sz w:val="28"/>
          <w:szCs w:val="28"/>
        </w:rPr>
        <w:t>1290.58</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%。其中：一般公共预算财政拨款收入</w:t>
      </w:r>
      <w:r>
        <w:rPr>
          <w:rFonts w:ascii="仿宋_GB2312" w:eastAsia="仿宋_GB2312"/>
          <w:sz w:val="28"/>
          <w:szCs w:val="28"/>
        </w:rPr>
        <w:t>1290.58</w:t>
      </w:r>
      <w:r>
        <w:rPr>
          <w:rFonts w:hint="eastAsia" w:ascii="仿宋_GB2312" w:eastAsia="仿宋_GB2312"/>
          <w:sz w:val="28"/>
          <w:szCs w:val="28"/>
        </w:rPr>
        <w:t>万元，占收入合计的</w:t>
      </w:r>
      <w:r>
        <w:rPr>
          <w:rFonts w:ascii="仿宋_GB2312" w:eastAsia="仿宋_GB2312"/>
          <w:sz w:val="28"/>
          <w:szCs w:val="28"/>
        </w:rPr>
        <w:t>99.99</w:t>
      </w:r>
      <w:r>
        <w:rPr>
          <w:rFonts w:hint="eastAsia" w:ascii="仿宋_GB2312" w:eastAsia="仿宋_GB2312"/>
          <w:sz w:val="28"/>
          <w:szCs w:val="28"/>
        </w:rPr>
        <w:t>%；政府性基金预算财政拨款收入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%；国有资本经营预算财政拨款收入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2.上级补助收入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3.事业收入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4.经营收入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5.附属单位上缴收入</w:t>
      </w:r>
      <w:r>
        <w:rPr>
          <w:rFonts w:ascii="仿宋_GB2312" w:eastAsia="仿宋_GB2312"/>
          <w:sz w:val="28"/>
          <w:szCs w:val="28"/>
        </w:rPr>
        <w:t>0</w:t>
      </w:r>
      <w:r>
        <w:rPr>
          <w:rFonts w:hint="eastAsia" w:ascii="仿宋_GB2312" w:eastAsia="仿宋_GB2312"/>
          <w:sz w:val="28"/>
          <w:szCs w:val="28"/>
        </w:rPr>
        <w:t>万元，占收入合计的</w:t>
      </w:r>
      <w:r>
        <w:rPr>
          <w:rFonts w:ascii="仿宋_GB2312" w:eastAsia="仿宋_GB2312"/>
          <w:sz w:val="28"/>
          <w:szCs w:val="28"/>
        </w:rPr>
        <w:t>0</w:t>
      </w:r>
      <w:r>
        <w:rPr>
          <w:rFonts w:hint="eastAsia" w:ascii="仿宋_GB2312" w:eastAsia="仿宋_GB2312"/>
          <w:sz w:val="28"/>
          <w:szCs w:val="28"/>
        </w:rPr>
        <w:t>%；</w:t>
      </w:r>
    </w:p>
    <w:p>
      <w:pPr>
        <w:tabs>
          <w:tab w:val="center" w:pos="6979"/>
        </w:tabs>
        <w:spacing w:line="580" w:lineRule="exact"/>
        <w:ind w:firstLine="560" w:firstLineChars="200"/>
        <w:rPr>
          <w:rFonts w:ascii="仿宋_GB2312" w:eastAsia="仿宋_GB2312"/>
          <w:sz w:val="28"/>
          <w:szCs w:val="28"/>
        </w:rPr>
      </w:pPr>
      <w:r>
        <w:rPr>
          <w:rFonts w:hint="eastAsia" w:ascii="仿宋_GB2312" w:eastAsia="仿宋_GB2312"/>
          <w:sz w:val="28"/>
          <w:szCs w:val="28"/>
        </w:rPr>
        <w:t>6.其他收入</w:t>
      </w:r>
      <w:r>
        <w:rPr>
          <w:rFonts w:ascii="仿宋_GB2312" w:eastAsia="仿宋_GB2312"/>
          <w:sz w:val="28"/>
          <w:szCs w:val="28"/>
        </w:rPr>
        <w:t>0.09</w:t>
      </w:r>
      <w:r>
        <w:rPr>
          <w:rFonts w:hint="eastAsia" w:ascii="仿宋_GB2312" w:eastAsia="仿宋_GB2312"/>
          <w:sz w:val="28"/>
          <w:szCs w:val="28"/>
        </w:rPr>
        <w:t>万元，占收入合计的</w:t>
      </w:r>
      <w:r>
        <w:rPr>
          <w:rFonts w:hint="eastAsia" w:ascii="仿宋_GB2312" w:eastAsia="仿宋_GB2312"/>
          <w:sz w:val="28"/>
          <w:szCs w:val="28"/>
          <w:lang w:val="en-US" w:eastAsia="zh-CN"/>
        </w:rPr>
        <w:t>0.01</w:t>
      </w:r>
      <w:r>
        <w:rPr>
          <w:rFonts w:hint="eastAsia" w:ascii="仿宋_GB2312" w:eastAsia="仿宋_GB2312"/>
          <w:sz w:val="28"/>
          <w:szCs w:val="28"/>
        </w:rPr>
        <w:t>%。</w:t>
      </w:r>
    </w:p>
    <w:p>
      <w:pPr>
        <w:pStyle w:val="2"/>
        <w:ind w:firstLine="0"/>
        <w:jc w:val="center"/>
        <w:rPr>
          <w:rFonts w:hint="default"/>
          <w:lang w:val="en-US"/>
        </w:rPr>
      </w:pPr>
      <w:r>
        <w:rPr>
          <w:rFonts w:hint="eastAsia" w:ascii="仿宋_GB2312" w:eastAsia="仿宋_GB2312"/>
          <w:color w:val="000000"/>
          <w:sz w:val="32"/>
          <w:szCs w:val="32"/>
          <w:highlight w:val="none"/>
          <w:lang w:val="en-US" w:eastAsia="zh-CN"/>
        </w:rPr>
        <w:t>图1：收入决算</w:t>
      </w:r>
    </w:p>
    <w:p>
      <w:pPr>
        <w:bidi w:val="0"/>
        <w:jc w:val="center"/>
        <w:rPr>
          <w:rFonts w:hint="eastAsia"/>
          <w:lang w:val="en-US" w:eastAsia="zh-CN"/>
        </w:rPr>
      </w:pPr>
      <w:r>
        <w:drawing>
          <wp:inline distT="0" distB="0" distL="114300" distR="114300">
            <wp:extent cx="4338955" cy="2605405"/>
            <wp:effectExtent l="4445" t="4445" r="19050" b="19050"/>
            <wp:docPr id="4"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（二</w:t>
      </w:r>
      <w:r>
        <w:rPr>
          <w:rFonts w:ascii="仿宋_GB2312" w:eastAsia="仿宋_GB2312"/>
          <w:sz w:val="28"/>
          <w:szCs w:val="28"/>
        </w:rPr>
        <w:t>）</w:t>
      </w:r>
      <w:r>
        <w:rPr>
          <w:rFonts w:hint="eastAsia" w:ascii="仿宋_GB2312" w:eastAsia="仿宋_GB2312"/>
          <w:sz w:val="28"/>
          <w:szCs w:val="28"/>
        </w:rPr>
        <w:t>支出决算</w:t>
      </w:r>
      <w:r>
        <w:rPr>
          <w:rFonts w:ascii="仿宋_GB2312" w:eastAsia="仿宋_GB2312"/>
          <w:sz w:val="28"/>
          <w:szCs w:val="28"/>
        </w:rPr>
        <w:t>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年度本年支出合计</w:t>
      </w:r>
      <w:r>
        <w:rPr>
          <w:rFonts w:ascii="仿宋_GB2312" w:eastAsia="仿宋_GB2312"/>
          <w:sz w:val="28"/>
          <w:szCs w:val="28"/>
        </w:rPr>
        <w:t>1282.9</w:t>
      </w:r>
      <w:r>
        <w:rPr>
          <w:rFonts w:hint="eastAsia" w:ascii="仿宋_GB2312" w:eastAsia="仿宋_GB2312"/>
          <w:sz w:val="28"/>
          <w:szCs w:val="28"/>
        </w:rPr>
        <w:t>万元，</w:t>
      </w:r>
      <w:r>
        <w:rPr>
          <w:rFonts w:ascii="仿宋_GB2312" w:eastAsia="仿宋_GB2312"/>
          <w:sz w:val="28"/>
          <w:szCs w:val="28"/>
        </w:rPr>
        <w:t>比上年</w:t>
      </w:r>
      <w:r>
        <w:rPr>
          <w:rFonts w:hint="eastAsia" w:ascii="仿宋_GB2312" w:eastAsia="仿宋_GB2312"/>
          <w:sz w:val="28"/>
          <w:szCs w:val="28"/>
        </w:rPr>
        <w:t>减少</w:t>
      </w:r>
      <w:r>
        <w:rPr>
          <w:rFonts w:hint="eastAsia" w:ascii="仿宋_GB2312" w:eastAsia="仿宋_GB2312"/>
          <w:sz w:val="28"/>
          <w:szCs w:val="28"/>
          <w:lang w:val="en-US" w:eastAsia="zh-CN"/>
        </w:rPr>
        <w:t>3.27</w:t>
      </w:r>
      <w:r>
        <w:rPr>
          <w:rFonts w:hint="eastAsia" w:ascii="仿宋_GB2312" w:eastAsia="仿宋_GB2312"/>
          <w:sz w:val="28"/>
          <w:szCs w:val="28"/>
        </w:rPr>
        <w:t>万元，下降</w:t>
      </w:r>
      <w:r>
        <w:rPr>
          <w:rFonts w:hint="eastAsia" w:ascii="仿宋_GB2312" w:eastAsia="仿宋_GB2312"/>
          <w:sz w:val="28"/>
          <w:szCs w:val="28"/>
          <w:lang w:val="en-US" w:eastAsia="zh-CN"/>
        </w:rPr>
        <w:t>0.25</w:t>
      </w:r>
      <w:r>
        <w:rPr>
          <w:rFonts w:hint="eastAsia" w:ascii="仿宋_GB2312" w:eastAsia="仿宋_GB2312"/>
          <w:sz w:val="28"/>
          <w:szCs w:val="28"/>
        </w:rPr>
        <w:t>%，其中：基本支出</w:t>
      </w:r>
      <w:r>
        <w:rPr>
          <w:rFonts w:ascii="仿宋_GB2312" w:eastAsia="仿宋_GB2312"/>
          <w:sz w:val="28"/>
          <w:szCs w:val="28"/>
        </w:rPr>
        <w:t>543.5</w:t>
      </w:r>
      <w:r>
        <w:rPr>
          <w:rFonts w:hint="eastAsia" w:ascii="仿宋_GB2312" w:eastAsia="仿宋_GB2312"/>
          <w:sz w:val="28"/>
          <w:szCs w:val="28"/>
        </w:rPr>
        <w:t>万元，占支出合计的</w:t>
      </w:r>
      <w:r>
        <w:rPr>
          <w:rFonts w:ascii="仿宋_GB2312" w:eastAsia="仿宋_GB2312"/>
          <w:sz w:val="28"/>
          <w:szCs w:val="28"/>
        </w:rPr>
        <w:t>42.36</w:t>
      </w:r>
      <w:r>
        <w:rPr>
          <w:rFonts w:hint="eastAsia" w:ascii="仿宋_GB2312" w:eastAsia="仿宋_GB2312"/>
          <w:sz w:val="28"/>
          <w:szCs w:val="28"/>
        </w:rPr>
        <w:t>%；项目支出</w:t>
      </w:r>
      <w:r>
        <w:rPr>
          <w:rFonts w:ascii="仿宋_GB2312" w:eastAsia="仿宋_GB2312"/>
          <w:sz w:val="28"/>
          <w:szCs w:val="28"/>
        </w:rPr>
        <w:t>739.4</w:t>
      </w:r>
      <w:r>
        <w:rPr>
          <w:rFonts w:hint="eastAsia" w:ascii="仿宋_GB2312" w:eastAsia="仿宋_GB2312"/>
          <w:sz w:val="28"/>
          <w:szCs w:val="28"/>
        </w:rPr>
        <w:t>万元，占支出合计的</w:t>
      </w:r>
      <w:r>
        <w:rPr>
          <w:rFonts w:ascii="仿宋_GB2312" w:eastAsia="仿宋_GB2312"/>
          <w:sz w:val="28"/>
          <w:szCs w:val="28"/>
        </w:rPr>
        <w:t>57.6</w:t>
      </w:r>
      <w:r>
        <w:rPr>
          <w:rFonts w:hint="eastAsia" w:ascii="仿宋_GB2312" w:eastAsia="仿宋_GB2312"/>
          <w:sz w:val="28"/>
          <w:szCs w:val="28"/>
          <w:lang w:val="en-US" w:eastAsia="zh-CN"/>
        </w:rPr>
        <w:t>4</w:t>
      </w:r>
      <w:r>
        <w:rPr>
          <w:rFonts w:hint="eastAsia" w:ascii="仿宋_GB2312" w:eastAsia="仿宋_GB2312"/>
          <w:sz w:val="28"/>
          <w:szCs w:val="28"/>
        </w:rPr>
        <w:t>%;上缴上级支出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%；经营支出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%；对附属单位补助支出</w:t>
      </w:r>
      <w:r>
        <w:rPr>
          <w:rFonts w:ascii="仿宋_GB2312" w:eastAsia="仿宋_GB2312"/>
          <w:sz w:val="28"/>
          <w:szCs w:val="28"/>
        </w:rPr>
        <w:t>0</w:t>
      </w:r>
      <w:r>
        <w:rPr>
          <w:rFonts w:hint="eastAsia" w:ascii="仿宋_GB2312" w:eastAsia="仿宋_GB2312"/>
          <w:sz w:val="28"/>
          <w:szCs w:val="28"/>
        </w:rPr>
        <w:t>万元，占支出合计的</w:t>
      </w:r>
      <w:r>
        <w:rPr>
          <w:rFonts w:ascii="仿宋_GB2312" w:eastAsia="仿宋_GB2312"/>
          <w:sz w:val="28"/>
          <w:szCs w:val="28"/>
        </w:rPr>
        <w:t>0</w:t>
      </w:r>
      <w:r>
        <w:rPr>
          <w:rFonts w:hint="eastAsia" w:ascii="仿宋_GB2312" w:eastAsia="仿宋_GB2312"/>
          <w:sz w:val="28"/>
          <w:szCs w:val="28"/>
        </w:rPr>
        <w:t>%。</w:t>
      </w:r>
    </w:p>
    <w:p>
      <w:pPr>
        <w:pStyle w:val="2"/>
        <w:ind w:firstLine="642"/>
        <w:jc w:val="center"/>
        <w:rPr>
          <w:rFonts w:hint="eastAsia" w:ascii="仿宋_GB2312" w:eastAsia="仿宋_GB2312"/>
          <w:color w:val="000000"/>
          <w:sz w:val="32"/>
          <w:szCs w:val="32"/>
          <w:highlight w:val="none"/>
          <w:lang w:val="en-US" w:eastAsia="zh-CN"/>
        </w:rPr>
      </w:pPr>
      <w:r>
        <w:rPr>
          <w:rFonts w:hint="eastAsia" w:ascii="仿宋_GB2312" w:eastAsia="仿宋_GB2312"/>
          <w:color w:val="000000"/>
          <w:sz w:val="32"/>
          <w:szCs w:val="32"/>
          <w:highlight w:val="none"/>
          <w:lang w:val="en-US" w:eastAsia="zh-CN"/>
        </w:rPr>
        <w:t>图2：基本支出和项目支出情况</w:t>
      </w:r>
    </w:p>
    <w:p>
      <w:pPr>
        <w:jc w:val="center"/>
        <w:rPr>
          <w:rFonts w:hint="eastAsia" w:ascii="黑体" w:eastAsia="黑体"/>
          <w:b/>
          <w:sz w:val="28"/>
          <w:szCs w:val="28"/>
        </w:rPr>
      </w:pPr>
      <w:r>
        <w:drawing>
          <wp:inline distT="0" distB="0" distL="114300" distR="114300">
            <wp:extent cx="4572000" cy="2743200"/>
            <wp:effectExtent l="4445" t="4445" r="14605" b="14605"/>
            <wp:docPr id="1" name="图表 3" title="{{pieChart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三</w:t>
      </w:r>
      <w:r>
        <w:rPr>
          <w:rFonts w:ascii="黑体" w:eastAsia="黑体"/>
          <w:b/>
          <w:sz w:val="28"/>
          <w:szCs w:val="28"/>
        </w:rPr>
        <w:t>、财政拨款</w:t>
      </w:r>
      <w:r>
        <w:rPr>
          <w:rFonts w:hint="eastAsia" w:ascii="黑体" w:eastAsia="黑体"/>
          <w:b/>
          <w:sz w:val="28"/>
          <w:szCs w:val="28"/>
        </w:rPr>
        <w:t>收入支出决算</w:t>
      </w:r>
      <w:r>
        <w:rPr>
          <w:rFonts w:ascii="黑体" w:eastAsia="黑体"/>
          <w:b/>
          <w:sz w:val="28"/>
          <w:szCs w:val="28"/>
        </w:rPr>
        <w:t>总体情况说明</w:t>
      </w:r>
    </w:p>
    <w:p>
      <w:pPr>
        <w:tabs>
          <w:tab w:val="center" w:pos="6979"/>
        </w:tabs>
        <w:spacing w:line="580" w:lineRule="exact"/>
        <w:ind w:firstLine="57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年度财政拨款收、</w:t>
      </w:r>
      <w:r>
        <w:rPr>
          <w:rFonts w:ascii="仿宋_GB2312" w:eastAsia="仿宋_GB2312"/>
          <w:sz w:val="28"/>
          <w:szCs w:val="28"/>
        </w:rPr>
        <w:t>支</w:t>
      </w:r>
      <w:r>
        <w:rPr>
          <w:rFonts w:hint="eastAsia" w:ascii="仿宋_GB2312" w:eastAsia="仿宋_GB2312"/>
          <w:sz w:val="28"/>
          <w:szCs w:val="28"/>
        </w:rPr>
        <w:t>总计</w:t>
      </w:r>
      <w:r>
        <w:rPr>
          <w:rFonts w:ascii="仿宋_GB2312" w:eastAsia="仿宋_GB2312"/>
          <w:sz w:val="28"/>
          <w:szCs w:val="28"/>
        </w:rPr>
        <w:t>1290.58</w:t>
      </w:r>
      <w:r>
        <w:rPr>
          <w:rFonts w:hint="eastAsia" w:ascii="仿宋_GB2312" w:eastAsia="仿宋_GB2312"/>
          <w:sz w:val="28"/>
          <w:szCs w:val="28"/>
        </w:rPr>
        <w:t>万元，比上年减少</w:t>
      </w:r>
      <w:r>
        <w:rPr>
          <w:rFonts w:hint="eastAsia" w:ascii="仿宋_GB2312" w:eastAsia="仿宋_GB2312"/>
          <w:sz w:val="28"/>
          <w:szCs w:val="28"/>
          <w:lang w:val="en-US" w:eastAsia="zh-CN"/>
        </w:rPr>
        <w:t>0.32</w:t>
      </w:r>
      <w:r>
        <w:rPr>
          <w:rFonts w:hint="eastAsia" w:ascii="仿宋_GB2312" w:eastAsia="仿宋_GB2312"/>
          <w:sz w:val="28"/>
          <w:szCs w:val="28"/>
        </w:rPr>
        <w:t>万元，下降</w:t>
      </w:r>
      <w:r>
        <w:rPr>
          <w:rFonts w:hint="eastAsia" w:ascii="仿宋_GB2312" w:eastAsia="仿宋_GB2312"/>
          <w:sz w:val="28"/>
          <w:szCs w:val="28"/>
          <w:lang w:val="en-US" w:eastAsia="zh-CN"/>
        </w:rPr>
        <w:t>0.02</w:t>
      </w:r>
      <w:r>
        <w:rPr>
          <w:rFonts w:hint="eastAsia" w:ascii="仿宋_GB2312" w:eastAsia="仿宋_GB2312"/>
          <w:sz w:val="28"/>
          <w:szCs w:val="28"/>
        </w:rPr>
        <w:t>%。主要原因：厉行勤俭节约</w:t>
      </w:r>
      <w:r>
        <w:rPr>
          <w:rFonts w:hint="eastAsia" w:ascii="仿宋_GB2312" w:eastAsia="仿宋_GB2312"/>
          <w:sz w:val="28"/>
          <w:szCs w:val="28"/>
          <w:lang w:val="en-US" w:eastAsia="zh-CN"/>
        </w:rPr>
        <w:t>,压缩一般性支出</w:t>
      </w:r>
      <w:r>
        <w:rPr>
          <w:rFonts w:hint="eastAsia" w:ascii="仿宋_GB2312" w:eastAsia="仿宋_GB2312"/>
          <w:sz w:val="28"/>
          <w:szCs w:val="28"/>
        </w:rPr>
        <w:t>。</w:t>
      </w:r>
    </w:p>
    <w:p>
      <w:pPr>
        <w:tabs>
          <w:tab w:val="center" w:pos="6979"/>
        </w:tabs>
        <w:spacing w:line="580" w:lineRule="exact"/>
        <w:ind w:firstLine="548" w:firstLineChars="196"/>
        <w:rPr>
          <w:rFonts w:hint="eastAsia" w:ascii="黑体" w:eastAsia="黑体"/>
          <w:b/>
          <w:sz w:val="28"/>
          <w:szCs w:val="28"/>
        </w:rPr>
      </w:pPr>
      <w:r>
        <w:rPr>
          <w:rFonts w:hint="eastAsia" w:ascii="黑体" w:eastAsia="黑体"/>
          <w:b/>
          <w:sz w:val="28"/>
          <w:szCs w:val="28"/>
        </w:rPr>
        <w:t>四、一般公共预算财政拨款支出决算情况说明</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（一）一般公共预算财政拨款支出决算总体情况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年度一般公共预算财政拨款支出</w:t>
      </w:r>
      <w:r>
        <w:rPr>
          <w:rFonts w:ascii="仿宋_GB2312" w:eastAsia="仿宋_GB2312"/>
          <w:sz w:val="28"/>
          <w:szCs w:val="28"/>
        </w:rPr>
        <w:t>1282.9</w:t>
      </w:r>
      <w:r>
        <w:rPr>
          <w:rFonts w:hint="eastAsia" w:ascii="仿宋_GB2312" w:eastAsia="仿宋_GB2312"/>
          <w:sz w:val="28"/>
          <w:szCs w:val="28"/>
        </w:rPr>
        <w:t>万元，主要用于以下方面（按大类）：社会保障和就业支出</w:t>
      </w:r>
      <w:r>
        <w:rPr>
          <w:rFonts w:hint="eastAsia" w:ascii="仿宋_GB2312" w:eastAsia="仿宋_GB2312"/>
          <w:sz w:val="28"/>
          <w:szCs w:val="28"/>
          <w:lang w:val="en-US" w:eastAsia="zh-CN"/>
        </w:rPr>
        <w:t>61.09</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4.76</w:t>
      </w:r>
      <w:r>
        <w:rPr>
          <w:rFonts w:hint="eastAsia" w:ascii="仿宋_GB2312" w:eastAsia="仿宋_GB2312"/>
          <w:sz w:val="28"/>
          <w:szCs w:val="28"/>
        </w:rPr>
        <w:t>%；卫生健康支出</w:t>
      </w:r>
      <w:r>
        <w:rPr>
          <w:rFonts w:hint="eastAsia" w:ascii="仿宋_GB2312" w:eastAsia="仿宋_GB2312"/>
          <w:sz w:val="28"/>
          <w:szCs w:val="28"/>
          <w:lang w:val="en-US" w:eastAsia="zh-CN"/>
        </w:rPr>
        <w:t>37.98</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2.96</w:t>
      </w:r>
      <w:r>
        <w:rPr>
          <w:rFonts w:hint="eastAsia" w:ascii="仿宋_GB2312" w:eastAsia="仿宋_GB2312"/>
          <w:sz w:val="28"/>
          <w:szCs w:val="28"/>
        </w:rPr>
        <w:t>%；自然资源海洋气象等支出</w:t>
      </w:r>
      <w:r>
        <w:rPr>
          <w:rFonts w:hint="eastAsia" w:ascii="仿宋_GB2312" w:eastAsia="仿宋_GB2312"/>
          <w:sz w:val="28"/>
          <w:szCs w:val="28"/>
          <w:lang w:val="en-US" w:eastAsia="zh-CN"/>
        </w:rPr>
        <w:t>1183.83</w:t>
      </w:r>
      <w:r>
        <w:rPr>
          <w:rFonts w:hint="eastAsia" w:ascii="仿宋_GB2312" w:eastAsia="仿宋_GB2312"/>
          <w:sz w:val="28"/>
          <w:szCs w:val="28"/>
        </w:rPr>
        <w:t>万元，占本年财政拨款支出</w:t>
      </w:r>
      <w:r>
        <w:rPr>
          <w:rFonts w:hint="eastAsia" w:ascii="仿宋_GB2312" w:eastAsia="仿宋_GB2312"/>
          <w:sz w:val="28"/>
          <w:szCs w:val="28"/>
          <w:lang w:val="en-US" w:eastAsia="zh-CN"/>
        </w:rPr>
        <w:t>92.28</w:t>
      </w:r>
      <w:r>
        <w:rPr>
          <w:rFonts w:hint="eastAsia" w:ascii="仿宋_GB2312" w:eastAsia="仿宋_GB2312"/>
          <w:sz w:val="28"/>
          <w:szCs w:val="28"/>
        </w:rPr>
        <w:t>%。</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（二）一般公共预算财政拨款支出决算具体情况</w:t>
      </w:r>
    </w:p>
    <w:p>
      <w:pPr>
        <w:autoSpaceDE w:val="0"/>
        <w:autoSpaceDN w:val="0"/>
        <w:adjustRightInd w:val="0"/>
        <w:spacing w:line="580" w:lineRule="exact"/>
        <w:ind w:firstLine="560" w:firstLineChars="200"/>
        <w:jc w:val="left"/>
        <w:rPr>
          <w:rFonts w:hint="eastAsia" w:ascii="仿宋_GB2312" w:eastAsia="仿宋_GB2312"/>
          <w:sz w:val="28"/>
          <w:szCs w:val="28"/>
        </w:rPr>
      </w:pPr>
      <w:r>
        <w:rPr>
          <w:rFonts w:hint="eastAsia" w:ascii="仿宋_GB2312" w:eastAsia="仿宋_GB2312"/>
          <w:sz w:val="28"/>
          <w:szCs w:val="28"/>
        </w:rPr>
        <w:t>1、“社会保障和就业支出”（类）202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61.09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5.19</w:t>
      </w:r>
      <w:r>
        <w:rPr>
          <w:rFonts w:hint="eastAsia" w:ascii="仿宋_GB2312" w:eastAsia="仿宋_GB2312"/>
          <w:sz w:val="28"/>
          <w:szCs w:val="28"/>
        </w:rPr>
        <w:t>万元，增长</w:t>
      </w:r>
      <w:r>
        <w:rPr>
          <w:rFonts w:hint="eastAsia" w:ascii="仿宋_GB2312" w:eastAsia="仿宋_GB2312"/>
          <w:sz w:val="28"/>
          <w:szCs w:val="28"/>
          <w:lang w:val="en-US" w:eastAsia="zh-CN"/>
        </w:rPr>
        <w:t>9.28</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“行政事业单位养老支出”（款，下同）202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61.09</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5.19</w:t>
      </w:r>
      <w:r>
        <w:rPr>
          <w:rFonts w:hint="eastAsia" w:ascii="仿宋_GB2312" w:eastAsia="仿宋_GB2312"/>
          <w:sz w:val="28"/>
          <w:szCs w:val="28"/>
        </w:rPr>
        <w:t>万元，增长</w:t>
      </w:r>
      <w:r>
        <w:rPr>
          <w:rFonts w:hint="eastAsia" w:ascii="仿宋_GB2312" w:eastAsia="仿宋_GB2312"/>
          <w:sz w:val="28"/>
          <w:szCs w:val="28"/>
          <w:lang w:val="en-US" w:eastAsia="zh-CN"/>
        </w:rPr>
        <w:t>9.28</w:t>
      </w:r>
      <w:r>
        <w:rPr>
          <w:rFonts w:hint="eastAsia" w:ascii="仿宋_GB2312" w:eastAsia="仿宋_GB2312"/>
          <w:sz w:val="28"/>
          <w:szCs w:val="28"/>
        </w:rPr>
        <w:t>%。主要原因：招录2人，人员经费增长。</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2、“卫生健康支出”(类)202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3.06</w:t>
      </w:r>
      <w:r>
        <w:rPr>
          <w:rFonts w:hint="eastAsia" w:ascii="仿宋_GB2312" w:eastAsia="仿宋_GB2312"/>
          <w:sz w:val="28"/>
          <w:szCs w:val="28"/>
        </w:rPr>
        <w:t>万元，增长</w:t>
      </w:r>
      <w:r>
        <w:rPr>
          <w:rFonts w:hint="eastAsia" w:ascii="仿宋_GB2312" w:eastAsia="仿宋_GB2312"/>
          <w:sz w:val="28"/>
          <w:szCs w:val="28"/>
          <w:lang w:val="en-US" w:eastAsia="zh-CN"/>
        </w:rPr>
        <w:t>8.75</w:t>
      </w:r>
      <w:r>
        <w:rPr>
          <w:rFonts w:hint="eastAsia" w:ascii="仿宋_GB2312" w:eastAsia="仿宋_GB2312"/>
          <w:sz w:val="28"/>
          <w:szCs w:val="28"/>
        </w:rPr>
        <w:t>%。其中：</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“行政事业单位医疗”（款）202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37.98</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3.06</w:t>
      </w:r>
      <w:r>
        <w:rPr>
          <w:rFonts w:hint="eastAsia" w:ascii="仿宋_GB2312" w:eastAsia="仿宋_GB2312"/>
          <w:sz w:val="28"/>
          <w:szCs w:val="28"/>
        </w:rPr>
        <w:t>万元，增长</w:t>
      </w:r>
      <w:r>
        <w:rPr>
          <w:rFonts w:hint="eastAsia" w:ascii="仿宋_GB2312" w:eastAsia="仿宋_GB2312"/>
          <w:sz w:val="28"/>
          <w:szCs w:val="28"/>
          <w:lang w:val="en-US" w:eastAsia="zh-CN"/>
        </w:rPr>
        <w:t>8.75</w:t>
      </w:r>
      <w:r>
        <w:rPr>
          <w:rFonts w:hint="eastAsia" w:ascii="仿宋_GB2312" w:eastAsia="仿宋_GB2312"/>
          <w:sz w:val="28"/>
          <w:szCs w:val="28"/>
        </w:rPr>
        <w:t>%。主要原因：招录2人，人员经费增长。</w:t>
      </w:r>
    </w:p>
    <w:p>
      <w:pPr>
        <w:spacing w:line="580" w:lineRule="exact"/>
        <w:ind w:firstLine="560" w:firstLineChars="200"/>
        <w:rPr>
          <w:rFonts w:hint="eastAsia" w:ascii="仿宋_GB2312" w:eastAsia="仿宋_GB2312"/>
          <w:sz w:val="28"/>
          <w:szCs w:val="28"/>
        </w:rPr>
      </w:pPr>
      <w:r>
        <w:rPr>
          <w:rFonts w:hint="eastAsia" w:ascii="仿宋_GB2312" w:eastAsia="仿宋_GB2312"/>
          <w:sz w:val="28"/>
          <w:szCs w:val="28"/>
          <w:lang w:val="en-US" w:eastAsia="zh-CN"/>
        </w:rPr>
        <w:t>3</w:t>
      </w:r>
      <w:r>
        <w:rPr>
          <w:rFonts w:hint="eastAsia" w:ascii="仿宋_GB2312" w:eastAsia="仿宋_GB2312"/>
          <w:sz w:val="28"/>
          <w:szCs w:val="28"/>
        </w:rPr>
        <w:t>、“自然资源海洋气象等支出”(类)202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1183.83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27.53</w:t>
      </w:r>
      <w:r>
        <w:rPr>
          <w:rFonts w:hint="eastAsia" w:ascii="仿宋_GB2312" w:eastAsia="仿宋_GB2312"/>
          <w:sz w:val="28"/>
          <w:szCs w:val="28"/>
        </w:rPr>
        <w:t>万元，增长</w:t>
      </w:r>
      <w:r>
        <w:rPr>
          <w:rFonts w:hint="eastAsia" w:ascii="仿宋_GB2312" w:eastAsia="仿宋_GB2312"/>
          <w:sz w:val="28"/>
          <w:szCs w:val="28"/>
          <w:lang w:val="en-US" w:eastAsia="zh-CN"/>
        </w:rPr>
        <w:t>2.38</w:t>
      </w:r>
      <w:r>
        <w:rPr>
          <w:rFonts w:hint="eastAsia" w:ascii="仿宋_GB2312" w:eastAsia="仿宋_GB2312"/>
          <w:sz w:val="28"/>
          <w:szCs w:val="28"/>
        </w:rPr>
        <w:t>%。其中：</w:t>
      </w:r>
    </w:p>
    <w:p>
      <w:pPr>
        <w:spacing w:line="580" w:lineRule="exact"/>
        <w:ind w:firstLine="560" w:firstLineChars="200"/>
      </w:pPr>
      <w:r>
        <w:rPr>
          <w:rFonts w:hint="eastAsia" w:ascii="仿宋_GB2312" w:eastAsia="仿宋_GB2312"/>
          <w:sz w:val="28"/>
          <w:szCs w:val="28"/>
        </w:rPr>
        <w:t>“自然资源事务”（款）202</w:t>
      </w:r>
      <w:r>
        <w:rPr>
          <w:rFonts w:hint="eastAsia" w:ascii="仿宋_GB2312" w:eastAsia="仿宋_GB2312"/>
          <w:sz w:val="28"/>
          <w:szCs w:val="28"/>
          <w:lang w:val="en-US" w:eastAsia="zh-CN"/>
        </w:rPr>
        <w:t>3</w:t>
      </w:r>
      <w:r>
        <w:rPr>
          <w:rFonts w:hint="eastAsia" w:ascii="仿宋_GB2312" w:eastAsia="仿宋_GB2312"/>
          <w:sz w:val="28"/>
          <w:szCs w:val="28"/>
        </w:rPr>
        <w:t>年度决算</w:t>
      </w:r>
      <w:r>
        <w:rPr>
          <w:rFonts w:hint="eastAsia" w:ascii="仿宋_GB2312" w:eastAsia="仿宋_GB2312"/>
          <w:sz w:val="28"/>
          <w:szCs w:val="28"/>
          <w:lang w:val="en-US" w:eastAsia="zh-CN"/>
        </w:rPr>
        <w:t>1183.83</w:t>
      </w:r>
      <w:r>
        <w:rPr>
          <w:rFonts w:hint="eastAsia" w:ascii="仿宋_GB2312" w:eastAsia="仿宋_GB2312"/>
          <w:sz w:val="28"/>
          <w:szCs w:val="28"/>
        </w:rPr>
        <w:t>万元，比202</w:t>
      </w:r>
      <w:r>
        <w:rPr>
          <w:rFonts w:hint="eastAsia" w:ascii="仿宋_GB2312" w:eastAsia="仿宋_GB2312"/>
          <w:sz w:val="28"/>
          <w:szCs w:val="28"/>
          <w:lang w:val="en-US" w:eastAsia="zh-CN"/>
        </w:rPr>
        <w:t>3</w:t>
      </w:r>
      <w:r>
        <w:rPr>
          <w:rFonts w:hint="eastAsia" w:ascii="仿宋_GB2312" w:eastAsia="仿宋_GB2312"/>
          <w:sz w:val="28"/>
          <w:szCs w:val="28"/>
        </w:rPr>
        <w:t>年度年初预算增加</w:t>
      </w:r>
      <w:r>
        <w:rPr>
          <w:rFonts w:hint="eastAsia" w:ascii="仿宋_GB2312" w:eastAsia="仿宋_GB2312"/>
          <w:sz w:val="28"/>
          <w:szCs w:val="28"/>
          <w:lang w:val="en-US" w:eastAsia="zh-CN"/>
        </w:rPr>
        <w:t>27.53</w:t>
      </w:r>
      <w:r>
        <w:rPr>
          <w:rFonts w:hint="eastAsia" w:ascii="仿宋_GB2312" w:eastAsia="仿宋_GB2312"/>
          <w:sz w:val="28"/>
          <w:szCs w:val="28"/>
        </w:rPr>
        <w:t>万元，增长</w:t>
      </w:r>
      <w:r>
        <w:rPr>
          <w:rFonts w:hint="eastAsia" w:ascii="仿宋_GB2312" w:eastAsia="仿宋_GB2312"/>
          <w:sz w:val="28"/>
          <w:szCs w:val="28"/>
          <w:lang w:val="en-US" w:eastAsia="zh-CN"/>
        </w:rPr>
        <w:t>2.38</w:t>
      </w:r>
      <w:r>
        <w:rPr>
          <w:rFonts w:hint="eastAsia" w:ascii="仿宋_GB2312" w:eastAsia="仿宋_GB2312"/>
          <w:sz w:val="28"/>
          <w:szCs w:val="28"/>
        </w:rPr>
        <w:t>%。主要原因：</w:t>
      </w:r>
      <w:r>
        <w:rPr>
          <w:rFonts w:hint="eastAsia" w:ascii="仿宋_GB2312" w:eastAsia="仿宋_GB2312"/>
          <w:sz w:val="28"/>
          <w:szCs w:val="28"/>
          <w:lang w:eastAsia="zh-CN"/>
        </w:rPr>
        <w:t>追加</w:t>
      </w:r>
      <w:r>
        <w:rPr>
          <w:rFonts w:hint="eastAsia" w:ascii="仿宋_GB2312" w:eastAsia="仿宋_GB2312"/>
          <w:sz w:val="28"/>
          <w:szCs w:val="28"/>
        </w:rPr>
        <w:t>老旧小区改造设计指引</w:t>
      </w:r>
      <w:r>
        <w:rPr>
          <w:rFonts w:hint="eastAsia" w:ascii="仿宋_GB2312" w:eastAsia="仿宋_GB2312"/>
          <w:sz w:val="28"/>
          <w:szCs w:val="28"/>
          <w:lang w:eastAsia="zh-CN"/>
        </w:rPr>
        <w:t>项目经费</w:t>
      </w:r>
      <w:r>
        <w:rPr>
          <w:rFonts w:hint="eastAsia" w:ascii="仿宋_GB2312" w:eastAsia="仿宋_GB2312"/>
          <w:sz w:val="28"/>
          <w:szCs w:val="28"/>
        </w:rPr>
        <w:t>。</w:t>
      </w:r>
    </w:p>
    <w:p>
      <w:pPr>
        <w:spacing w:line="580" w:lineRule="exact"/>
        <w:ind w:firstLine="560" w:firstLineChars="200"/>
        <w:rPr>
          <w:rFonts w:hint="eastAsia" w:ascii="仿宋_GB2312" w:eastAsia="仿宋_GB2312"/>
          <w:sz w:val="28"/>
          <w:szCs w:val="28"/>
        </w:rPr>
      </w:pPr>
      <w:r>
        <w:rPr>
          <w:rFonts w:hint="eastAsia" w:ascii="黑体" w:eastAsia="黑体"/>
          <w:b/>
          <w:sz w:val="28"/>
          <w:szCs w:val="28"/>
        </w:rPr>
        <w:t>五、政府性基金预算财政拨款支出决算情况说明</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本单位无此项支出。</w:t>
      </w:r>
    </w:p>
    <w:p>
      <w:pPr>
        <w:spacing w:line="580" w:lineRule="exact"/>
        <w:ind w:firstLine="560" w:firstLineChars="200"/>
        <w:rPr>
          <w:rFonts w:hint="eastAsia" w:ascii="黑体" w:eastAsia="黑体"/>
          <w:b/>
          <w:sz w:val="28"/>
          <w:szCs w:val="28"/>
        </w:rPr>
      </w:pPr>
      <w:r>
        <w:rPr>
          <w:rFonts w:hint="eastAsia" w:ascii="黑体" w:eastAsia="黑体"/>
          <w:b/>
          <w:sz w:val="28"/>
          <w:szCs w:val="28"/>
        </w:rPr>
        <w:t>六、国有资本经营预算财</w:t>
      </w:r>
      <w:r>
        <w:rPr>
          <w:rFonts w:ascii="黑体" w:eastAsia="黑体"/>
          <w:b/>
          <w:sz w:val="28"/>
          <w:szCs w:val="28"/>
        </w:rPr>
        <w:t>政拨款</w:t>
      </w:r>
      <w:r>
        <w:rPr>
          <w:rFonts w:hint="eastAsia" w:ascii="黑体" w:eastAsia="黑体"/>
          <w:b/>
          <w:sz w:val="28"/>
          <w:szCs w:val="28"/>
        </w:rPr>
        <w:t>收支情况</w:t>
      </w:r>
    </w:p>
    <w:p>
      <w:pPr>
        <w:tabs>
          <w:tab w:val="center" w:pos="6979"/>
        </w:tabs>
        <w:spacing w:line="580" w:lineRule="exact"/>
        <w:ind w:firstLine="560" w:firstLineChars="200"/>
        <w:rPr>
          <w:rFonts w:hint="eastAsia" w:ascii="仿宋_GB2312" w:eastAsia="仿宋_GB2312"/>
          <w:sz w:val="28"/>
          <w:szCs w:val="28"/>
        </w:rPr>
      </w:pPr>
      <w:r>
        <w:rPr>
          <w:rFonts w:hint="eastAsia" w:ascii="仿宋_GB2312" w:eastAsia="仿宋_GB2312"/>
          <w:sz w:val="28"/>
          <w:szCs w:val="28"/>
        </w:rPr>
        <w:t>本单位无此项支出。</w:t>
      </w:r>
    </w:p>
    <w:p>
      <w:pPr>
        <w:spacing w:line="580" w:lineRule="exact"/>
        <w:ind w:firstLine="548" w:firstLineChars="196"/>
        <w:rPr>
          <w:rFonts w:hint="eastAsia" w:ascii="黑体" w:eastAsia="黑体"/>
          <w:sz w:val="28"/>
          <w:szCs w:val="28"/>
        </w:rPr>
      </w:pPr>
      <w:r>
        <w:rPr>
          <w:rFonts w:hint="eastAsia" w:ascii="黑体" w:eastAsia="黑体"/>
          <w:b/>
          <w:sz w:val="28"/>
          <w:szCs w:val="28"/>
        </w:rPr>
        <w:t>七、财政拨款基本支出决算情况说明</w:t>
      </w:r>
    </w:p>
    <w:p>
      <w:pPr>
        <w:tabs>
          <w:tab w:val="center" w:pos="6979"/>
        </w:tabs>
        <w:spacing w:line="580" w:lineRule="exact"/>
        <w:ind w:firstLine="548" w:firstLineChars="196"/>
        <w:rPr>
          <w:rFonts w:hint="eastAsia" w:ascii="黑体" w:eastAsia="黑体"/>
          <w:b/>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年度使用一般公共预算财政拨款安排基本支出</w:t>
      </w:r>
      <w:r>
        <w:rPr>
          <w:rFonts w:ascii="仿宋_GB2312" w:eastAsia="仿宋_GB2312"/>
          <w:sz w:val="28"/>
          <w:szCs w:val="28"/>
        </w:rPr>
        <w:t>543.5</w:t>
      </w:r>
      <w:r>
        <w:rPr>
          <w:rFonts w:hint="eastAsia" w:ascii="仿宋_GB2312" w:eastAsia="仿宋_GB2312"/>
          <w:sz w:val="28"/>
          <w:szCs w:val="28"/>
        </w:rPr>
        <w:t>万元，使用政府性基金财政拨款安排基本支出</w:t>
      </w:r>
      <w:r>
        <w:rPr>
          <w:rFonts w:ascii="仿宋_GB2312" w:eastAsia="仿宋_GB2312"/>
          <w:sz w:val="28"/>
          <w:szCs w:val="28"/>
        </w:rPr>
        <w:t>0</w:t>
      </w:r>
      <w:r>
        <w:rPr>
          <w:rFonts w:hint="eastAsia" w:ascii="仿宋_GB2312" w:eastAsia="仿宋_GB2312"/>
          <w:sz w:val="28"/>
          <w:szCs w:val="28"/>
        </w:rPr>
        <w:t>万元，其中：（1）工资福利支出包括基本工资</w:t>
      </w:r>
      <w:r>
        <w:rPr>
          <w:rFonts w:ascii="仿宋_GB2312" w:eastAsia="仿宋_GB2312"/>
          <w:sz w:val="28"/>
          <w:szCs w:val="28"/>
        </w:rPr>
        <w:t>、津贴补贴、奖金、伙食补助费、绩效工资、</w:t>
      </w:r>
      <w:r>
        <w:rPr>
          <w:rFonts w:hint="eastAsia" w:ascii="仿宋_GB2312" w:eastAsia="仿宋_GB2312"/>
          <w:sz w:val="28"/>
          <w:szCs w:val="28"/>
        </w:rPr>
        <w:t>其他</w:t>
      </w:r>
      <w:r>
        <w:rPr>
          <w:rFonts w:ascii="仿宋_GB2312" w:eastAsia="仿宋_GB2312"/>
          <w:sz w:val="28"/>
          <w:szCs w:val="28"/>
        </w:rPr>
        <w:t>社会保障缴费、其他工资福利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；（2）商品和服务支出包括</w:t>
      </w:r>
      <w:r>
        <w:rPr>
          <w:rFonts w:ascii="仿宋_GB2312" w:eastAsia="仿宋_GB2312"/>
          <w:sz w:val="28"/>
          <w:szCs w:val="28"/>
        </w:rPr>
        <w:t>办公费、印刷费、咨询费、手续费、水费、电费、邮电费、取暖费、物业管理费、差旅费、因公出国（境）费、维修（护）费、租赁费、会议费、培训费、公务接待费、专用材料费、劳务费、委托业务费、工会经费、福利费、公务用车运行维护费、其他交通费、其他商品和服务</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；（3）对个人和家庭补助支出包括</w:t>
      </w:r>
      <w:r>
        <w:rPr>
          <w:rFonts w:ascii="仿宋_GB2312" w:eastAsia="仿宋_GB2312"/>
          <w:sz w:val="28"/>
          <w:szCs w:val="28"/>
        </w:rPr>
        <w:t>离休费、退休费、抚恤金、生活补助、</w:t>
      </w:r>
      <w:r>
        <w:rPr>
          <w:rFonts w:hint="eastAsia" w:ascii="仿宋_GB2312" w:eastAsia="仿宋_GB2312"/>
          <w:sz w:val="28"/>
          <w:szCs w:val="28"/>
        </w:rPr>
        <w:t>救济费</w:t>
      </w:r>
      <w:r>
        <w:rPr>
          <w:rFonts w:ascii="仿宋_GB2312" w:eastAsia="仿宋_GB2312"/>
          <w:sz w:val="28"/>
          <w:szCs w:val="28"/>
        </w:rPr>
        <w:t>、医疗费</w:t>
      </w:r>
      <w:r>
        <w:rPr>
          <w:rFonts w:hint="eastAsia" w:ascii="仿宋_GB2312" w:eastAsia="仿宋_GB2312"/>
          <w:sz w:val="28"/>
          <w:szCs w:val="28"/>
        </w:rPr>
        <w:t>补助</w:t>
      </w:r>
      <w:r>
        <w:rPr>
          <w:rFonts w:ascii="仿宋_GB2312" w:eastAsia="仿宋_GB2312"/>
          <w:sz w:val="28"/>
          <w:szCs w:val="28"/>
        </w:rPr>
        <w:t>、助学金、奖励金</w:t>
      </w:r>
      <w:r>
        <w:rPr>
          <w:rFonts w:hint="eastAsia" w:ascii="仿宋_GB2312" w:eastAsia="仿宋_GB2312"/>
          <w:sz w:val="28"/>
          <w:szCs w:val="28"/>
        </w:rPr>
        <w:t>、</w:t>
      </w:r>
      <w:r>
        <w:rPr>
          <w:rFonts w:ascii="仿宋_GB2312" w:eastAsia="仿宋_GB2312"/>
          <w:sz w:val="28"/>
          <w:szCs w:val="28"/>
        </w:rPr>
        <w:t>其他对个人和家庭的补助</w:t>
      </w:r>
      <w:r>
        <w:rPr>
          <w:rFonts w:hint="eastAsia" w:ascii="仿宋_GB2312" w:eastAsia="仿宋_GB2312"/>
          <w:sz w:val="28"/>
          <w:szCs w:val="28"/>
        </w:rPr>
        <w:t>等</w:t>
      </w:r>
      <w:r>
        <w:rPr>
          <w:rFonts w:ascii="仿宋_GB2312" w:eastAsia="仿宋_GB2312"/>
          <w:sz w:val="28"/>
          <w:szCs w:val="28"/>
        </w:rPr>
        <w:t>支出</w:t>
      </w:r>
      <w:r>
        <w:rPr>
          <w:rFonts w:hint="eastAsia" w:ascii="仿宋_GB2312" w:eastAsia="仿宋_GB2312"/>
          <w:sz w:val="28"/>
          <w:szCs w:val="28"/>
        </w:rPr>
        <w:t>。（4）其他资本性支出包括</w:t>
      </w:r>
      <w:r>
        <w:rPr>
          <w:rFonts w:ascii="仿宋_GB2312" w:eastAsia="仿宋_GB2312"/>
          <w:sz w:val="28"/>
          <w:szCs w:val="28"/>
        </w:rPr>
        <w:t>办公设备购置、专用设备购置</w:t>
      </w:r>
      <w:r>
        <w:rPr>
          <w:rFonts w:hint="eastAsia" w:ascii="仿宋_GB2312" w:eastAsia="仿宋_GB2312"/>
          <w:sz w:val="28"/>
          <w:szCs w:val="28"/>
        </w:rPr>
        <w:t>等</w:t>
      </w:r>
      <w:r>
        <w:rPr>
          <w:rFonts w:ascii="仿宋_GB2312" w:eastAsia="仿宋_GB2312"/>
          <w:sz w:val="28"/>
          <w:szCs w:val="28"/>
        </w:rPr>
        <w:t>。</w:t>
      </w:r>
    </w:p>
    <w:p>
      <w:pPr>
        <w:autoSpaceDE w:val="0"/>
        <w:autoSpaceDN w:val="0"/>
        <w:adjustRightInd w:val="0"/>
        <w:spacing w:line="580" w:lineRule="exact"/>
        <w:jc w:val="center"/>
        <w:rPr>
          <w:rFonts w:hint="eastAsia" w:ascii="宋体" w:hAnsi="宋体" w:cs="宋体"/>
          <w:b/>
          <w:spacing w:val="40"/>
          <w:kern w:val="0"/>
          <w:sz w:val="32"/>
          <w:szCs w:val="32"/>
        </w:rPr>
      </w:pPr>
      <w:r>
        <w:rPr>
          <w:rFonts w:ascii="仿宋_GB2312" w:eastAsia="仿宋_GB2312"/>
          <w:sz w:val="28"/>
          <w:szCs w:val="28"/>
        </w:rPr>
        <w:br w:type="page"/>
      </w:r>
      <w:r>
        <w:rPr>
          <w:rFonts w:hint="eastAsia" w:ascii="宋体" w:hAnsi="宋体" w:cs="宋体"/>
          <w:b/>
          <w:bCs/>
          <w:spacing w:val="40"/>
          <w:kern w:val="0"/>
          <w:sz w:val="32"/>
          <w:szCs w:val="32"/>
        </w:rPr>
        <w:t>第三部分</w:t>
      </w:r>
      <w:r>
        <w:rPr>
          <w:rFonts w:hint="eastAsia" w:ascii="宋体" w:hAnsi="宋体"/>
          <w:b/>
          <w:spacing w:val="40"/>
          <w:sz w:val="32"/>
          <w:szCs w:val="32"/>
        </w:rPr>
        <w:t>202</w:t>
      </w:r>
      <w:r>
        <w:rPr>
          <w:rFonts w:hint="eastAsia" w:ascii="宋体" w:hAnsi="宋体"/>
          <w:b/>
          <w:spacing w:val="40"/>
          <w:sz w:val="32"/>
          <w:szCs w:val="32"/>
          <w:lang w:val="en-US" w:eastAsia="zh-CN"/>
        </w:rPr>
        <w:t>3</w:t>
      </w:r>
      <w:r>
        <w:rPr>
          <w:rFonts w:hint="eastAsia" w:ascii="宋体" w:hAnsi="宋体"/>
          <w:b/>
          <w:spacing w:val="40"/>
          <w:sz w:val="32"/>
          <w:szCs w:val="32"/>
        </w:rPr>
        <w:t>年度</w:t>
      </w:r>
      <w:r>
        <w:rPr>
          <w:rFonts w:hint="eastAsia" w:ascii="宋体" w:hAnsi="宋体" w:cs="宋体"/>
          <w:b/>
          <w:spacing w:val="40"/>
          <w:kern w:val="0"/>
          <w:sz w:val="32"/>
          <w:szCs w:val="32"/>
        </w:rPr>
        <w:t>其他重要事项的情况说明</w:t>
      </w:r>
    </w:p>
    <w:p>
      <w:pPr>
        <w:spacing w:line="560" w:lineRule="exact"/>
        <w:ind w:firstLine="560" w:firstLineChars="200"/>
        <w:rPr>
          <w:rFonts w:hint="eastAsia" w:ascii="黑体" w:eastAsia="黑体"/>
          <w:sz w:val="28"/>
          <w:szCs w:val="28"/>
        </w:rPr>
      </w:pPr>
      <w:r>
        <w:rPr>
          <w:rFonts w:hint="eastAsia" w:ascii="黑体" w:eastAsia="黑体"/>
          <w:sz w:val="28"/>
          <w:szCs w:val="28"/>
        </w:rPr>
        <w:t>一、“三公”经费财政拨款决算情况</w:t>
      </w:r>
    </w:p>
    <w:p>
      <w:pPr>
        <w:spacing w:line="560" w:lineRule="exact"/>
        <w:ind w:firstLine="600"/>
        <w:rPr>
          <w:rFonts w:hint="eastAsia" w:ascii="仿宋_GB2312" w:eastAsia="仿宋_GB2312"/>
          <w:sz w:val="28"/>
          <w:szCs w:val="28"/>
          <w:highlight w:val="none"/>
        </w:rPr>
      </w:pPr>
      <w:r>
        <w:rPr>
          <w:rFonts w:hint="eastAsia" w:ascii="仿宋_GB2312" w:eastAsia="仿宋_GB2312"/>
          <w:color w:val="auto"/>
          <w:sz w:val="28"/>
          <w:szCs w:val="28"/>
          <w:highlight w:val="none"/>
        </w:rPr>
        <w:t>“三公”经费</w:t>
      </w:r>
      <w:r>
        <w:rPr>
          <w:rFonts w:hint="eastAsia" w:ascii="仿宋_GB2312" w:hAnsi="Times New Roman" w:eastAsia="仿宋_GB2312" w:cs="Times New Roman"/>
          <w:color w:val="auto"/>
          <w:sz w:val="28"/>
          <w:szCs w:val="28"/>
          <w:highlight w:val="none"/>
        </w:rPr>
        <w:t>包括</w:t>
      </w:r>
      <w:r>
        <w:rPr>
          <w:rFonts w:hint="eastAsia" w:ascii="仿宋_GB2312" w:hAnsi="Times New Roman" w:eastAsia="仿宋_GB2312" w:cs="Times New Roman"/>
          <w:color w:val="auto"/>
          <w:sz w:val="28"/>
          <w:szCs w:val="28"/>
          <w:highlight w:val="none"/>
          <w:lang w:val="en-US" w:eastAsia="zh-CN"/>
        </w:rPr>
        <w:t>单位本级1个单位</w:t>
      </w:r>
      <w:r>
        <w:rPr>
          <w:rFonts w:hint="eastAsia" w:ascii="仿宋_GB2312" w:hAnsi="Times New Roman" w:eastAsia="仿宋_GB2312" w:cs="Times New Roman"/>
          <w:color w:val="auto"/>
          <w:sz w:val="28"/>
          <w:szCs w:val="28"/>
          <w:highlight w:val="none"/>
        </w:rPr>
        <w:t>。</w:t>
      </w:r>
      <w:r>
        <w:rPr>
          <w:rFonts w:hint="eastAsia" w:ascii="仿宋_GB2312" w:eastAsia="仿宋_GB2312"/>
          <w:color w:val="auto"/>
          <w:sz w:val="28"/>
          <w:szCs w:val="28"/>
          <w:highlight w:val="none"/>
        </w:rPr>
        <w:t>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年度“三公”经费财政拨款决算数</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万元，比202</w:t>
      </w:r>
      <w:r>
        <w:rPr>
          <w:rFonts w:hint="eastAsia" w:ascii="仿宋_GB2312" w:eastAsia="仿宋_GB2312"/>
          <w:color w:val="auto"/>
          <w:sz w:val="28"/>
          <w:szCs w:val="28"/>
          <w:highlight w:val="none"/>
          <w:lang w:val="en-US" w:eastAsia="zh-CN"/>
        </w:rPr>
        <w:t>3</w:t>
      </w:r>
      <w:r>
        <w:rPr>
          <w:rFonts w:hint="eastAsia" w:ascii="仿宋_GB2312" w:eastAsia="仿宋_GB2312"/>
          <w:color w:val="auto"/>
          <w:sz w:val="28"/>
          <w:szCs w:val="28"/>
          <w:highlight w:val="none"/>
        </w:rPr>
        <w:t>年度“三公”经费财政拨款年初预算</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万元减少</w:t>
      </w:r>
      <w:r>
        <w:rPr>
          <w:rFonts w:hint="eastAsia" w:ascii="仿宋_GB2312" w:eastAsia="仿宋_GB2312"/>
          <w:color w:val="auto"/>
          <w:sz w:val="28"/>
          <w:szCs w:val="28"/>
          <w:highlight w:val="none"/>
          <w:lang w:val="en-US" w:eastAsia="zh-CN"/>
        </w:rPr>
        <w:t>0</w:t>
      </w:r>
      <w:r>
        <w:rPr>
          <w:rFonts w:hint="eastAsia" w:ascii="仿宋_GB2312" w:eastAsia="仿宋_GB2312"/>
          <w:color w:val="auto"/>
          <w:sz w:val="28"/>
          <w:szCs w:val="28"/>
          <w:highlight w:val="none"/>
        </w:rPr>
        <w:t>万元。</w:t>
      </w:r>
      <w:r>
        <w:rPr>
          <w:rFonts w:hint="eastAsia" w:ascii="仿宋_GB2312" w:eastAsia="仿宋_GB2312"/>
          <w:sz w:val="28"/>
          <w:szCs w:val="28"/>
          <w:highlight w:val="none"/>
        </w:rPr>
        <w:t>其中：</w:t>
      </w:r>
    </w:p>
    <w:p>
      <w:pPr>
        <w:numPr>
          <w:ilvl w:val="0"/>
          <w:numId w:val="1"/>
        </w:numPr>
        <w:spacing w:line="580" w:lineRule="exact"/>
        <w:ind w:firstLine="548" w:firstLineChars="196"/>
        <w:rPr>
          <w:rFonts w:hint="eastAsia" w:ascii="仿宋_GB2312" w:eastAsia="仿宋_GB2312"/>
          <w:sz w:val="28"/>
          <w:szCs w:val="28"/>
          <w:lang w:eastAsia="zh-CN"/>
        </w:rPr>
      </w:pPr>
      <w:r>
        <w:rPr>
          <w:rFonts w:hint="eastAsia" w:ascii="仿宋_GB2312" w:eastAsia="仿宋_GB2312"/>
          <w:sz w:val="28"/>
          <w:szCs w:val="28"/>
        </w:rPr>
        <w:t>因公出国（境）费用。本</w:t>
      </w:r>
      <w:r>
        <w:rPr>
          <w:rFonts w:hint="eastAsia" w:ascii="仿宋_GB2312" w:eastAsia="仿宋_GB2312"/>
          <w:sz w:val="28"/>
          <w:szCs w:val="28"/>
          <w:lang w:eastAsia="zh-CN"/>
        </w:rPr>
        <w:t>单位</w:t>
      </w:r>
      <w:r>
        <w:rPr>
          <w:rFonts w:hint="eastAsia" w:ascii="仿宋_GB2312" w:eastAsia="仿宋_GB2312"/>
          <w:sz w:val="28"/>
          <w:szCs w:val="28"/>
        </w:rPr>
        <w:t>无此项</w:t>
      </w:r>
      <w:r>
        <w:rPr>
          <w:rFonts w:hint="eastAsia" w:ascii="仿宋_GB2312" w:eastAsia="仿宋_GB2312"/>
          <w:sz w:val="28"/>
          <w:szCs w:val="28"/>
          <w:lang w:eastAsia="zh-CN"/>
        </w:rPr>
        <w:t>经费。</w:t>
      </w:r>
    </w:p>
    <w:p>
      <w:pPr>
        <w:numPr>
          <w:ilvl w:val="0"/>
          <w:numId w:val="1"/>
        </w:numPr>
        <w:spacing w:line="580" w:lineRule="exact"/>
        <w:ind w:firstLine="548" w:firstLineChars="196"/>
        <w:rPr>
          <w:rFonts w:hint="default" w:ascii="仿宋_GB2312" w:hAnsi="Times New Roman" w:eastAsia="仿宋_GB2312" w:cs="Times New Roman"/>
          <w:sz w:val="28"/>
          <w:szCs w:val="28"/>
          <w:lang w:val="en-US" w:eastAsia="zh-CN"/>
        </w:rPr>
      </w:pPr>
      <w:r>
        <w:rPr>
          <w:rFonts w:hint="eastAsia" w:ascii="仿宋_GB2312" w:eastAsia="仿宋_GB2312"/>
          <w:sz w:val="28"/>
          <w:szCs w:val="28"/>
        </w:rPr>
        <w:t>公务接待费。本</w:t>
      </w:r>
      <w:r>
        <w:rPr>
          <w:rFonts w:hint="eastAsia" w:ascii="仿宋_GB2312" w:eastAsia="仿宋_GB2312"/>
          <w:sz w:val="28"/>
          <w:szCs w:val="28"/>
          <w:lang w:eastAsia="zh-CN"/>
        </w:rPr>
        <w:t>单位</w:t>
      </w:r>
      <w:r>
        <w:rPr>
          <w:rFonts w:hint="eastAsia" w:ascii="仿宋_GB2312" w:eastAsia="仿宋_GB2312"/>
          <w:sz w:val="28"/>
          <w:szCs w:val="28"/>
        </w:rPr>
        <w:t>无此项</w:t>
      </w:r>
      <w:r>
        <w:rPr>
          <w:rFonts w:hint="eastAsia" w:ascii="仿宋_GB2312" w:eastAsia="仿宋_GB2312"/>
          <w:sz w:val="28"/>
          <w:szCs w:val="28"/>
          <w:lang w:eastAsia="zh-CN"/>
        </w:rPr>
        <w:t>经费。</w:t>
      </w:r>
    </w:p>
    <w:p>
      <w:pPr>
        <w:numPr>
          <w:ilvl w:val="0"/>
          <w:numId w:val="1"/>
        </w:numPr>
        <w:spacing w:line="580" w:lineRule="exact"/>
        <w:ind w:firstLine="548" w:firstLineChars="196"/>
        <w:rPr>
          <w:rFonts w:hint="default" w:ascii="仿宋_GB2312" w:hAnsi="Times New Roman" w:eastAsia="仿宋_GB2312" w:cs="Times New Roman"/>
          <w:sz w:val="28"/>
          <w:szCs w:val="28"/>
          <w:lang w:val="en-US" w:eastAsia="zh-CN"/>
        </w:rPr>
      </w:pPr>
      <w:r>
        <w:rPr>
          <w:rFonts w:hint="eastAsia" w:ascii="仿宋_GB2312" w:hAnsi="Times New Roman" w:eastAsia="仿宋_GB2312" w:cs="Times New Roman"/>
          <w:sz w:val="28"/>
          <w:szCs w:val="28"/>
          <w:lang w:eastAsia="zh-CN"/>
        </w:rPr>
        <w:t>公务用车购置及运行维护费。</w:t>
      </w:r>
      <w:r>
        <w:rPr>
          <w:rFonts w:hint="eastAsia" w:ascii="仿宋_GB2312" w:eastAsia="仿宋_GB2312"/>
          <w:sz w:val="28"/>
          <w:szCs w:val="28"/>
        </w:rPr>
        <w:t>本</w:t>
      </w:r>
      <w:r>
        <w:rPr>
          <w:rFonts w:hint="eastAsia" w:ascii="仿宋_GB2312" w:eastAsia="仿宋_GB2312"/>
          <w:sz w:val="28"/>
          <w:szCs w:val="28"/>
          <w:lang w:eastAsia="zh-CN"/>
        </w:rPr>
        <w:t>单位</w:t>
      </w:r>
      <w:r>
        <w:rPr>
          <w:rFonts w:hint="eastAsia" w:ascii="仿宋_GB2312" w:eastAsia="仿宋_GB2312"/>
          <w:sz w:val="28"/>
          <w:szCs w:val="28"/>
        </w:rPr>
        <w:t>无此项</w:t>
      </w:r>
      <w:r>
        <w:rPr>
          <w:rFonts w:hint="eastAsia" w:ascii="仿宋_GB2312" w:eastAsia="仿宋_GB2312"/>
          <w:sz w:val="28"/>
          <w:szCs w:val="28"/>
          <w:lang w:eastAsia="zh-CN"/>
        </w:rPr>
        <w:t>经费。</w:t>
      </w:r>
    </w:p>
    <w:p>
      <w:pPr>
        <w:tabs>
          <w:tab w:val="center" w:pos="6979"/>
        </w:tabs>
        <w:ind w:firstLine="554" w:firstLineChars="198"/>
        <w:rPr>
          <w:rFonts w:hint="eastAsia" w:ascii="黑体" w:eastAsia="黑体"/>
          <w:sz w:val="28"/>
          <w:szCs w:val="28"/>
        </w:rPr>
      </w:pPr>
      <w:r>
        <w:rPr>
          <w:rFonts w:hint="eastAsia" w:ascii="黑体" w:eastAsia="黑体"/>
          <w:sz w:val="28"/>
          <w:szCs w:val="28"/>
        </w:rPr>
        <w:t>二、机关运行经费支出情况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年度使用财政拨款安排的基本支出中的日常公用经费支出，合计</w:t>
      </w:r>
      <w:r>
        <w:rPr>
          <w:rFonts w:hint="eastAsia" w:ascii="仿宋_GB2312" w:eastAsia="仿宋_GB2312"/>
          <w:sz w:val="28"/>
          <w:szCs w:val="28"/>
          <w:lang w:val="en-US" w:eastAsia="zh-CN"/>
        </w:rPr>
        <w:t>27.40</w:t>
      </w:r>
      <w:r>
        <w:rPr>
          <w:rFonts w:hint="eastAsia" w:ascii="仿宋_GB2312" w:eastAsia="仿宋_GB2312"/>
          <w:sz w:val="28"/>
          <w:szCs w:val="28"/>
        </w:rPr>
        <w:t>万元，比上年减少</w:t>
      </w:r>
      <w:r>
        <w:rPr>
          <w:rFonts w:hint="eastAsia" w:ascii="仿宋_GB2312" w:eastAsia="仿宋_GB2312"/>
          <w:sz w:val="28"/>
          <w:szCs w:val="28"/>
          <w:lang w:val="en-US" w:eastAsia="zh-CN"/>
        </w:rPr>
        <w:t>0.24</w:t>
      </w:r>
      <w:r>
        <w:rPr>
          <w:rFonts w:hint="eastAsia" w:ascii="仿宋_GB2312" w:eastAsia="仿宋_GB2312"/>
          <w:sz w:val="28"/>
          <w:szCs w:val="28"/>
        </w:rPr>
        <w:t>万元，减少</w:t>
      </w:r>
      <w:r>
        <w:rPr>
          <w:rFonts w:hint="eastAsia" w:ascii="仿宋_GB2312" w:eastAsia="仿宋_GB2312"/>
          <w:sz w:val="28"/>
          <w:szCs w:val="28"/>
          <w:lang w:val="en-US" w:eastAsia="zh-CN"/>
        </w:rPr>
        <w:t>0.87%</w:t>
      </w:r>
      <w:r>
        <w:rPr>
          <w:rFonts w:hint="eastAsia" w:ascii="仿宋_GB2312" w:eastAsia="仿宋_GB2312"/>
          <w:sz w:val="28"/>
          <w:szCs w:val="28"/>
        </w:rPr>
        <w:t>原因：厉行勤俭节约</w:t>
      </w:r>
      <w:r>
        <w:rPr>
          <w:rFonts w:hint="eastAsia" w:ascii="仿宋_GB2312" w:eastAsia="仿宋_GB2312"/>
          <w:sz w:val="28"/>
          <w:szCs w:val="28"/>
          <w:lang w:val="en-US" w:eastAsia="zh-CN"/>
        </w:rPr>
        <w:t>,压缩一般性支出</w:t>
      </w:r>
      <w:r>
        <w:rPr>
          <w:rFonts w:hint="eastAsia" w:ascii="仿宋_GB2312" w:eastAsia="仿宋_GB2312"/>
          <w:sz w:val="28"/>
          <w:szCs w:val="28"/>
        </w:rPr>
        <w:t>。</w:t>
      </w:r>
    </w:p>
    <w:p>
      <w:pPr>
        <w:ind w:left="540"/>
        <w:rPr>
          <w:rFonts w:hint="eastAsia" w:ascii="黑体" w:eastAsia="黑体"/>
          <w:sz w:val="28"/>
          <w:szCs w:val="28"/>
        </w:rPr>
      </w:pPr>
      <w:r>
        <w:rPr>
          <w:rFonts w:hint="eastAsia" w:ascii="黑体" w:eastAsia="黑体"/>
          <w:sz w:val="28"/>
          <w:szCs w:val="28"/>
        </w:rPr>
        <w:t>三、政府采购支出情况</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年度政府采购支出总额</w:t>
      </w:r>
      <w:r>
        <w:rPr>
          <w:rFonts w:ascii="仿宋_GB2312" w:eastAsia="仿宋_GB2312"/>
          <w:sz w:val="28"/>
          <w:szCs w:val="28"/>
        </w:rPr>
        <w:t>0.39</w:t>
      </w:r>
      <w:r>
        <w:rPr>
          <w:rFonts w:hint="eastAsia" w:ascii="仿宋_GB2312" w:eastAsia="仿宋_GB2312"/>
          <w:sz w:val="28"/>
          <w:szCs w:val="28"/>
        </w:rPr>
        <w:t>万元，其中：政府采购货物支出</w:t>
      </w:r>
      <w:r>
        <w:rPr>
          <w:rFonts w:ascii="仿宋_GB2312" w:eastAsia="仿宋_GB2312"/>
          <w:sz w:val="28"/>
          <w:szCs w:val="28"/>
        </w:rPr>
        <w:t>0.39</w:t>
      </w:r>
      <w:r>
        <w:rPr>
          <w:rFonts w:hint="eastAsia" w:ascii="仿宋_GB2312" w:eastAsia="仿宋_GB2312"/>
          <w:sz w:val="28"/>
          <w:szCs w:val="28"/>
        </w:rPr>
        <w:t>万元，政府采购工程支出</w:t>
      </w:r>
      <w:r>
        <w:rPr>
          <w:rFonts w:ascii="仿宋_GB2312" w:eastAsia="仿宋_GB2312"/>
          <w:sz w:val="28"/>
          <w:szCs w:val="28"/>
        </w:rPr>
        <w:t>0</w:t>
      </w:r>
      <w:r>
        <w:rPr>
          <w:rFonts w:hint="eastAsia" w:ascii="仿宋_GB2312" w:eastAsia="仿宋_GB2312"/>
          <w:sz w:val="28"/>
          <w:szCs w:val="28"/>
        </w:rPr>
        <w:t>万元，政府采购服务支出</w:t>
      </w:r>
      <w:r>
        <w:rPr>
          <w:rFonts w:ascii="仿宋_GB2312" w:eastAsia="仿宋_GB2312"/>
          <w:sz w:val="28"/>
          <w:szCs w:val="28"/>
        </w:rPr>
        <w:t>0</w:t>
      </w:r>
      <w:r>
        <w:rPr>
          <w:rFonts w:hint="eastAsia" w:ascii="仿宋_GB2312" w:eastAsia="仿宋_GB2312"/>
          <w:sz w:val="28"/>
          <w:szCs w:val="28"/>
        </w:rPr>
        <w:t>万元。授予中小企业合同金额</w:t>
      </w:r>
      <w:r>
        <w:rPr>
          <w:rFonts w:ascii="仿宋_GB2312" w:eastAsia="仿宋_GB2312"/>
          <w:sz w:val="28"/>
          <w:szCs w:val="28"/>
          <w:highlight w:val="none"/>
        </w:rPr>
        <w:t>0.39</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rPr>
        <w:t>%，其中：授予小微企业合同金额</w:t>
      </w:r>
      <w:r>
        <w:rPr>
          <w:rFonts w:ascii="仿宋_GB2312" w:eastAsia="仿宋_GB2312"/>
          <w:sz w:val="28"/>
          <w:szCs w:val="28"/>
          <w:highlight w:val="none"/>
        </w:rPr>
        <w:t>0.39</w:t>
      </w:r>
      <w:r>
        <w:rPr>
          <w:rFonts w:hint="eastAsia" w:ascii="仿宋_GB2312" w:eastAsia="仿宋_GB2312"/>
          <w:sz w:val="28"/>
          <w:szCs w:val="28"/>
        </w:rPr>
        <w:t>万元，占政府采购支出总额的</w:t>
      </w:r>
      <w:r>
        <w:rPr>
          <w:rFonts w:ascii="仿宋_GB2312" w:eastAsia="仿宋_GB2312"/>
          <w:sz w:val="28"/>
          <w:szCs w:val="28"/>
          <w:highlight w:val="none"/>
        </w:rPr>
        <w:t>100</w:t>
      </w:r>
      <w:r>
        <w:rPr>
          <w:rFonts w:hint="eastAsia" w:ascii="仿宋_GB2312" w:eastAsia="仿宋_GB2312"/>
          <w:sz w:val="28"/>
          <w:szCs w:val="28"/>
          <w:highlight w:val="none"/>
        </w:rPr>
        <w:t>%</w:t>
      </w:r>
      <w:r>
        <w:rPr>
          <w:rFonts w:hint="eastAsia" w:ascii="仿宋_GB2312" w:eastAsia="仿宋_GB2312"/>
          <w:sz w:val="28"/>
          <w:szCs w:val="28"/>
        </w:rPr>
        <w:t>。</w:t>
      </w:r>
    </w:p>
    <w:p>
      <w:pPr>
        <w:ind w:firstLine="560" w:firstLineChars="200"/>
        <w:rPr>
          <w:rFonts w:hint="eastAsia" w:ascii="黑体" w:eastAsia="黑体"/>
          <w:sz w:val="28"/>
          <w:szCs w:val="28"/>
          <w:highlight w:val="yellow"/>
        </w:rPr>
      </w:pPr>
      <w:r>
        <w:rPr>
          <w:rFonts w:hint="eastAsia" w:ascii="黑体" w:eastAsia="黑体"/>
          <w:sz w:val="28"/>
          <w:szCs w:val="28"/>
          <w:highlight w:val="none"/>
        </w:rPr>
        <w:t>四、国有资产占用情况</w:t>
      </w:r>
    </w:p>
    <w:p>
      <w:pPr>
        <w:ind w:firstLine="560" w:firstLineChars="200"/>
        <w:rPr>
          <w:rFonts w:ascii="仿宋_GB2312" w:eastAsia="仿宋_GB2312"/>
          <w:sz w:val="32"/>
          <w:szCs w:val="32"/>
        </w:rPr>
      </w:pPr>
      <w:r>
        <w:rPr>
          <w:rFonts w:hint="eastAsia" w:ascii="仿宋_GB2312" w:eastAsia="仿宋_GB2312"/>
          <w:sz w:val="28"/>
          <w:szCs w:val="28"/>
          <w:lang w:val="en-US" w:eastAsia="zh-CN"/>
        </w:rPr>
        <w:t>2023年度新购置车辆0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；新购置</w:t>
      </w:r>
      <w:r>
        <w:rPr>
          <w:rFonts w:hint="eastAsia" w:ascii="仿宋_GB2312" w:eastAsia="仿宋_GB2312"/>
          <w:sz w:val="28"/>
          <w:szCs w:val="28"/>
        </w:rPr>
        <w:t>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r>
        <w:rPr>
          <w:rFonts w:hint="eastAsia" w:ascii="仿宋_GB2312" w:eastAsia="仿宋_GB2312"/>
          <w:sz w:val="28"/>
          <w:szCs w:val="28"/>
          <w:lang w:eastAsia="zh-CN"/>
        </w:rPr>
        <w:t>截至</w:t>
      </w:r>
      <w:r>
        <w:rPr>
          <w:rFonts w:hint="eastAsia" w:ascii="仿宋_GB2312" w:eastAsia="仿宋_GB2312"/>
          <w:sz w:val="28"/>
          <w:szCs w:val="28"/>
          <w:lang w:val="en-US" w:eastAsia="zh-CN"/>
        </w:rPr>
        <w:t>12月31日，</w:t>
      </w:r>
      <w:r>
        <w:rPr>
          <w:rFonts w:hint="eastAsia" w:ascii="仿宋_GB2312" w:eastAsia="仿宋_GB2312"/>
          <w:sz w:val="28"/>
          <w:szCs w:val="28"/>
          <w:lang w:eastAsia="zh-CN"/>
        </w:rPr>
        <w:t>标准化中心共有</w:t>
      </w:r>
      <w:r>
        <w:rPr>
          <w:rFonts w:hint="eastAsia" w:ascii="仿宋_GB2312" w:eastAsia="仿宋_GB2312"/>
          <w:sz w:val="28"/>
          <w:szCs w:val="28"/>
        </w:rPr>
        <w:t>车辆</w:t>
      </w:r>
      <w:r>
        <w:rPr>
          <w:rFonts w:hint="eastAsia" w:ascii="仿宋_GB2312" w:eastAsia="仿宋_GB2312"/>
          <w:sz w:val="28"/>
          <w:szCs w:val="28"/>
          <w:lang w:val="en-US" w:eastAsia="zh-CN"/>
        </w:rPr>
        <w:t>0</w:t>
      </w:r>
      <w:r>
        <w:rPr>
          <w:rFonts w:hint="eastAsia" w:ascii="仿宋_GB2312" w:eastAsia="仿宋_GB2312"/>
          <w:sz w:val="28"/>
          <w:szCs w:val="28"/>
        </w:rPr>
        <w:t>台，</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万元；单位价值100万元</w:t>
      </w:r>
      <w:r>
        <w:rPr>
          <w:rFonts w:hint="eastAsia" w:ascii="仿宋_GB2312" w:eastAsia="仿宋_GB2312"/>
          <w:sz w:val="28"/>
          <w:szCs w:val="28"/>
          <w:lang w:eastAsia="zh-CN"/>
        </w:rPr>
        <w:t>（含）</w:t>
      </w:r>
      <w:r>
        <w:rPr>
          <w:rFonts w:hint="eastAsia" w:ascii="仿宋_GB2312" w:eastAsia="仿宋_GB2312"/>
          <w:sz w:val="28"/>
          <w:szCs w:val="28"/>
        </w:rPr>
        <w:t>以上的设备</w:t>
      </w:r>
      <w:r>
        <w:rPr>
          <w:rFonts w:hint="eastAsia" w:ascii="仿宋_GB2312" w:eastAsia="仿宋_GB2312"/>
          <w:sz w:val="28"/>
          <w:szCs w:val="28"/>
          <w:lang w:val="en-US" w:eastAsia="zh-CN"/>
        </w:rPr>
        <w:t>0</w:t>
      </w:r>
      <w:r>
        <w:rPr>
          <w:rFonts w:hint="eastAsia" w:ascii="仿宋_GB2312" w:eastAsia="仿宋_GB2312"/>
          <w:sz w:val="28"/>
          <w:szCs w:val="28"/>
        </w:rPr>
        <w:t>台（套）</w:t>
      </w:r>
      <w:r>
        <w:rPr>
          <w:rFonts w:hint="eastAsia" w:ascii="仿宋_GB2312" w:eastAsia="仿宋_GB2312"/>
          <w:sz w:val="28"/>
          <w:szCs w:val="28"/>
          <w:lang w:eastAsia="zh-CN"/>
        </w:rPr>
        <w:t>，共计</w:t>
      </w:r>
      <w:r>
        <w:rPr>
          <w:rFonts w:hint="eastAsia" w:ascii="仿宋_GB2312" w:eastAsia="仿宋_GB2312"/>
          <w:sz w:val="28"/>
          <w:szCs w:val="28"/>
          <w:lang w:val="en-US" w:eastAsia="zh-CN"/>
        </w:rPr>
        <w:t>0.00</w:t>
      </w:r>
      <w:r>
        <w:rPr>
          <w:rFonts w:hint="eastAsia" w:ascii="仿宋_GB2312" w:eastAsia="仿宋_GB2312"/>
          <w:sz w:val="28"/>
          <w:szCs w:val="28"/>
        </w:rPr>
        <w:t>万元。</w:t>
      </w:r>
    </w:p>
    <w:p>
      <w:pPr>
        <w:ind w:firstLine="537" w:firstLineChars="192"/>
        <w:rPr>
          <w:rFonts w:ascii="黑体" w:eastAsia="黑体"/>
          <w:sz w:val="28"/>
          <w:szCs w:val="28"/>
        </w:rPr>
      </w:pPr>
      <w:r>
        <w:rPr>
          <w:rFonts w:hint="eastAsia" w:ascii="黑体" w:eastAsia="黑体"/>
          <w:sz w:val="28"/>
          <w:szCs w:val="28"/>
        </w:rPr>
        <w:t>五</w:t>
      </w:r>
      <w:r>
        <w:rPr>
          <w:rFonts w:ascii="黑体" w:eastAsia="黑体"/>
          <w:sz w:val="28"/>
          <w:szCs w:val="28"/>
        </w:rPr>
        <w:t>、政府购买服务</w:t>
      </w:r>
      <w:r>
        <w:rPr>
          <w:rFonts w:hint="eastAsia" w:ascii="黑体" w:eastAsia="黑体"/>
          <w:sz w:val="28"/>
          <w:szCs w:val="28"/>
        </w:rPr>
        <w:t>支出</w:t>
      </w:r>
      <w:r>
        <w:rPr>
          <w:rFonts w:ascii="黑体" w:eastAsia="黑体"/>
          <w:sz w:val="28"/>
          <w:szCs w:val="28"/>
        </w:rPr>
        <w:t>说明</w:t>
      </w:r>
    </w:p>
    <w:p>
      <w:pPr>
        <w:ind w:firstLine="537" w:firstLineChars="192"/>
        <w:rPr>
          <w:rFonts w:hint="eastAsia" w:ascii="仿宋_GB2312" w:eastAsia="仿宋_GB2312"/>
          <w:sz w:val="28"/>
          <w:szCs w:val="28"/>
        </w:rPr>
      </w:pPr>
      <w:r>
        <w:rPr>
          <w:rFonts w:hint="eastAsia" w:ascii="仿宋_GB2312" w:eastAsia="仿宋_GB2312"/>
          <w:sz w:val="28"/>
          <w:szCs w:val="28"/>
        </w:rPr>
        <w:t>202</w:t>
      </w:r>
      <w:r>
        <w:rPr>
          <w:rFonts w:hint="eastAsia" w:ascii="仿宋_GB2312" w:eastAsia="仿宋_GB2312"/>
          <w:sz w:val="28"/>
          <w:szCs w:val="28"/>
          <w:lang w:val="en-US" w:eastAsia="zh-CN"/>
        </w:rPr>
        <w:t>3</w:t>
      </w:r>
      <w:r>
        <w:rPr>
          <w:rFonts w:hint="eastAsia" w:ascii="仿宋_GB2312" w:eastAsia="仿宋_GB2312"/>
          <w:sz w:val="28"/>
          <w:szCs w:val="28"/>
        </w:rPr>
        <w:t>年度</w:t>
      </w:r>
      <w:r>
        <w:rPr>
          <w:rFonts w:ascii="仿宋_GB2312" w:eastAsia="仿宋_GB2312"/>
          <w:sz w:val="28"/>
          <w:szCs w:val="28"/>
        </w:rPr>
        <w:t>政府购买服务决算</w:t>
      </w:r>
      <w:r>
        <w:rPr>
          <w:rFonts w:ascii="仿宋_GB2312" w:eastAsia="仿宋_GB2312"/>
          <w:sz w:val="28"/>
          <w:szCs w:val="28"/>
          <w:highlight w:val="none"/>
        </w:rPr>
        <w:t>0</w:t>
      </w:r>
      <w:r>
        <w:rPr>
          <w:rFonts w:hint="eastAsia" w:ascii="仿宋_GB2312" w:eastAsia="仿宋_GB2312"/>
          <w:sz w:val="28"/>
          <w:szCs w:val="28"/>
        </w:rPr>
        <w:t>万元。</w:t>
      </w:r>
    </w:p>
    <w:p>
      <w:pPr>
        <w:ind w:firstLine="560" w:firstLineChars="200"/>
        <w:jc w:val="left"/>
        <w:rPr>
          <w:rFonts w:hint="eastAsia" w:ascii="仿宋_GB2312" w:eastAsia="仿宋_GB2312"/>
          <w:color w:val="000000"/>
          <w:sz w:val="32"/>
          <w:szCs w:val="32"/>
        </w:rPr>
      </w:pPr>
      <w:r>
        <w:rPr>
          <w:rFonts w:hint="eastAsia" w:ascii="黑体" w:eastAsia="黑体"/>
          <w:sz w:val="28"/>
          <w:szCs w:val="28"/>
        </w:rPr>
        <w:t>六、</w:t>
      </w:r>
      <w:r>
        <w:rPr>
          <w:rFonts w:ascii="黑体" w:eastAsia="黑体"/>
          <w:sz w:val="28"/>
          <w:szCs w:val="28"/>
        </w:rPr>
        <w:t>专业名词解释</w:t>
      </w:r>
    </w:p>
    <w:p>
      <w:pPr>
        <w:ind w:firstLine="560" w:firstLineChars="200"/>
        <w:rPr>
          <w:rFonts w:hint="eastAsia" w:ascii="仿宋_GB2312" w:eastAsia="仿宋_GB2312"/>
          <w:sz w:val="28"/>
          <w:szCs w:val="28"/>
        </w:rPr>
      </w:pPr>
      <w:r>
        <w:rPr>
          <w:rFonts w:hint="eastAsia" w:ascii="仿宋_GB2312" w:eastAsia="仿宋_GB2312"/>
          <w:sz w:val="28"/>
          <w:szCs w:val="28"/>
        </w:rPr>
        <w:t>1.基本支出：指为保障机构正常运转、完成日常工作任务而发生的人员支出和公用支出。</w:t>
      </w:r>
    </w:p>
    <w:p>
      <w:pPr>
        <w:ind w:firstLine="560" w:firstLineChars="200"/>
        <w:rPr>
          <w:rFonts w:hint="eastAsia" w:ascii="仿宋_GB2312" w:eastAsia="仿宋_GB2312"/>
          <w:sz w:val="28"/>
          <w:szCs w:val="28"/>
        </w:rPr>
      </w:pPr>
      <w:r>
        <w:rPr>
          <w:rFonts w:hint="eastAsia" w:ascii="仿宋_GB2312" w:eastAsia="仿宋_GB2312"/>
          <w:sz w:val="28"/>
          <w:szCs w:val="28"/>
        </w:rPr>
        <w:t>2.项目支出：指在基本支出之外为完成特定行政任务或事业发展目标所发生的支出。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3.“三公”经费：</w:t>
      </w:r>
      <w:r>
        <w:rPr>
          <w:rFonts w:hint="eastAsia" w:ascii="仿宋_GB2312" w:hAnsi="宋体" w:eastAsia="仿宋_GB2312"/>
          <w:sz w:val="28"/>
          <w:szCs w:val="28"/>
        </w:rPr>
        <w:t>是指单位通过财政拨款资金安排的因公出国（境）费、公务用车购置及运行费和公务接待费。其中，因公出国（境）费指单位公务出国（境）的国际旅费、国外城市间交通费、住宿费、伙食费、培训费、公杂费等支出；公务用车购置及运行费指单位公务用车购置支出（含车辆购置税、牌照费）及单位按规定保留的公务用车燃料费、维修费、过路过桥费、保险费、安全奖励费等支出；公务接待费指单位按规定开支的各类公务接待（含外宾接待）支出。</w:t>
      </w:r>
    </w:p>
    <w:p>
      <w:pPr>
        <w:ind w:firstLine="560" w:firstLineChars="200"/>
        <w:rPr>
          <w:rFonts w:hint="eastAsia" w:ascii="仿宋_GB2312" w:hAnsi="宋体" w:eastAsia="仿宋_GB2312"/>
          <w:sz w:val="28"/>
          <w:szCs w:val="28"/>
        </w:rPr>
      </w:pPr>
      <w:r>
        <w:rPr>
          <w:rFonts w:hint="eastAsia" w:ascii="仿宋_GB2312" w:eastAsia="仿宋_GB2312"/>
          <w:sz w:val="28"/>
          <w:szCs w:val="28"/>
        </w:rPr>
        <w:t>4</w:t>
      </w:r>
      <w:r>
        <w:rPr>
          <w:rFonts w:ascii="仿宋_GB2312" w:eastAsia="仿宋_GB2312"/>
          <w:sz w:val="28"/>
          <w:szCs w:val="28"/>
        </w:rPr>
        <w:t>.</w:t>
      </w:r>
      <w:r>
        <w:rPr>
          <w:rFonts w:hint="eastAsia" w:ascii="仿宋_GB2312" w:eastAsia="仿宋_GB2312"/>
          <w:sz w:val="28"/>
          <w:szCs w:val="28"/>
        </w:rPr>
        <w:t>机关运行经费：</w:t>
      </w:r>
      <w:r>
        <w:rPr>
          <w:rFonts w:hint="eastAsia" w:ascii="仿宋_GB2312" w:hAnsi="宋体" w:eastAsia="仿宋_GB2312"/>
          <w:sz w:val="28"/>
          <w:szCs w:val="28"/>
        </w:rPr>
        <w:t>指为</w:t>
      </w:r>
      <w:r>
        <w:rPr>
          <w:rFonts w:ascii="仿宋_GB2312" w:hAnsi="宋体" w:eastAsia="仿宋_GB2312"/>
          <w:sz w:val="28"/>
          <w:szCs w:val="28"/>
        </w:rPr>
        <w:t>保障</w:t>
      </w:r>
      <w:r>
        <w:rPr>
          <w:rFonts w:hint="eastAsia" w:ascii="仿宋_GB2312" w:hAnsi="宋体" w:eastAsia="仿宋_GB2312"/>
          <w:sz w:val="28"/>
          <w:szCs w:val="28"/>
        </w:rPr>
        <w:t>行政单位（含参照公务员法管理事业单位）运行用于</w:t>
      </w:r>
      <w:r>
        <w:rPr>
          <w:rFonts w:ascii="仿宋_GB2312" w:hAnsi="宋体" w:eastAsia="仿宋_GB2312"/>
          <w:sz w:val="28"/>
          <w:szCs w:val="28"/>
        </w:rPr>
        <w:t>购买货物和服务的各项资金</w:t>
      </w:r>
      <w:r>
        <w:rPr>
          <w:rFonts w:hint="eastAsia" w:ascii="仿宋_GB2312" w:hAnsi="宋体" w:eastAsia="仿宋_GB2312"/>
          <w:sz w:val="28"/>
          <w:szCs w:val="28"/>
        </w:rPr>
        <w:t>，包括办公及印刷费、邮电费、差旅费、会议费、福利费、日常维修费、专用材料及一般设备购置费、办公用房水电费、办公用房取暖费、办公用房物业管理费、公务用车运行维护费以及其他费用。</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5</w:t>
      </w:r>
      <w:r>
        <w:rPr>
          <w:rFonts w:ascii="仿宋_GB2312" w:eastAsia="仿宋_GB2312"/>
          <w:sz w:val="28"/>
          <w:szCs w:val="28"/>
        </w:rPr>
        <w:t>.</w:t>
      </w:r>
      <w:r>
        <w:rPr>
          <w:rFonts w:hint="eastAsia" w:ascii="仿宋_GB2312" w:eastAsia="仿宋_GB2312"/>
          <w:sz w:val="28"/>
          <w:szCs w:val="28"/>
        </w:rPr>
        <w:t>政府采购</w:t>
      </w:r>
      <w:r>
        <w:rPr>
          <w:rFonts w:ascii="仿宋_GB2312" w:eastAsia="仿宋_GB2312"/>
          <w:sz w:val="28"/>
          <w:szCs w:val="28"/>
        </w:rPr>
        <w:t>：</w:t>
      </w:r>
      <w:r>
        <w:rPr>
          <w:rFonts w:hint="eastAsia" w:ascii="仿宋_GB2312" w:eastAsia="仿宋_GB2312"/>
          <w:sz w:val="28"/>
          <w:szCs w:val="28"/>
        </w:rPr>
        <w:t>指</w:t>
      </w:r>
      <w:r>
        <w:rPr>
          <w:rFonts w:ascii="仿宋_GB2312" w:eastAsia="仿宋_GB2312"/>
          <w:sz w:val="28"/>
          <w:szCs w:val="28"/>
        </w:rPr>
        <w:t>各级国家机关、事业单位和团体组织，使用</w:t>
      </w:r>
      <w:r>
        <w:rPr>
          <w:rFonts w:hint="eastAsia" w:ascii="仿宋_GB2312" w:eastAsia="仿宋_GB2312"/>
          <w:sz w:val="28"/>
          <w:szCs w:val="28"/>
        </w:rPr>
        <w:t>财政性</w:t>
      </w:r>
      <w:r>
        <w:rPr>
          <w:rFonts w:ascii="仿宋_GB2312" w:eastAsia="仿宋_GB2312"/>
          <w:sz w:val="28"/>
          <w:szCs w:val="28"/>
        </w:rPr>
        <w:t>资金采购依法制定的集中目录以内的或者采购限额标准以上的货物、工程和服务的行为</w:t>
      </w:r>
      <w:r>
        <w:rPr>
          <w:rFonts w:hint="eastAsia" w:ascii="仿宋_GB2312" w:eastAsia="仿宋_GB2312"/>
          <w:sz w:val="28"/>
          <w:szCs w:val="28"/>
        </w:rPr>
        <w:t>，</w:t>
      </w:r>
      <w:r>
        <w:rPr>
          <w:rFonts w:ascii="仿宋_GB2312" w:eastAsia="仿宋_GB2312"/>
          <w:sz w:val="28"/>
          <w:szCs w:val="28"/>
        </w:rPr>
        <w:t>是规范财政支出管理和强化预算约束的有效措施。</w:t>
      </w:r>
    </w:p>
    <w:p>
      <w:pPr>
        <w:keepNext w:val="0"/>
        <w:keepLines w:val="0"/>
        <w:pageBreakBefore w:val="0"/>
        <w:widowControl w:val="0"/>
        <w:kinsoku/>
        <w:wordWrap/>
        <w:overflowPunct/>
        <w:topLinePunct w:val="0"/>
        <w:autoSpaceDE/>
        <w:autoSpaceDN/>
        <w:bidi w:val="0"/>
        <w:adjustRightInd/>
        <w:snapToGrid/>
        <w:ind w:firstLine="560" w:firstLineChars="200"/>
        <w:textAlignment w:val="auto"/>
        <w:rPr>
          <w:rFonts w:hint="eastAsia" w:ascii="仿宋_GB2312" w:eastAsia="仿宋_GB2312"/>
          <w:sz w:val="28"/>
          <w:szCs w:val="28"/>
        </w:rPr>
      </w:pPr>
      <w:r>
        <w:rPr>
          <w:rFonts w:hint="eastAsia" w:ascii="仿宋_GB2312" w:eastAsia="仿宋_GB2312"/>
          <w:sz w:val="28"/>
          <w:szCs w:val="28"/>
        </w:rPr>
        <w:t>6</w:t>
      </w:r>
      <w:r>
        <w:rPr>
          <w:rFonts w:ascii="仿宋_GB2312" w:eastAsia="仿宋_GB2312"/>
          <w:sz w:val="28"/>
          <w:szCs w:val="28"/>
        </w:rPr>
        <w:t>.政府购买服务：</w:t>
      </w:r>
      <w:r>
        <w:rPr>
          <w:rFonts w:hint="eastAsia" w:ascii="仿宋_GB2312" w:eastAsia="仿宋_GB2312"/>
          <w:sz w:val="28"/>
          <w:szCs w:val="28"/>
        </w:rPr>
        <w:t>是指各级国家机关将属于自身职责范围且适合通过市场化方式提供的服务事项，按照政府采购方式和程序，交由符合条件的服务供应商承担，并根据服务数量和质量等因素向其支付费用的行为。</w:t>
      </w:r>
    </w:p>
    <w:p>
      <w:pPr>
        <w:ind w:firstLine="560" w:firstLineChars="200"/>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7.</w:t>
      </w:r>
      <w:r>
        <w:rPr>
          <w:rFonts w:hint="eastAsia" w:ascii="仿宋_GB2312" w:hAnsi="宋体" w:eastAsia="仿宋_GB2312" w:cs="Times New Roman"/>
          <w:color w:val="auto"/>
          <w:sz w:val="28"/>
          <w:szCs w:val="28"/>
          <w:highlight w:val="none"/>
        </w:rPr>
        <w:t>社会保障和就业支出（类）行政事业单位养老支出（款）</w:t>
      </w:r>
      <w:r>
        <w:rPr>
          <w:rFonts w:hint="eastAsia" w:ascii="仿宋_GB2312" w:hAnsi="宋体" w:eastAsia="仿宋_GB2312" w:cs="Times New Roman"/>
          <w:color w:val="auto"/>
          <w:sz w:val="28"/>
          <w:szCs w:val="28"/>
          <w:highlight w:val="none"/>
          <w:lang w:eastAsia="zh-CN"/>
        </w:rPr>
        <w:t>行政</w:t>
      </w:r>
      <w:r>
        <w:rPr>
          <w:rFonts w:hint="eastAsia" w:ascii="仿宋_GB2312" w:hAnsi="宋体" w:eastAsia="仿宋_GB2312" w:cs="Times New Roman"/>
          <w:color w:val="auto"/>
          <w:sz w:val="28"/>
          <w:szCs w:val="28"/>
          <w:highlight w:val="none"/>
        </w:rPr>
        <w:t>单位离退休（项）：反映</w:t>
      </w:r>
      <w:r>
        <w:rPr>
          <w:rFonts w:hint="eastAsia" w:ascii="仿宋_GB2312" w:hAnsi="宋体" w:eastAsia="仿宋_GB2312" w:cs="Times New Roman"/>
          <w:color w:val="auto"/>
          <w:sz w:val="28"/>
          <w:szCs w:val="28"/>
          <w:highlight w:val="none"/>
          <w:lang w:eastAsia="zh-CN"/>
        </w:rPr>
        <w:t>行政</w:t>
      </w:r>
      <w:r>
        <w:rPr>
          <w:rFonts w:hint="eastAsia" w:ascii="仿宋_GB2312" w:hAnsi="宋体" w:eastAsia="仿宋_GB2312" w:cs="Times New Roman"/>
          <w:color w:val="auto"/>
          <w:sz w:val="28"/>
          <w:szCs w:val="28"/>
          <w:highlight w:val="none"/>
        </w:rPr>
        <w:t>单位</w:t>
      </w:r>
      <w:r>
        <w:rPr>
          <w:rFonts w:hint="eastAsia" w:ascii="仿宋_GB2312" w:hAnsi="宋体" w:eastAsia="仿宋_GB2312" w:cs="Times New Roman"/>
          <w:color w:val="auto"/>
          <w:sz w:val="28"/>
          <w:szCs w:val="28"/>
          <w:highlight w:val="none"/>
          <w:lang w:eastAsia="zh-CN"/>
        </w:rPr>
        <w:t>（包括实行公务员管理的事业单位）</w:t>
      </w:r>
      <w:r>
        <w:rPr>
          <w:rFonts w:hint="eastAsia" w:ascii="仿宋_GB2312" w:hAnsi="宋体" w:eastAsia="仿宋_GB2312" w:cs="Times New Roman"/>
          <w:color w:val="auto"/>
          <w:sz w:val="28"/>
          <w:szCs w:val="28"/>
          <w:highlight w:val="none"/>
        </w:rPr>
        <w:t>开支的离退休经费。</w:t>
      </w:r>
    </w:p>
    <w:p>
      <w:pPr>
        <w:ind w:firstLine="560" w:firstLineChars="200"/>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8.</w:t>
      </w:r>
      <w:r>
        <w:rPr>
          <w:rFonts w:hint="eastAsia" w:ascii="仿宋_GB2312" w:hAnsi="宋体" w:eastAsia="仿宋_GB2312" w:cs="Times New Roman"/>
          <w:color w:val="auto"/>
          <w:sz w:val="28"/>
          <w:szCs w:val="28"/>
          <w:highlight w:val="none"/>
        </w:rPr>
        <w:t>社会保障和就业支出（类）行政事业单位养老支出（款）事业单位离退休（项）：反映事业单位开支的离退休经费。</w:t>
      </w:r>
    </w:p>
    <w:p>
      <w:pPr>
        <w:ind w:firstLine="560" w:firstLineChars="200"/>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9.</w:t>
      </w:r>
      <w:r>
        <w:rPr>
          <w:rFonts w:hint="eastAsia" w:ascii="仿宋_GB2312" w:hAnsi="宋体" w:eastAsia="仿宋_GB2312" w:cs="Times New Roman"/>
          <w:color w:val="auto"/>
          <w:sz w:val="28"/>
          <w:szCs w:val="28"/>
          <w:highlight w:val="none"/>
        </w:rPr>
        <w:t>社会保障和就业支出（类）行政事业单位养老支出（款）机关事业单位基本养老保险缴费支出（项）：反映机关事业单位实施养老保险制度由单位缴纳的基本养老保险费支出。</w:t>
      </w:r>
    </w:p>
    <w:p>
      <w:pPr>
        <w:ind w:firstLine="560" w:firstLineChars="200"/>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10.</w:t>
      </w:r>
      <w:r>
        <w:rPr>
          <w:rFonts w:hint="eastAsia" w:ascii="仿宋_GB2312" w:hAnsi="宋体" w:eastAsia="仿宋_GB2312" w:cs="Times New Roman"/>
          <w:color w:val="auto"/>
          <w:sz w:val="28"/>
          <w:szCs w:val="28"/>
          <w:highlight w:val="none"/>
        </w:rPr>
        <w:t>社会保障和就业支出（类）行政事业单位养老支出（款）机关事业单位职业年金缴费支出（项）：反映机关事业单位实施养老保险制度由单位实际缴纳的职业年金支出。</w:t>
      </w:r>
    </w:p>
    <w:p>
      <w:pPr>
        <w:ind w:firstLine="560" w:firstLineChars="200"/>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11</w:t>
      </w:r>
      <w:r>
        <w:rPr>
          <w:rFonts w:hint="eastAsia" w:ascii="仿宋_GB2312" w:hAnsi="宋体" w:eastAsia="仿宋_GB2312" w:cs="Times New Roman"/>
          <w:color w:val="auto"/>
          <w:sz w:val="28"/>
          <w:szCs w:val="28"/>
          <w:highlight w:val="none"/>
        </w:rPr>
        <w:t>.卫生健康支出（类）行政事业单位医疗（款）事业单位医疗（项）：反映财政部门安排的事业单位基本医疗保险缴费经费，未参加医疗保险的事业单位的公费医疗经费，按国家规定享受离休人员待遇的医疗经费。</w:t>
      </w:r>
    </w:p>
    <w:p>
      <w:pPr>
        <w:ind w:firstLine="560" w:firstLineChars="200"/>
        <w:rPr>
          <w:rFonts w:hint="eastAsia" w:ascii="仿宋_GB2312" w:hAnsi="宋体" w:eastAsia="仿宋_GB2312" w:cs="Times New Roman"/>
          <w:color w:val="auto"/>
          <w:sz w:val="28"/>
          <w:szCs w:val="28"/>
          <w:highlight w:val="none"/>
          <w:lang w:eastAsia="zh-CN"/>
        </w:rPr>
      </w:pPr>
      <w:r>
        <w:rPr>
          <w:rFonts w:hint="eastAsia" w:ascii="仿宋_GB2312" w:hAnsi="宋体" w:eastAsia="仿宋_GB2312" w:cs="Times New Roman"/>
          <w:color w:val="auto"/>
          <w:sz w:val="28"/>
          <w:szCs w:val="28"/>
          <w:highlight w:val="none"/>
          <w:lang w:val="en-US" w:eastAsia="zh-CN"/>
        </w:rPr>
        <w:t>12.</w:t>
      </w:r>
      <w:r>
        <w:rPr>
          <w:rFonts w:hint="eastAsia" w:ascii="仿宋_GB2312" w:hAnsi="宋体" w:eastAsia="仿宋_GB2312" w:cs="Times New Roman"/>
          <w:color w:val="auto"/>
          <w:sz w:val="28"/>
          <w:szCs w:val="28"/>
          <w:highlight w:val="none"/>
        </w:rPr>
        <w:t>自然资源海洋气象等支出（类）自然资源事务（款）</w:t>
      </w:r>
      <w:r>
        <w:rPr>
          <w:rFonts w:hint="eastAsia" w:ascii="仿宋_GB2312" w:hAnsi="宋体" w:eastAsia="仿宋_GB2312" w:cs="Times New Roman"/>
          <w:color w:val="auto"/>
          <w:sz w:val="28"/>
          <w:szCs w:val="28"/>
          <w:highlight w:val="none"/>
          <w:lang w:val="en-US" w:eastAsia="zh-CN"/>
        </w:rPr>
        <w:t>自然资源规划及管理</w:t>
      </w:r>
      <w:r>
        <w:rPr>
          <w:rFonts w:hint="eastAsia" w:ascii="仿宋_GB2312" w:hAnsi="宋体" w:eastAsia="仿宋_GB2312" w:cs="Times New Roman"/>
          <w:color w:val="auto"/>
          <w:sz w:val="28"/>
          <w:szCs w:val="28"/>
          <w:highlight w:val="none"/>
        </w:rPr>
        <w:t>（项）：</w:t>
      </w:r>
      <w:r>
        <w:rPr>
          <w:rFonts w:hint="eastAsia" w:ascii="仿宋_GB2312" w:hAnsi="宋体" w:eastAsia="仿宋_GB2312" w:cs="Times New Roman"/>
          <w:color w:val="auto"/>
          <w:sz w:val="28"/>
          <w:szCs w:val="28"/>
          <w:highlight w:val="none"/>
          <w:lang w:eastAsia="zh-CN"/>
        </w:rPr>
        <w:t>反映用于国土空间规划、国土空间开发适宜性评价等方面的支出。</w:t>
      </w:r>
    </w:p>
    <w:p>
      <w:pPr>
        <w:ind w:firstLine="560" w:firstLineChars="200"/>
        <w:rPr>
          <w:rFonts w:hint="eastAsia" w:ascii="仿宋_GB2312" w:hAnsi="宋体" w:eastAsia="仿宋_GB2312" w:cs="Times New Roman"/>
          <w:color w:val="auto"/>
          <w:sz w:val="28"/>
          <w:szCs w:val="28"/>
          <w:highlight w:val="none"/>
        </w:rPr>
      </w:pPr>
      <w:r>
        <w:rPr>
          <w:rFonts w:hint="eastAsia" w:ascii="仿宋_GB2312" w:hAnsi="宋体" w:eastAsia="仿宋_GB2312" w:cs="Times New Roman"/>
          <w:color w:val="auto"/>
          <w:sz w:val="28"/>
          <w:szCs w:val="28"/>
          <w:highlight w:val="none"/>
          <w:lang w:val="en-US" w:eastAsia="zh-CN"/>
        </w:rPr>
        <w:t>13</w:t>
      </w:r>
      <w:r>
        <w:rPr>
          <w:rFonts w:hint="eastAsia" w:ascii="仿宋_GB2312" w:hAnsi="宋体" w:eastAsia="仿宋_GB2312" w:cs="Times New Roman"/>
          <w:color w:val="auto"/>
          <w:sz w:val="28"/>
          <w:szCs w:val="28"/>
          <w:highlight w:val="none"/>
        </w:rPr>
        <w:t>.自然资源海洋气象等支出（类）自然资源事务（款）事业运行（项）：反映事业单位的基本支出。</w:t>
      </w:r>
    </w:p>
    <w:p>
      <w:pPr>
        <w:ind w:firstLine="560" w:firstLineChars="200"/>
        <w:rPr>
          <w:rFonts w:hint="eastAsia" w:ascii="仿宋_GB2312" w:hAnsi="宋体" w:eastAsia="仿宋_GB2312" w:cs="Times New Roman"/>
          <w:color w:val="auto"/>
          <w:sz w:val="28"/>
          <w:szCs w:val="28"/>
          <w:highlight w:val="none"/>
          <w:lang w:val="en-US" w:eastAsia="zh-CN"/>
        </w:rPr>
      </w:pPr>
      <w:r>
        <w:rPr>
          <w:rFonts w:hint="eastAsia" w:ascii="仿宋_GB2312" w:hAnsi="宋体" w:eastAsia="仿宋_GB2312" w:cs="Times New Roman"/>
          <w:color w:val="auto"/>
          <w:sz w:val="28"/>
          <w:szCs w:val="28"/>
          <w:highlight w:val="none"/>
          <w:lang w:val="en-US" w:eastAsia="zh-CN"/>
        </w:rPr>
        <w:t>14.</w:t>
      </w:r>
      <w:r>
        <w:rPr>
          <w:rFonts w:hint="eastAsia" w:ascii="仿宋_GB2312" w:hAnsi="宋体" w:eastAsia="仿宋_GB2312" w:cs="Times New Roman"/>
          <w:color w:val="auto"/>
          <w:sz w:val="28"/>
          <w:szCs w:val="28"/>
          <w:highlight w:val="none"/>
        </w:rPr>
        <w:t>自然资源海洋气象等支出（类）自然资源事务（款）其他自然资源事务支出（项）：反映除上述项目以外其他用于自然资源事务方面的支出。</w:t>
      </w:r>
    </w:p>
    <w:p>
      <w:pPr>
        <w:ind w:firstLine="632" w:firstLineChars="200"/>
        <w:rPr>
          <w:rFonts w:hint="eastAsia" w:ascii="仿宋_GB2312" w:hAnsi="Times New Roman" w:eastAsia="仿宋_GB2312" w:cs="Times New Roman"/>
          <w:b/>
          <w:color w:val="000000"/>
          <w:spacing w:val="-2"/>
          <w:sz w:val="32"/>
          <w:szCs w:val="32"/>
        </w:rPr>
      </w:pPr>
    </w:p>
    <w:p>
      <w:pPr>
        <w:ind w:firstLine="640" w:firstLineChars="200"/>
        <w:jc w:val="center"/>
        <w:rPr>
          <w:rFonts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p>
    <w:p>
      <w:pPr>
        <w:ind w:firstLine="640" w:firstLineChars="200"/>
        <w:jc w:val="center"/>
        <w:rPr>
          <w:rFonts w:hint="eastAsia" w:ascii="黑体" w:eastAsia="黑体"/>
          <w:sz w:val="32"/>
          <w:szCs w:val="32"/>
        </w:rPr>
      </w:pPr>
      <w:r>
        <w:rPr>
          <w:rFonts w:hint="eastAsia" w:ascii="黑体" w:eastAsia="黑体"/>
          <w:sz w:val="32"/>
          <w:szCs w:val="32"/>
        </w:rPr>
        <w:t>第四部分  202</w:t>
      </w:r>
      <w:r>
        <w:rPr>
          <w:rFonts w:hint="eastAsia" w:ascii="黑体" w:eastAsia="黑体"/>
          <w:sz w:val="32"/>
          <w:szCs w:val="32"/>
          <w:lang w:val="en-US" w:eastAsia="zh-CN"/>
        </w:rPr>
        <w:t>3</w:t>
      </w:r>
      <w:r>
        <w:rPr>
          <w:rFonts w:hint="eastAsia" w:ascii="黑体" w:eastAsia="黑体"/>
          <w:sz w:val="32"/>
          <w:szCs w:val="32"/>
        </w:rPr>
        <w:t>年度部门绩效评价情况</w:t>
      </w:r>
    </w:p>
    <w:p>
      <w:pPr>
        <w:ind w:firstLine="560" w:firstLineChars="200"/>
        <w:rPr>
          <w:rFonts w:hint="eastAsia" w:ascii="黑体" w:eastAsia="黑体"/>
          <w:sz w:val="28"/>
          <w:szCs w:val="28"/>
          <w:highlight w:val="yellow"/>
        </w:rPr>
      </w:pPr>
    </w:p>
    <w:p>
      <w:pPr>
        <w:ind w:firstLine="560" w:firstLineChars="200"/>
        <w:rPr>
          <w:rFonts w:ascii="黑体" w:eastAsia="黑体"/>
          <w:sz w:val="28"/>
          <w:szCs w:val="28"/>
        </w:rPr>
      </w:pPr>
      <w:r>
        <w:rPr>
          <w:rFonts w:hint="eastAsia" w:ascii="黑体" w:eastAsia="黑体"/>
          <w:sz w:val="28"/>
          <w:szCs w:val="28"/>
        </w:rPr>
        <w:t>项目</w:t>
      </w:r>
      <w:r>
        <w:rPr>
          <w:rFonts w:ascii="黑体" w:eastAsia="黑体"/>
          <w:sz w:val="28"/>
          <w:szCs w:val="28"/>
        </w:rPr>
        <w:t>支出绩效自评表</w:t>
      </w:r>
    </w:p>
    <w:p>
      <w:pPr>
        <w:ind w:firstLine="560" w:firstLineChars="200"/>
        <w:rPr>
          <w:rFonts w:hint="eastAsia" w:ascii="仿宋_GB2312" w:hAnsi="宋体" w:eastAsia="仿宋_GB2312" w:cs="Times New Roman"/>
          <w:sz w:val="28"/>
          <w:szCs w:val="28"/>
          <w:lang w:val="en-US" w:eastAsia="zh-CN"/>
        </w:rPr>
      </w:pPr>
      <w:r>
        <w:rPr>
          <w:rFonts w:hint="eastAsia" w:ascii="仿宋_GB2312" w:hAnsi="宋体" w:eastAsia="仿宋_GB2312" w:cs="Times New Roman"/>
          <w:sz w:val="28"/>
          <w:szCs w:val="28"/>
          <w:lang w:val="en-US" w:eastAsia="zh-CN"/>
        </w:rPr>
        <w:t>自评表</w:t>
      </w:r>
      <w:r>
        <w:rPr>
          <w:rFonts w:hint="eastAsia" w:ascii="仿宋_GB2312" w:hAnsi="宋体" w:eastAsia="仿宋_GB2312" w:cs="Times New Roman"/>
          <w:sz w:val="28"/>
          <w:szCs w:val="28"/>
          <w:lang w:eastAsia="zh-CN"/>
        </w:rPr>
        <w:t>详见附件</w:t>
      </w:r>
      <w:r>
        <w:rPr>
          <w:rFonts w:hint="eastAsia" w:ascii="仿宋_GB2312" w:hAnsi="宋体" w:eastAsia="仿宋_GB2312" w:cs="Times New Roman"/>
          <w:sz w:val="28"/>
          <w:szCs w:val="28"/>
          <w:lang w:val="en-US" w:eastAsia="zh-CN"/>
        </w:rPr>
        <w:t>2。</w:t>
      </w:r>
    </w:p>
    <w:p>
      <w:pPr>
        <w:pStyle w:val="2"/>
        <w:ind w:firstLine="560"/>
        <w:rPr>
          <w:rFonts w:hint="eastAsia"/>
        </w:rPr>
      </w:pPr>
    </w:p>
    <w:p>
      <w:pPr>
        <w:rPr>
          <w:rFonts w:hint="eastAsia"/>
        </w:rPr>
      </w:pPr>
    </w:p>
    <w:p>
      <w:pPr>
        <w:pStyle w:val="2"/>
        <w:rPr>
          <w:rFonts w:hint="eastAsia"/>
        </w:rPr>
      </w:pPr>
      <w:bookmarkStart w:id="0" w:name="_GoBack"/>
      <w:bookmarkEnd w:id="0"/>
    </w:p>
    <w:p>
      <w:pPr>
        <w:rPr>
          <w:rFonts w:hint="eastAsia"/>
        </w:rPr>
      </w:pPr>
    </w:p>
    <w:sectPr>
      <w:footerReference r:id="rId4" w:type="default"/>
      <w:footerReference r:id="rId5" w:type="even"/>
      <w:pgSz w:w="16838" w:h="11906" w:orient="landscape"/>
      <w:pgMar w:top="1134" w:right="1134" w:bottom="1134" w:left="1134" w:header="851" w:footer="992" w:gutter="0"/>
      <w:cols w:space="720"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14</w:t>
    </w:r>
    <w:r>
      <w:fldChar w:fldCharType="end"/>
    </w:r>
  </w:p>
  <w:p>
    <w:pPr>
      <w:pStyle w:val="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23</w:t>
    </w:r>
    <w:r>
      <w:fldChar w:fldCharType="end"/>
    </w:r>
  </w:p>
  <w:p>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framePr w:wrap="around" w:vAnchor="text" w:hAnchor="margin" w:xAlign="center" w:y="1"/>
      <w:rPr>
        <w:rStyle w:val="12"/>
      </w:rPr>
    </w:pPr>
    <w:r>
      <w:fldChar w:fldCharType="begin"/>
    </w:r>
    <w:r>
      <w:rPr>
        <w:rStyle w:val="12"/>
      </w:rPr>
      <w:instrText xml:space="preserve">PAGE  </w:instrText>
    </w:r>
    <w:r>
      <w:fldChar w:fldCharType="separate"/>
    </w:r>
    <w:r>
      <w:rPr>
        <w:rStyle w:val="12"/>
      </w:rPr>
      <w:t>15</w:t>
    </w:r>
    <w:r>
      <w:fldChar w:fldCharType="end"/>
    </w: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459D97C"/>
    <w:multiLevelType w:val="singleLevel"/>
    <w:tmpl w:val="C459D97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FhMDlmODM4NDM3ZTUzZTJhOWRjZWIxNmVkMjQxNTMifQ=="/>
  </w:docVars>
  <w:rsids>
    <w:rsidRoot w:val="00100246"/>
    <w:rsid w:val="00003B03"/>
    <w:rsid w:val="000040E6"/>
    <w:rsid w:val="00011D72"/>
    <w:rsid w:val="00027CD5"/>
    <w:rsid w:val="00031B8E"/>
    <w:rsid w:val="00033EC1"/>
    <w:rsid w:val="00034224"/>
    <w:rsid w:val="00040275"/>
    <w:rsid w:val="0004719C"/>
    <w:rsid w:val="00047F6E"/>
    <w:rsid w:val="00051B00"/>
    <w:rsid w:val="000601B1"/>
    <w:rsid w:val="00063034"/>
    <w:rsid w:val="00066E19"/>
    <w:rsid w:val="0006752F"/>
    <w:rsid w:val="00071797"/>
    <w:rsid w:val="00071860"/>
    <w:rsid w:val="0007258E"/>
    <w:rsid w:val="00077A9E"/>
    <w:rsid w:val="00077F4A"/>
    <w:rsid w:val="00077FE5"/>
    <w:rsid w:val="00080447"/>
    <w:rsid w:val="00085663"/>
    <w:rsid w:val="00095948"/>
    <w:rsid w:val="00095C26"/>
    <w:rsid w:val="00096504"/>
    <w:rsid w:val="00096B86"/>
    <w:rsid w:val="000A1770"/>
    <w:rsid w:val="000A283C"/>
    <w:rsid w:val="000B15B7"/>
    <w:rsid w:val="000B70F1"/>
    <w:rsid w:val="000C4611"/>
    <w:rsid w:val="000D1B61"/>
    <w:rsid w:val="000D6854"/>
    <w:rsid w:val="000E0B26"/>
    <w:rsid w:val="000E3291"/>
    <w:rsid w:val="000F08FE"/>
    <w:rsid w:val="000F208B"/>
    <w:rsid w:val="000F2A48"/>
    <w:rsid w:val="000F49BE"/>
    <w:rsid w:val="00100246"/>
    <w:rsid w:val="0010682D"/>
    <w:rsid w:val="001073C6"/>
    <w:rsid w:val="00107DB5"/>
    <w:rsid w:val="00113613"/>
    <w:rsid w:val="0011483D"/>
    <w:rsid w:val="00115724"/>
    <w:rsid w:val="00130995"/>
    <w:rsid w:val="00131FF9"/>
    <w:rsid w:val="00132320"/>
    <w:rsid w:val="00135B6A"/>
    <w:rsid w:val="001369A7"/>
    <w:rsid w:val="001428C5"/>
    <w:rsid w:val="001503D8"/>
    <w:rsid w:val="00157540"/>
    <w:rsid w:val="0017111F"/>
    <w:rsid w:val="00173CF6"/>
    <w:rsid w:val="00180DAD"/>
    <w:rsid w:val="0018370E"/>
    <w:rsid w:val="001852E1"/>
    <w:rsid w:val="00191568"/>
    <w:rsid w:val="001A4277"/>
    <w:rsid w:val="001A7D2E"/>
    <w:rsid w:val="001B1DF9"/>
    <w:rsid w:val="001B1E93"/>
    <w:rsid w:val="001B375E"/>
    <w:rsid w:val="001B4A46"/>
    <w:rsid w:val="001B5E87"/>
    <w:rsid w:val="001B5E91"/>
    <w:rsid w:val="001B69BF"/>
    <w:rsid w:val="001B7988"/>
    <w:rsid w:val="001D78D9"/>
    <w:rsid w:val="001E0556"/>
    <w:rsid w:val="001E2355"/>
    <w:rsid w:val="001E2379"/>
    <w:rsid w:val="001E29A9"/>
    <w:rsid w:val="001F5857"/>
    <w:rsid w:val="00206EC3"/>
    <w:rsid w:val="0021047C"/>
    <w:rsid w:val="00211E4E"/>
    <w:rsid w:val="00213D1C"/>
    <w:rsid w:val="00214C3A"/>
    <w:rsid w:val="00217517"/>
    <w:rsid w:val="00222628"/>
    <w:rsid w:val="002253CB"/>
    <w:rsid w:val="002326DE"/>
    <w:rsid w:val="00234314"/>
    <w:rsid w:val="00241724"/>
    <w:rsid w:val="0024390C"/>
    <w:rsid w:val="002441F4"/>
    <w:rsid w:val="00244204"/>
    <w:rsid w:val="002448A4"/>
    <w:rsid w:val="00245A0A"/>
    <w:rsid w:val="00246C42"/>
    <w:rsid w:val="002515CC"/>
    <w:rsid w:val="00253EC4"/>
    <w:rsid w:val="00254515"/>
    <w:rsid w:val="0026479D"/>
    <w:rsid w:val="002673C4"/>
    <w:rsid w:val="0027112B"/>
    <w:rsid w:val="00271C3F"/>
    <w:rsid w:val="00272460"/>
    <w:rsid w:val="00273070"/>
    <w:rsid w:val="0027394A"/>
    <w:rsid w:val="00274D50"/>
    <w:rsid w:val="002760D5"/>
    <w:rsid w:val="00276289"/>
    <w:rsid w:val="0028081D"/>
    <w:rsid w:val="0028458C"/>
    <w:rsid w:val="002911BD"/>
    <w:rsid w:val="00291C98"/>
    <w:rsid w:val="00294DE9"/>
    <w:rsid w:val="002A1488"/>
    <w:rsid w:val="002A4C2B"/>
    <w:rsid w:val="002B19D0"/>
    <w:rsid w:val="002B3682"/>
    <w:rsid w:val="002B5464"/>
    <w:rsid w:val="002C0443"/>
    <w:rsid w:val="002C12FB"/>
    <w:rsid w:val="002C24BC"/>
    <w:rsid w:val="002D03C6"/>
    <w:rsid w:val="002D0FDF"/>
    <w:rsid w:val="002D3955"/>
    <w:rsid w:val="002D68A9"/>
    <w:rsid w:val="002E06AE"/>
    <w:rsid w:val="002E4B75"/>
    <w:rsid w:val="002E68DD"/>
    <w:rsid w:val="002F17C2"/>
    <w:rsid w:val="002F32EE"/>
    <w:rsid w:val="002F4054"/>
    <w:rsid w:val="002F5574"/>
    <w:rsid w:val="00301D20"/>
    <w:rsid w:val="00302B19"/>
    <w:rsid w:val="00303428"/>
    <w:rsid w:val="003053C4"/>
    <w:rsid w:val="003058A3"/>
    <w:rsid w:val="00307DA5"/>
    <w:rsid w:val="0031169D"/>
    <w:rsid w:val="0031170D"/>
    <w:rsid w:val="00313E14"/>
    <w:rsid w:val="003167DD"/>
    <w:rsid w:val="00320C8B"/>
    <w:rsid w:val="00321BD8"/>
    <w:rsid w:val="00325687"/>
    <w:rsid w:val="00332C14"/>
    <w:rsid w:val="00335079"/>
    <w:rsid w:val="003352CE"/>
    <w:rsid w:val="00341D8E"/>
    <w:rsid w:val="003502B9"/>
    <w:rsid w:val="00351B8F"/>
    <w:rsid w:val="00353226"/>
    <w:rsid w:val="00353717"/>
    <w:rsid w:val="00354630"/>
    <w:rsid w:val="00365A24"/>
    <w:rsid w:val="003712DB"/>
    <w:rsid w:val="00373DDC"/>
    <w:rsid w:val="00382A86"/>
    <w:rsid w:val="00383BCC"/>
    <w:rsid w:val="00385243"/>
    <w:rsid w:val="003925D4"/>
    <w:rsid w:val="0039318C"/>
    <w:rsid w:val="00393366"/>
    <w:rsid w:val="003937DC"/>
    <w:rsid w:val="00393D75"/>
    <w:rsid w:val="003A2F2D"/>
    <w:rsid w:val="003A43AC"/>
    <w:rsid w:val="003A4EB6"/>
    <w:rsid w:val="003A7AE9"/>
    <w:rsid w:val="003A7BC5"/>
    <w:rsid w:val="003A7FF5"/>
    <w:rsid w:val="003B0352"/>
    <w:rsid w:val="003B4437"/>
    <w:rsid w:val="003B48C4"/>
    <w:rsid w:val="003B5E20"/>
    <w:rsid w:val="003B6DAD"/>
    <w:rsid w:val="003B735F"/>
    <w:rsid w:val="003C030C"/>
    <w:rsid w:val="003C55FC"/>
    <w:rsid w:val="003D0EC3"/>
    <w:rsid w:val="003D7274"/>
    <w:rsid w:val="003E4D82"/>
    <w:rsid w:val="003E5BC1"/>
    <w:rsid w:val="003F0D1B"/>
    <w:rsid w:val="003F1DD6"/>
    <w:rsid w:val="00401087"/>
    <w:rsid w:val="00402E26"/>
    <w:rsid w:val="00405701"/>
    <w:rsid w:val="004110BC"/>
    <w:rsid w:val="0041271F"/>
    <w:rsid w:val="0041688E"/>
    <w:rsid w:val="004170EF"/>
    <w:rsid w:val="0042093C"/>
    <w:rsid w:val="004233DD"/>
    <w:rsid w:val="00424405"/>
    <w:rsid w:val="00425B25"/>
    <w:rsid w:val="00425D24"/>
    <w:rsid w:val="00426A4D"/>
    <w:rsid w:val="00427687"/>
    <w:rsid w:val="00433231"/>
    <w:rsid w:val="004334CA"/>
    <w:rsid w:val="0043506A"/>
    <w:rsid w:val="00435830"/>
    <w:rsid w:val="0043619C"/>
    <w:rsid w:val="0044475D"/>
    <w:rsid w:val="00444D1E"/>
    <w:rsid w:val="0044571A"/>
    <w:rsid w:val="0044705D"/>
    <w:rsid w:val="0045090E"/>
    <w:rsid w:val="00453E36"/>
    <w:rsid w:val="00457286"/>
    <w:rsid w:val="00461FA5"/>
    <w:rsid w:val="00463566"/>
    <w:rsid w:val="00464182"/>
    <w:rsid w:val="00471C52"/>
    <w:rsid w:val="0047460C"/>
    <w:rsid w:val="00474FF2"/>
    <w:rsid w:val="00480098"/>
    <w:rsid w:val="00484A93"/>
    <w:rsid w:val="00485E12"/>
    <w:rsid w:val="004865DA"/>
    <w:rsid w:val="0048779C"/>
    <w:rsid w:val="00487AB7"/>
    <w:rsid w:val="00487ED0"/>
    <w:rsid w:val="00491D09"/>
    <w:rsid w:val="0049682C"/>
    <w:rsid w:val="004A168E"/>
    <w:rsid w:val="004A4EC7"/>
    <w:rsid w:val="004B0003"/>
    <w:rsid w:val="004C020A"/>
    <w:rsid w:val="004C03A3"/>
    <w:rsid w:val="004C44B8"/>
    <w:rsid w:val="004C7629"/>
    <w:rsid w:val="004D0D5D"/>
    <w:rsid w:val="004E27DD"/>
    <w:rsid w:val="004E3350"/>
    <w:rsid w:val="004E5292"/>
    <w:rsid w:val="004F2C5B"/>
    <w:rsid w:val="004F641B"/>
    <w:rsid w:val="004F71F3"/>
    <w:rsid w:val="005052FA"/>
    <w:rsid w:val="005069E1"/>
    <w:rsid w:val="00507E59"/>
    <w:rsid w:val="005122B5"/>
    <w:rsid w:val="0052381C"/>
    <w:rsid w:val="005346B3"/>
    <w:rsid w:val="0054051C"/>
    <w:rsid w:val="00546A84"/>
    <w:rsid w:val="00547BE2"/>
    <w:rsid w:val="0055353D"/>
    <w:rsid w:val="0056187C"/>
    <w:rsid w:val="00576B03"/>
    <w:rsid w:val="00581E1A"/>
    <w:rsid w:val="00591655"/>
    <w:rsid w:val="00591BEC"/>
    <w:rsid w:val="005940EA"/>
    <w:rsid w:val="00594448"/>
    <w:rsid w:val="005A1D6F"/>
    <w:rsid w:val="005A4D82"/>
    <w:rsid w:val="005A52A6"/>
    <w:rsid w:val="005B0DEC"/>
    <w:rsid w:val="005B368E"/>
    <w:rsid w:val="005B6E69"/>
    <w:rsid w:val="005C0015"/>
    <w:rsid w:val="005C1E82"/>
    <w:rsid w:val="005C2BCE"/>
    <w:rsid w:val="005C2CA5"/>
    <w:rsid w:val="005C7062"/>
    <w:rsid w:val="005C7788"/>
    <w:rsid w:val="005D10B9"/>
    <w:rsid w:val="005D18DA"/>
    <w:rsid w:val="005E00DC"/>
    <w:rsid w:val="005E3BBC"/>
    <w:rsid w:val="005E3EC6"/>
    <w:rsid w:val="005E4E07"/>
    <w:rsid w:val="005E4E46"/>
    <w:rsid w:val="005E5275"/>
    <w:rsid w:val="005E7DC8"/>
    <w:rsid w:val="005E7EC9"/>
    <w:rsid w:val="005F7087"/>
    <w:rsid w:val="00611BE4"/>
    <w:rsid w:val="0061219B"/>
    <w:rsid w:val="00621419"/>
    <w:rsid w:val="00626446"/>
    <w:rsid w:val="00626BE8"/>
    <w:rsid w:val="00631827"/>
    <w:rsid w:val="00632804"/>
    <w:rsid w:val="006376DA"/>
    <w:rsid w:val="006459DA"/>
    <w:rsid w:val="006502E8"/>
    <w:rsid w:val="00654A2B"/>
    <w:rsid w:val="0065675C"/>
    <w:rsid w:val="0065793F"/>
    <w:rsid w:val="0066263B"/>
    <w:rsid w:val="0066713A"/>
    <w:rsid w:val="0067195C"/>
    <w:rsid w:val="006724F7"/>
    <w:rsid w:val="0067511A"/>
    <w:rsid w:val="0067539B"/>
    <w:rsid w:val="00675543"/>
    <w:rsid w:val="00677396"/>
    <w:rsid w:val="00677AD9"/>
    <w:rsid w:val="00681970"/>
    <w:rsid w:val="00690641"/>
    <w:rsid w:val="00690D88"/>
    <w:rsid w:val="00691844"/>
    <w:rsid w:val="00693DDF"/>
    <w:rsid w:val="00696F9E"/>
    <w:rsid w:val="006A374A"/>
    <w:rsid w:val="006A505E"/>
    <w:rsid w:val="006A513E"/>
    <w:rsid w:val="006A5265"/>
    <w:rsid w:val="006B0CB9"/>
    <w:rsid w:val="006B2609"/>
    <w:rsid w:val="006B2750"/>
    <w:rsid w:val="006B3678"/>
    <w:rsid w:val="006B7390"/>
    <w:rsid w:val="006C0084"/>
    <w:rsid w:val="006C107D"/>
    <w:rsid w:val="006C3600"/>
    <w:rsid w:val="006C4534"/>
    <w:rsid w:val="006C5205"/>
    <w:rsid w:val="006C75F6"/>
    <w:rsid w:val="006D3F53"/>
    <w:rsid w:val="006D60AF"/>
    <w:rsid w:val="006E4722"/>
    <w:rsid w:val="00701651"/>
    <w:rsid w:val="007049BF"/>
    <w:rsid w:val="00704E79"/>
    <w:rsid w:val="00707A26"/>
    <w:rsid w:val="0071120F"/>
    <w:rsid w:val="00716380"/>
    <w:rsid w:val="00722165"/>
    <w:rsid w:val="00724B1C"/>
    <w:rsid w:val="007428F0"/>
    <w:rsid w:val="007512EF"/>
    <w:rsid w:val="007551AC"/>
    <w:rsid w:val="0076101C"/>
    <w:rsid w:val="00763D87"/>
    <w:rsid w:val="007670B2"/>
    <w:rsid w:val="00771795"/>
    <w:rsid w:val="00774925"/>
    <w:rsid w:val="0079279F"/>
    <w:rsid w:val="00793E69"/>
    <w:rsid w:val="007A063C"/>
    <w:rsid w:val="007A16B0"/>
    <w:rsid w:val="007A19EA"/>
    <w:rsid w:val="007A6092"/>
    <w:rsid w:val="007A60B7"/>
    <w:rsid w:val="007A64A6"/>
    <w:rsid w:val="007A6EE1"/>
    <w:rsid w:val="007A7C89"/>
    <w:rsid w:val="007B1487"/>
    <w:rsid w:val="007B2A43"/>
    <w:rsid w:val="007B326F"/>
    <w:rsid w:val="007B6A58"/>
    <w:rsid w:val="007B6C06"/>
    <w:rsid w:val="007B7B78"/>
    <w:rsid w:val="007C32B1"/>
    <w:rsid w:val="007C7A22"/>
    <w:rsid w:val="007C7C62"/>
    <w:rsid w:val="007D1076"/>
    <w:rsid w:val="007D12B7"/>
    <w:rsid w:val="007D2A49"/>
    <w:rsid w:val="007D5E38"/>
    <w:rsid w:val="007D7AC4"/>
    <w:rsid w:val="007E0340"/>
    <w:rsid w:val="007E1D4A"/>
    <w:rsid w:val="007E53C0"/>
    <w:rsid w:val="007E7703"/>
    <w:rsid w:val="007F4558"/>
    <w:rsid w:val="007F64DF"/>
    <w:rsid w:val="008050EF"/>
    <w:rsid w:val="0080652C"/>
    <w:rsid w:val="0080715F"/>
    <w:rsid w:val="008113D6"/>
    <w:rsid w:val="00812BA7"/>
    <w:rsid w:val="00813A87"/>
    <w:rsid w:val="00813F63"/>
    <w:rsid w:val="00815F57"/>
    <w:rsid w:val="0081760B"/>
    <w:rsid w:val="008218AC"/>
    <w:rsid w:val="00825359"/>
    <w:rsid w:val="00825E13"/>
    <w:rsid w:val="00826F07"/>
    <w:rsid w:val="008337CB"/>
    <w:rsid w:val="00834A3C"/>
    <w:rsid w:val="008360A0"/>
    <w:rsid w:val="00837658"/>
    <w:rsid w:val="00837CD4"/>
    <w:rsid w:val="00837F78"/>
    <w:rsid w:val="008400EE"/>
    <w:rsid w:val="00840791"/>
    <w:rsid w:val="00845576"/>
    <w:rsid w:val="00850708"/>
    <w:rsid w:val="00851024"/>
    <w:rsid w:val="008526D7"/>
    <w:rsid w:val="0086238C"/>
    <w:rsid w:val="008655DC"/>
    <w:rsid w:val="0086732D"/>
    <w:rsid w:val="00870183"/>
    <w:rsid w:val="00875726"/>
    <w:rsid w:val="00877F10"/>
    <w:rsid w:val="0088225D"/>
    <w:rsid w:val="00882F8D"/>
    <w:rsid w:val="00884FB0"/>
    <w:rsid w:val="008853A5"/>
    <w:rsid w:val="008944DA"/>
    <w:rsid w:val="00894D78"/>
    <w:rsid w:val="008A6A18"/>
    <w:rsid w:val="008B033F"/>
    <w:rsid w:val="008B4003"/>
    <w:rsid w:val="008B7443"/>
    <w:rsid w:val="008C179E"/>
    <w:rsid w:val="008C2379"/>
    <w:rsid w:val="008C4FF7"/>
    <w:rsid w:val="008C5C4C"/>
    <w:rsid w:val="008C7056"/>
    <w:rsid w:val="008C706D"/>
    <w:rsid w:val="008D3145"/>
    <w:rsid w:val="008E1A54"/>
    <w:rsid w:val="008E1F95"/>
    <w:rsid w:val="008E36B6"/>
    <w:rsid w:val="008E4267"/>
    <w:rsid w:val="008E4847"/>
    <w:rsid w:val="008E5FF1"/>
    <w:rsid w:val="008E63D2"/>
    <w:rsid w:val="008E6E14"/>
    <w:rsid w:val="008F1528"/>
    <w:rsid w:val="008F1AE5"/>
    <w:rsid w:val="008F55D9"/>
    <w:rsid w:val="009057DE"/>
    <w:rsid w:val="00905F97"/>
    <w:rsid w:val="00906FA3"/>
    <w:rsid w:val="0091239D"/>
    <w:rsid w:val="00912825"/>
    <w:rsid w:val="009129B8"/>
    <w:rsid w:val="00912B99"/>
    <w:rsid w:val="00912C78"/>
    <w:rsid w:val="00927892"/>
    <w:rsid w:val="009319B9"/>
    <w:rsid w:val="009351E9"/>
    <w:rsid w:val="00937862"/>
    <w:rsid w:val="00942279"/>
    <w:rsid w:val="009524EB"/>
    <w:rsid w:val="00962013"/>
    <w:rsid w:val="00963942"/>
    <w:rsid w:val="0096716C"/>
    <w:rsid w:val="009672B2"/>
    <w:rsid w:val="00971C66"/>
    <w:rsid w:val="00972363"/>
    <w:rsid w:val="0098419C"/>
    <w:rsid w:val="009843EF"/>
    <w:rsid w:val="009867F2"/>
    <w:rsid w:val="00991347"/>
    <w:rsid w:val="00996018"/>
    <w:rsid w:val="0099738E"/>
    <w:rsid w:val="009A493E"/>
    <w:rsid w:val="009A531F"/>
    <w:rsid w:val="009A6931"/>
    <w:rsid w:val="009B1F9A"/>
    <w:rsid w:val="009B1FA9"/>
    <w:rsid w:val="009B349F"/>
    <w:rsid w:val="009B4293"/>
    <w:rsid w:val="009B6715"/>
    <w:rsid w:val="009C7B74"/>
    <w:rsid w:val="009D0BE2"/>
    <w:rsid w:val="009D114E"/>
    <w:rsid w:val="009D210F"/>
    <w:rsid w:val="009D309C"/>
    <w:rsid w:val="009D37B1"/>
    <w:rsid w:val="009D4717"/>
    <w:rsid w:val="009D694D"/>
    <w:rsid w:val="009E264E"/>
    <w:rsid w:val="009F0C98"/>
    <w:rsid w:val="009F0F81"/>
    <w:rsid w:val="009F2543"/>
    <w:rsid w:val="009F256D"/>
    <w:rsid w:val="009F341E"/>
    <w:rsid w:val="009F57CE"/>
    <w:rsid w:val="00A117CA"/>
    <w:rsid w:val="00A12225"/>
    <w:rsid w:val="00A14C18"/>
    <w:rsid w:val="00A25898"/>
    <w:rsid w:val="00A3071D"/>
    <w:rsid w:val="00A3182E"/>
    <w:rsid w:val="00A31A89"/>
    <w:rsid w:val="00A32F06"/>
    <w:rsid w:val="00A34934"/>
    <w:rsid w:val="00A34EFE"/>
    <w:rsid w:val="00A36546"/>
    <w:rsid w:val="00A4069C"/>
    <w:rsid w:val="00A413B5"/>
    <w:rsid w:val="00A429CB"/>
    <w:rsid w:val="00A44E87"/>
    <w:rsid w:val="00A5063C"/>
    <w:rsid w:val="00A52749"/>
    <w:rsid w:val="00A5422E"/>
    <w:rsid w:val="00A56EC1"/>
    <w:rsid w:val="00A6350C"/>
    <w:rsid w:val="00A6370B"/>
    <w:rsid w:val="00A63A73"/>
    <w:rsid w:val="00A6655C"/>
    <w:rsid w:val="00A66CBB"/>
    <w:rsid w:val="00A6704E"/>
    <w:rsid w:val="00A67EA4"/>
    <w:rsid w:val="00A773FF"/>
    <w:rsid w:val="00A83AA1"/>
    <w:rsid w:val="00A9343A"/>
    <w:rsid w:val="00A9706C"/>
    <w:rsid w:val="00A97B34"/>
    <w:rsid w:val="00AA1B5C"/>
    <w:rsid w:val="00AA7A27"/>
    <w:rsid w:val="00AB3FB0"/>
    <w:rsid w:val="00AB465D"/>
    <w:rsid w:val="00AB713D"/>
    <w:rsid w:val="00AC114C"/>
    <w:rsid w:val="00AC1478"/>
    <w:rsid w:val="00AC6C2D"/>
    <w:rsid w:val="00AC6E17"/>
    <w:rsid w:val="00AD2FF3"/>
    <w:rsid w:val="00AD7764"/>
    <w:rsid w:val="00AD7FE2"/>
    <w:rsid w:val="00AE1284"/>
    <w:rsid w:val="00AE1B18"/>
    <w:rsid w:val="00AE7339"/>
    <w:rsid w:val="00AF1B0B"/>
    <w:rsid w:val="00AF242C"/>
    <w:rsid w:val="00AF3CC4"/>
    <w:rsid w:val="00B05903"/>
    <w:rsid w:val="00B12C7A"/>
    <w:rsid w:val="00B12E10"/>
    <w:rsid w:val="00B22BC3"/>
    <w:rsid w:val="00B25865"/>
    <w:rsid w:val="00B272B6"/>
    <w:rsid w:val="00B2771B"/>
    <w:rsid w:val="00B336E9"/>
    <w:rsid w:val="00B33AE5"/>
    <w:rsid w:val="00B35BE5"/>
    <w:rsid w:val="00B46965"/>
    <w:rsid w:val="00B54ED0"/>
    <w:rsid w:val="00B55D47"/>
    <w:rsid w:val="00B6204E"/>
    <w:rsid w:val="00B649EC"/>
    <w:rsid w:val="00B728DD"/>
    <w:rsid w:val="00B72D43"/>
    <w:rsid w:val="00B74121"/>
    <w:rsid w:val="00B80ABA"/>
    <w:rsid w:val="00B859FF"/>
    <w:rsid w:val="00B85C1B"/>
    <w:rsid w:val="00B85FF0"/>
    <w:rsid w:val="00B86150"/>
    <w:rsid w:val="00B878F9"/>
    <w:rsid w:val="00B9044A"/>
    <w:rsid w:val="00B960F3"/>
    <w:rsid w:val="00B96A31"/>
    <w:rsid w:val="00BA05E6"/>
    <w:rsid w:val="00BA51B0"/>
    <w:rsid w:val="00BA6319"/>
    <w:rsid w:val="00BC03B0"/>
    <w:rsid w:val="00BC06A3"/>
    <w:rsid w:val="00BC0CEA"/>
    <w:rsid w:val="00BC2220"/>
    <w:rsid w:val="00BC26B9"/>
    <w:rsid w:val="00BC26FA"/>
    <w:rsid w:val="00BC4E01"/>
    <w:rsid w:val="00BC73F6"/>
    <w:rsid w:val="00BD1177"/>
    <w:rsid w:val="00BD1374"/>
    <w:rsid w:val="00BD3531"/>
    <w:rsid w:val="00BD4E35"/>
    <w:rsid w:val="00BE34CA"/>
    <w:rsid w:val="00BF116A"/>
    <w:rsid w:val="00C0623C"/>
    <w:rsid w:val="00C06A07"/>
    <w:rsid w:val="00C132B6"/>
    <w:rsid w:val="00C21A6C"/>
    <w:rsid w:val="00C24A10"/>
    <w:rsid w:val="00C27003"/>
    <w:rsid w:val="00C27597"/>
    <w:rsid w:val="00C32BD4"/>
    <w:rsid w:val="00C33E48"/>
    <w:rsid w:val="00C3618B"/>
    <w:rsid w:val="00C403FB"/>
    <w:rsid w:val="00C4316E"/>
    <w:rsid w:val="00C441A2"/>
    <w:rsid w:val="00C5076B"/>
    <w:rsid w:val="00C512D4"/>
    <w:rsid w:val="00C51CF4"/>
    <w:rsid w:val="00C531E2"/>
    <w:rsid w:val="00C53204"/>
    <w:rsid w:val="00C57E34"/>
    <w:rsid w:val="00C64659"/>
    <w:rsid w:val="00C662E9"/>
    <w:rsid w:val="00C66C2D"/>
    <w:rsid w:val="00C7190B"/>
    <w:rsid w:val="00C76852"/>
    <w:rsid w:val="00C77210"/>
    <w:rsid w:val="00C777FA"/>
    <w:rsid w:val="00C77989"/>
    <w:rsid w:val="00C811F4"/>
    <w:rsid w:val="00C81E51"/>
    <w:rsid w:val="00C87B73"/>
    <w:rsid w:val="00C92444"/>
    <w:rsid w:val="00C92FBB"/>
    <w:rsid w:val="00C93327"/>
    <w:rsid w:val="00C97B4D"/>
    <w:rsid w:val="00CA5602"/>
    <w:rsid w:val="00CA5CA9"/>
    <w:rsid w:val="00CA78E2"/>
    <w:rsid w:val="00CB1BBE"/>
    <w:rsid w:val="00CB65DB"/>
    <w:rsid w:val="00CB6BD9"/>
    <w:rsid w:val="00CC293A"/>
    <w:rsid w:val="00CE19F6"/>
    <w:rsid w:val="00CE6B76"/>
    <w:rsid w:val="00CF366B"/>
    <w:rsid w:val="00CF5D9D"/>
    <w:rsid w:val="00CF606C"/>
    <w:rsid w:val="00CF7423"/>
    <w:rsid w:val="00D001F5"/>
    <w:rsid w:val="00D03E80"/>
    <w:rsid w:val="00D1505F"/>
    <w:rsid w:val="00D15B9F"/>
    <w:rsid w:val="00D15DD6"/>
    <w:rsid w:val="00D25548"/>
    <w:rsid w:val="00D2601F"/>
    <w:rsid w:val="00D27759"/>
    <w:rsid w:val="00D30028"/>
    <w:rsid w:val="00D325D3"/>
    <w:rsid w:val="00D408D6"/>
    <w:rsid w:val="00D511DD"/>
    <w:rsid w:val="00D55C2A"/>
    <w:rsid w:val="00D571C1"/>
    <w:rsid w:val="00D602F4"/>
    <w:rsid w:val="00D6457E"/>
    <w:rsid w:val="00D742E2"/>
    <w:rsid w:val="00D7580E"/>
    <w:rsid w:val="00D87DAF"/>
    <w:rsid w:val="00D9446D"/>
    <w:rsid w:val="00DA2994"/>
    <w:rsid w:val="00DB08E8"/>
    <w:rsid w:val="00DB0DED"/>
    <w:rsid w:val="00DB3073"/>
    <w:rsid w:val="00DB3BA9"/>
    <w:rsid w:val="00DB50FE"/>
    <w:rsid w:val="00DB5EDA"/>
    <w:rsid w:val="00DC2349"/>
    <w:rsid w:val="00DC3026"/>
    <w:rsid w:val="00DD1EDB"/>
    <w:rsid w:val="00DD57AA"/>
    <w:rsid w:val="00DE1578"/>
    <w:rsid w:val="00DE7F67"/>
    <w:rsid w:val="00DF0529"/>
    <w:rsid w:val="00DF09EF"/>
    <w:rsid w:val="00DF0D0F"/>
    <w:rsid w:val="00DF13D6"/>
    <w:rsid w:val="00DF27D6"/>
    <w:rsid w:val="00DF2BEA"/>
    <w:rsid w:val="00DF4488"/>
    <w:rsid w:val="00DF5B98"/>
    <w:rsid w:val="00DF6FA8"/>
    <w:rsid w:val="00DF701E"/>
    <w:rsid w:val="00DF7BE5"/>
    <w:rsid w:val="00E00D49"/>
    <w:rsid w:val="00E019A8"/>
    <w:rsid w:val="00E03A46"/>
    <w:rsid w:val="00E03C6D"/>
    <w:rsid w:val="00E0476F"/>
    <w:rsid w:val="00E04899"/>
    <w:rsid w:val="00E0796F"/>
    <w:rsid w:val="00E10948"/>
    <w:rsid w:val="00E24371"/>
    <w:rsid w:val="00E243AB"/>
    <w:rsid w:val="00E26641"/>
    <w:rsid w:val="00E2778F"/>
    <w:rsid w:val="00E33023"/>
    <w:rsid w:val="00E331F3"/>
    <w:rsid w:val="00E3498D"/>
    <w:rsid w:val="00E42425"/>
    <w:rsid w:val="00E43E55"/>
    <w:rsid w:val="00E4554E"/>
    <w:rsid w:val="00E46D22"/>
    <w:rsid w:val="00E4768F"/>
    <w:rsid w:val="00E53C0E"/>
    <w:rsid w:val="00E54F7E"/>
    <w:rsid w:val="00E560CE"/>
    <w:rsid w:val="00E5674E"/>
    <w:rsid w:val="00E63783"/>
    <w:rsid w:val="00E650E2"/>
    <w:rsid w:val="00E75CAD"/>
    <w:rsid w:val="00E76922"/>
    <w:rsid w:val="00E8595B"/>
    <w:rsid w:val="00E915EC"/>
    <w:rsid w:val="00EA11B1"/>
    <w:rsid w:val="00EA2224"/>
    <w:rsid w:val="00EA7194"/>
    <w:rsid w:val="00EB1329"/>
    <w:rsid w:val="00EB2987"/>
    <w:rsid w:val="00EB2D75"/>
    <w:rsid w:val="00EB34BE"/>
    <w:rsid w:val="00EB571A"/>
    <w:rsid w:val="00EC2804"/>
    <w:rsid w:val="00EC6117"/>
    <w:rsid w:val="00EC6138"/>
    <w:rsid w:val="00ED1DCF"/>
    <w:rsid w:val="00ED43C9"/>
    <w:rsid w:val="00EE2C60"/>
    <w:rsid w:val="00EE2E58"/>
    <w:rsid w:val="00EE487A"/>
    <w:rsid w:val="00EE734C"/>
    <w:rsid w:val="00EF6907"/>
    <w:rsid w:val="00EF6D91"/>
    <w:rsid w:val="00F01F54"/>
    <w:rsid w:val="00F04D4D"/>
    <w:rsid w:val="00F11DD8"/>
    <w:rsid w:val="00F12745"/>
    <w:rsid w:val="00F13766"/>
    <w:rsid w:val="00F20A77"/>
    <w:rsid w:val="00F22C60"/>
    <w:rsid w:val="00F231A4"/>
    <w:rsid w:val="00F23252"/>
    <w:rsid w:val="00F27B2A"/>
    <w:rsid w:val="00F31762"/>
    <w:rsid w:val="00F345D3"/>
    <w:rsid w:val="00F356ED"/>
    <w:rsid w:val="00F359B5"/>
    <w:rsid w:val="00F4144F"/>
    <w:rsid w:val="00F433F3"/>
    <w:rsid w:val="00F47F64"/>
    <w:rsid w:val="00F522D9"/>
    <w:rsid w:val="00F52F54"/>
    <w:rsid w:val="00F53584"/>
    <w:rsid w:val="00F61B24"/>
    <w:rsid w:val="00F62DE5"/>
    <w:rsid w:val="00F63F8A"/>
    <w:rsid w:val="00F6514E"/>
    <w:rsid w:val="00F703DC"/>
    <w:rsid w:val="00F71D06"/>
    <w:rsid w:val="00F73B46"/>
    <w:rsid w:val="00F73D01"/>
    <w:rsid w:val="00F7642B"/>
    <w:rsid w:val="00F76A43"/>
    <w:rsid w:val="00F80334"/>
    <w:rsid w:val="00F8139D"/>
    <w:rsid w:val="00F83DF9"/>
    <w:rsid w:val="00F85DA0"/>
    <w:rsid w:val="00F930AF"/>
    <w:rsid w:val="00F9352C"/>
    <w:rsid w:val="00F975B0"/>
    <w:rsid w:val="00FA15F1"/>
    <w:rsid w:val="00FA19F5"/>
    <w:rsid w:val="00FA4A69"/>
    <w:rsid w:val="00FA649A"/>
    <w:rsid w:val="00FB1248"/>
    <w:rsid w:val="00FB208D"/>
    <w:rsid w:val="00FB3CF4"/>
    <w:rsid w:val="00FB4A27"/>
    <w:rsid w:val="00FB4A49"/>
    <w:rsid w:val="00FB69B3"/>
    <w:rsid w:val="00FC6FBE"/>
    <w:rsid w:val="00FD1162"/>
    <w:rsid w:val="00FD2232"/>
    <w:rsid w:val="00FD4AE7"/>
    <w:rsid w:val="00FD65A9"/>
    <w:rsid w:val="00FD7508"/>
    <w:rsid w:val="00FE1E51"/>
    <w:rsid w:val="00FE2496"/>
    <w:rsid w:val="00FE6A2B"/>
    <w:rsid w:val="00FF0275"/>
    <w:rsid w:val="00FF07B3"/>
    <w:rsid w:val="00FF1E37"/>
    <w:rsid w:val="03873743"/>
    <w:rsid w:val="04316995"/>
    <w:rsid w:val="046378E2"/>
    <w:rsid w:val="05D51A56"/>
    <w:rsid w:val="05F06A6D"/>
    <w:rsid w:val="063473F1"/>
    <w:rsid w:val="06AF5151"/>
    <w:rsid w:val="0728766C"/>
    <w:rsid w:val="075D1F66"/>
    <w:rsid w:val="079004AC"/>
    <w:rsid w:val="07B37D9C"/>
    <w:rsid w:val="07CB67D6"/>
    <w:rsid w:val="07E44840"/>
    <w:rsid w:val="08040C45"/>
    <w:rsid w:val="09471DE7"/>
    <w:rsid w:val="0A2900D6"/>
    <w:rsid w:val="0B4C2D23"/>
    <w:rsid w:val="0D836385"/>
    <w:rsid w:val="0F8E2C57"/>
    <w:rsid w:val="1059665E"/>
    <w:rsid w:val="10733A38"/>
    <w:rsid w:val="10AC13BA"/>
    <w:rsid w:val="10D624F9"/>
    <w:rsid w:val="10D94E3E"/>
    <w:rsid w:val="117F3EB4"/>
    <w:rsid w:val="124F16E9"/>
    <w:rsid w:val="16BA501B"/>
    <w:rsid w:val="16C3558B"/>
    <w:rsid w:val="17BA0624"/>
    <w:rsid w:val="17DC6E52"/>
    <w:rsid w:val="183F132F"/>
    <w:rsid w:val="1AEC0734"/>
    <w:rsid w:val="1B135C3C"/>
    <w:rsid w:val="1DEF20B0"/>
    <w:rsid w:val="21014C80"/>
    <w:rsid w:val="214243FA"/>
    <w:rsid w:val="216279EE"/>
    <w:rsid w:val="22964C1F"/>
    <w:rsid w:val="22C14D57"/>
    <w:rsid w:val="23DD42CA"/>
    <w:rsid w:val="23F706D3"/>
    <w:rsid w:val="257A14F5"/>
    <w:rsid w:val="26C91E6B"/>
    <w:rsid w:val="27196C26"/>
    <w:rsid w:val="27CF7CF7"/>
    <w:rsid w:val="29EF086F"/>
    <w:rsid w:val="2CC469E1"/>
    <w:rsid w:val="2D5577F1"/>
    <w:rsid w:val="2D8C7C6F"/>
    <w:rsid w:val="2E034862"/>
    <w:rsid w:val="2E9868D0"/>
    <w:rsid w:val="2EFFE297"/>
    <w:rsid w:val="301437CA"/>
    <w:rsid w:val="314E3674"/>
    <w:rsid w:val="3198674F"/>
    <w:rsid w:val="32E72CC6"/>
    <w:rsid w:val="33BF1FA0"/>
    <w:rsid w:val="363275C8"/>
    <w:rsid w:val="36954B73"/>
    <w:rsid w:val="399A7F46"/>
    <w:rsid w:val="3A9A0C88"/>
    <w:rsid w:val="3AFD65A5"/>
    <w:rsid w:val="3D603A0E"/>
    <w:rsid w:val="403A1CE7"/>
    <w:rsid w:val="40960869"/>
    <w:rsid w:val="40C92B02"/>
    <w:rsid w:val="41D034A3"/>
    <w:rsid w:val="42B20834"/>
    <w:rsid w:val="433E495C"/>
    <w:rsid w:val="437317D3"/>
    <w:rsid w:val="438A70BC"/>
    <w:rsid w:val="44BA3266"/>
    <w:rsid w:val="44F82A9B"/>
    <w:rsid w:val="45127729"/>
    <w:rsid w:val="456A0506"/>
    <w:rsid w:val="45B828F0"/>
    <w:rsid w:val="469A032B"/>
    <w:rsid w:val="47C63FBD"/>
    <w:rsid w:val="498802D5"/>
    <w:rsid w:val="498B3328"/>
    <w:rsid w:val="4AC27CB3"/>
    <w:rsid w:val="4BF72BEF"/>
    <w:rsid w:val="4F635DC0"/>
    <w:rsid w:val="50551F41"/>
    <w:rsid w:val="515F408E"/>
    <w:rsid w:val="51DB3C59"/>
    <w:rsid w:val="54F8355D"/>
    <w:rsid w:val="55762E42"/>
    <w:rsid w:val="55AA58A4"/>
    <w:rsid w:val="56CD6BC1"/>
    <w:rsid w:val="56EB6108"/>
    <w:rsid w:val="57A7B272"/>
    <w:rsid w:val="57BB2D59"/>
    <w:rsid w:val="58293396"/>
    <w:rsid w:val="58470068"/>
    <w:rsid w:val="5891311B"/>
    <w:rsid w:val="59E564A1"/>
    <w:rsid w:val="5A1720F9"/>
    <w:rsid w:val="5AD940C7"/>
    <w:rsid w:val="5B9C37C2"/>
    <w:rsid w:val="5BA7C654"/>
    <w:rsid w:val="629119A8"/>
    <w:rsid w:val="63410156"/>
    <w:rsid w:val="637E7E9D"/>
    <w:rsid w:val="64407A9F"/>
    <w:rsid w:val="64C0607C"/>
    <w:rsid w:val="657A0E13"/>
    <w:rsid w:val="676F09E1"/>
    <w:rsid w:val="67705F1C"/>
    <w:rsid w:val="67AE6533"/>
    <w:rsid w:val="6872728F"/>
    <w:rsid w:val="6ADD36B0"/>
    <w:rsid w:val="6B086597"/>
    <w:rsid w:val="6BB4262A"/>
    <w:rsid w:val="6C200C2D"/>
    <w:rsid w:val="6CAD4209"/>
    <w:rsid w:val="6D346D16"/>
    <w:rsid w:val="6F1B7A2B"/>
    <w:rsid w:val="6FA15457"/>
    <w:rsid w:val="70311DBC"/>
    <w:rsid w:val="70654132"/>
    <w:rsid w:val="71605BEF"/>
    <w:rsid w:val="71CF5D01"/>
    <w:rsid w:val="722C461C"/>
    <w:rsid w:val="72563154"/>
    <w:rsid w:val="72C836F9"/>
    <w:rsid w:val="75573A64"/>
    <w:rsid w:val="75CD5B4A"/>
    <w:rsid w:val="773C27E6"/>
    <w:rsid w:val="777B2B8D"/>
    <w:rsid w:val="77DC092C"/>
    <w:rsid w:val="79315532"/>
    <w:rsid w:val="79A03174"/>
    <w:rsid w:val="7A7F1C49"/>
    <w:rsid w:val="7A8059BE"/>
    <w:rsid w:val="7B1E2C81"/>
    <w:rsid w:val="7B5B7AE6"/>
    <w:rsid w:val="7B65661A"/>
    <w:rsid w:val="7BA7071E"/>
    <w:rsid w:val="7BDF6DA8"/>
    <w:rsid w:val="7BF24D34"/>
    <w:rsid w:val="7C7EDC1A"/>
    <w:rsid w:val="7CA848A6"/>
    <w:rsid w:val="7CCED98D"/>
    <w:rsid w:val="7D08410F"/>
    <w:rsid w:val="7D5D6C2E"/>
    <w:rsid w:val="7DB96DED"/>
    <w:rsid w:val="7DD3AD81"/>
    <w:rsid w:val="7E201022"/>
    <w:rsid w:val="7E2F59B2"/>
    <w:rsid w:val="7F7FE70F"/>
    <w:rsid w:val="7FFF772F"/>
    <w:rsid w:val="95F35EF6"/>
    <w:rsid w:val="9BFFD860"/>
    <w:rsid w:val="AC5F73DE"/>
    <w:rsid w:val="B5DDD2C8"/>
    <w:rsid w:val="B9DFABD9"/>
    <w:rsid w:val="BC0D83FC"/>
    <w:rsid w:val="BF3BDEFB"/>
    <w:rsid w:val="C75F6086"/>
    <w:rsid w:val="C7F7ED2D"/>
    <w:rsid w:val="CFAF854E"/>
    <w:rsid w:val="D8D7928E"/>
    <w:rsid w:val="D8FE3136"/>
    <w:rsid w:val="DDDE60B7"/>
    <w:rsid w:val="DE9F6A22"/>
    <w:rsid w:val="DF4FCE6A"/>
    <w:rsid w:val="E4FED278"/>
    <w:rsid w:val="EDAA365C"/>
    <w:rsid w:val="EDADFC12"/>
    <w:rsid w:val="F2FD229B"/>
    <w:rsid w:val="F7F709E9"/>
    <w:rsid w:val="F7FF3690"/>
    <w:rsid w:val="F9BD3900"/>
    <w:rsid w:val="FC8B9876"/>
    <w:rsid w:val="FEDFF218"/>
    <w:rsid w:val="FEDFFFFF"/>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widowControl w:val="0"/>
      <w:spacing w:before="100" w:beforeAutospacing="1" w:after="100" w:afterAutospacing="1"/>
      <w:outlineLvl w:val="1"/>
    </w:pPr>
    <w:rPr>
      <w:rFonts w:ascii="Cambria" w:hAnsi="Cambria" w:eastAsia="黑体" w:cs="Times New Roman"/>
      <w:b/>
      <w:bCs/>
      <w:kern w:val="0"/>
      <w:sz w:val="36"/>
      <w:szCs w:val="32"/>
      <w:lang w:bidi="ar-SA"/>
    </w:rPr>
  </w:style>
  <w:style w:type="character" w:default="1" w:styleId="10">
    <w:name w:val="Default Paragraph Font"/>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3">
    <w:name w:val="Normal Indent"/>
    <w:basedOn w:val="1"/>
    <w:qFormat/>
    <w:uiPriority w:val="0"/>
    <w:pPr>
      <w:ind w:firstLine="200" w:firstLineChars="200"/>
    </w:pPr>
  </w:style>
  <w:style w:type="paragraph" w:styleId="4">
    <w:name w:val="Body Text Indent"/>
    <w:basedOn w:val="1"/>
    <w:qFormat/>
    <w:uiPriority w:val="0"/>
    <w:pPr>
      <w:ind w:firstLine="645"/>
    </w:pPr>
    <w:rPr>
      <w:rFonts w:ascii="仿宋_GB2312" w:hAnsi="Calibri" w:eastAsia="仿宋_GB2312"/>
      <w:sz w:val="32"/>
      <w:szCs w:val="32"/>
    </w:rPr>
  </w:style>
  <w:style w:type="paragraph" w:styleId="5">
    <w:name w:val="Date"/>
    <w:basedOn w:val="1"/>
    <w:next w:val="1"/>
    <w:qFormat/>
    <w:uiPriority w:val="0"/>
    <w:pPr>
      <w:ind w:left="100" w:leftChars="2500"/>
    </w:pPr>
  </w:style>
  <w:style w:type="paragraph" w:styleId="6">
    <w:name w:val="Balloon Text"/>
    <w:basedOn w:val="1"/>
    <w:semiHidden/>
    <w:qFormat/>
    <w:uiPriority w:val="0"/>
    <w:rPr>
      <w:sz w:val="18"/>
      <w:szCs w:val="18"/>
    </w:rPr>
  </w:style>
  <w:style w:type="paragraph" w:styleId="7">
    <w:name w:val="footer"/>
    <w:basedOn w:val="1"/>
    <w:next w:val="1"/>
    <w:link w:val="14"/>
    <w:qFormat/>
    <w:uiPriority w:val="0"/>
    <w:pPr>
      <w:tabs>
        <w:tab w:val="center" w:pos="4153"/>
        <w:tab w:val="right" w:pos="8306"/>
      </w:tabs>
      <w:snapToGrid w:val="0"/>
      <w:jc w:val="left"/>
    </w:pPr>
    <w:rPr>
      <w:sz w:val="18"/>
      <w:szCs w:val="18"/>
    </w:rPr>
  </w:style>
  <w:style w:type="paragraph" w:styleId="8">
    <w:name w:val="header"/>
    <w:basedOn w:val="1"/>
    <w:link w:val="15"/>
    <w:qFormat/>
    <w:uiPriority w:val="0"/>
    <w:pPr>
      <w:pBdr>
        <w:bottom w:val="single" w:color="auto" w:sz="6" w:space="1"/>
      </w:pBdr>
      <w:tabs>
        <w:tab w:val="center" w:pos="4153"/>
        <w:tab w:val="right" w:pos="8306"/>
      </w:tabs>
      <w:snapToGrid w:val="0"/>
      <w:jc w:val="center"/>
    </w:pPr>
    <w:rPr>
      <w:rFonts w:ascii="Calibri" w:hAnsi="Calibri"/>
      <w:sz w:val="18"/>
      <w:szCs w:val="18"/>
    </w:rPr>
  </w:style>
  <w:style w:type="paragraph" w:styleId="9">
    <w:name w:val="Normal (Web)"/>
    <w:basedOn w:val="1"/>
    <w:unhideWhenUsed/>
    <w:qFormat/>
    <w:uiPriority w:val="0"/>
    <w:pPr>
      <w:spacing w:before="100" w:beforeAutospacing="1" w:after="100" w:afterAutospacing="1"/>
      <w:ind w:right="238"/>
      <w:jc w:val="left"/>
    </w:pPr>
    <w:rPr>
      <w:b/>
      <w:kern w:val="0"/>
      <w:sz w:val="24"/>
      <w:szCs w:val="20"/>
    </w:rPr>
  </w:style>
  <w:style w:type="character" w:styleId="11">
    <w:name w:val="Strong"/>
    <w:qFormat/>
    <w:uiPriority w:val="0"/>
    <w:rPr>
      <w:b/>
    </w:rPr>
  </w:style>
  <w:style w:type="character" w:styleId="12">
    <w:name w:val="page number"/>
    <w:qFormat/>
    <w:uiPriority w:val="0"/>
  </w:style>
  <w:style w:type="character" w:customStyle="1" w:styleId="14">
    <w:name w:val="页脚 Char"/>
    <w:link w:val="7"/>
    <w:qFormat/>
    <w:uiPriority w:val="0"/>
    <w:rPr>
      <w:rFonts w:eastAsia="宋体"/>
      <w:kern w:val="2"/>
      <w:sz w:val="18"/>
      <w:szCs w:val="18"/>
      <w:lang w:val="en-US" w:eastAsia="zh-CN" w:bidi="ar-SA"/>
    </w:rPr>
  </w:style>
  <w:style w:type="character" w:customStyle="1" w:styleId="15">
    <w:name w:val="页眉 Char"/>
    <w:link w:val="8"/>
    <w:qFormat/>
    <w:uiPriority w:val="0"/>
    <w:rPr>
      <w:rFonts w:ascii="Calibri" w:hAnsi="Calibri" w:eastAsia="宋体"/>
      <w:kern w:val="2"/>
      <w:sz w:val="18"/>
      <w:szCs w:val="18"/>
      <w:lang w:val="en-US" w:eastAsia="zh-CN" w:bidi="ar-SA"/>
    </w:rPr>
  </w:style>
  <w:style w:type="paragraph" w:customStyle="1" w:styleId="16">
    <w:name w:val=" Char Char Char Char Char Char Char"/>
    <w:basedOn w:val="1"/>
    <w:qFormat/>
    <w:uiPriority w:val="0"/>
    <w:rPr>
      <w:rFonts w:ascii="Tahoma" w:hAnsi="Tahoma"/>
      <w:sz w:val="24"/>
      <w:szCs w:val="20"/>
    </w:rPr>
  </w:style>
  <w:style w:type="paragraph" w:customStyle="1" w:styleId="17">
    <w:name w:val="Char1 Char Char Char"/>
    <w:basedOn w:val="1"/>
    <w:qFormat/>
    <w:uiPriority w:val="0"/>
    <w:pPr>
      <w:widowControl/>
      <w:spacing w:after="160" w:line="240" w:lineRule="exact"/>
      <w:jc w:val="left"/>
    </w:pPr>
    <w:rPr>
      <w:szCs w:val="20"/>
    </w:rPr>
  </w:style>
  <w:style w:type="paragraph" w:customStyle="1" w:styleId="18">
    <w:name w:val="Char"/>
    <w:basedOn w:val="1"/>
    <w:qFormat/>
    <w:uiPriority w:val="0"/>
    <w:rPr>
      <w:rFonts w:ascii="Tahoma" w:hAnsi="Tahoma"/>
      <w:sz w:val="24"/>
      <w:szCs w:val="20"/>
    </w:rPr>
  </w:style>
  <w:style w:type="paragraph" w:customStyle="1" w:styleId="19">
    <w:name w:val="Char Char3 Char Char"/>
    <w:basedOn w:val="1"/>
    <w:qFormat/>
    <w:uiPriority w:val="0"/>
    <w:rPr>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chart" Target="charts/chart2.xml"/><Relationship Id="rId7" Type="http://schemas.openxmlformats.org/officeDocument/2006/relationships/chart" Target="charts/chart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oleObject" Target="file:///C:\Users\Administrator\Desktop\&#26032;&#24314;%20XLSX%20&#24037;&#20316;&#34920;.xlsx" TargetMode="External"/></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a:t>
            </a:r>
          </a:p>
        </c:rich>
      </c:tx>
      <c:layout/>
      <c:overlay val="0"/>
      <c:spPr>
        <a:noFill/>
        <a:ln>
          <a:noFill/>
        </a:ln>
        <a:effectLst/>
      </c:spPr>
    </c:title>
    <c:autoTitleDeleted val="0"/>
    <c:plotArea>
      <c:layout/>
      <c:pieChart>
        <c:varyColors val="1"/>
        <c:ser>
          <c:idx val="0"/>
          <c:order val="0"/>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ctr"/>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'[新建 XLSX 工作表.xlsx]Sheet3'!$T$2:$U$2</c:f>
              <c:strCache>
                <c:ptCount val="2"/>
                <c:pt idx="0">
                  <c:v>财政拨款收入</c:v>
                </c:pt>
                <c:pt idx="1">
                  <c:v>其他收入</c:v>
                </c:pt>
              </c:strCache>
            </c:strRef>
          </c:cat>
          <c:val>
            <c:numRef>
              <c:f>'[新建 XLSX 工作表.xlsx]Sheet3'!$T$3:$U$3</c:f>
              <c:numCache>
                <c:formatCode>0.00%</c:formatCode>
                <c:ptCount val="2"/>
                <c:pt idx="0">
                  <c:v>0.9999</c:v>
                </c:pt>
                <c:pt idx="1">
                  <c:v>0.0001</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bg1">
                    <a:lumMod val="50000"/>
                  </a:schemeClr>
                </a:solidFill>
                <a:latin typeface="+mn-lt"/>
                <a:ea typeface="+mn-ea"/>
                <a:cs typeface="+mn-cs"/>
              </a:defRPr>
            </a:pPr>
            <a:r>
              <a:rPr>
                <a:solidFill>
                  <a:schemeClr val="bg1">
                    <a:lumMod val="50000"/>
                  </a:schemeClr>
                </a:solidFill>
              </a:rPr>
              <a:t>支出决算</a:t>
            </a:r>
            <a:endParaRPr>
              <a:solidFill>
                <a:schemeClr val="bg1">
                  <a:lumMod val="50000"/>
                </a:schemeClr>
              </a:solidFill>
            </a:endParaRPr>
          </a:p>
        </c:rich>
      </c:tx>
      <c:layout/>
      <c:overlay val="0"/>
      <c:spPr>
        <a:noFill/>
        <a:ln>
          <a:noFill/>
        </a:ln>
        <a:effectLst/>
      </c:spPr>
    </c:title>
    <c:autoTitleDeleted val="0"/>
    <c:plotArea>
      <c:layout/>
      <c:pieChart>
        <c:varyColors val="1"/>
        <c:ser>
          <c:idx val="0"/>
          <c:order val="0"/>
          <c:tx>
            <c:strRef>
              <c:f>Sheet0!$B$1</c:f>
              <c:strCache>
                <c:ptCount val="1"/>
                <c:pt idx="0">
                  <c:v>支出</c:v>
                </c:pt>
              </c:strCache>
            </c:strRef>
          </c:tx>
          <c:spPr/>
          <c:explosion val="0"/>
          <c:dPt>
            <c:idx val="0"/>
            <c:bubble3D val="0"/>
            <c:spPr>
              <a:solidFill>
                <a:srgbClr val="4F81BD"/>
              </a:solidFill>
              <a:ln w="19050">
                <a:solidFill>
                  <a:srgbClr val="FFFFFF"/>
                </a:solidFill>
              </a:ln>
              <a:effectLst/>
            </c:spPr>
          </c:dPt>
          <c:dPt>
            <c:idx val="1"/>
            <c:bubble3D val="0"/>
            <c:spPr>
              <a:solidFill>
                <a:srgbClr val="C0504D"/>
              </a:solidFill>
              <a:ln w="19050">
                <a:solidFill>
                  <a:srgbClr val="FFFFFF"/>
                </a:solidFill>
              </a:ln>
              <a:effectLst/>
            </c:spPr>
          </c:dPt>
          <c:dLbls>
            <c:numFmt formatCode="0.00%" sourceLinked="0"/>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rgbClr val="404040">
                        <a:lumMod val="75000"/>
                        <a:lumOff val="25000"/>
                      </a:srgbClr>
                    </a:solidFill>
                    <a:latin typeface="+mn-lt"/>
                    <a:ea typeface="+mn-ea"/>
                    <a:cs typeface="+mn-cs"/>
                  </a:defRPr>
                </a:pPr>
              </a:p>
            </c:txPr>
            <c:dLblPos val="bestFit"/>
            <c:showLegendKey val="0"/>
            <c:showVal val="0"/>
            <c:showCatName val="0"/>
            <c:showSerName val="0"/>
            <c:showPercent val="1"/>
            <c:showBubbleSize val="0"/>
            <c:showLeaderLines val="1"/>
            <c:extLst>
              <c:ext xmlns:c15="http://schemas.microsoft.com/office/drawing/2012/chart" uri="{CE6537A1-D6FC-4f65-9D91-7224C49458BB}">
                <c15:layout/>
                <c15:showLeaderLines val="1"/>
                <c15:leaderLines>
                  <c:spPr>
                    <a:ln w="9525" cap="flat" cmpd="sng" algn="ctr">
                      <a:solidFill>
                        <a:srgbClr val="A6A6A6">
                          <a:lumMod val="35000"/>
                          <a:lumOff val="65000"/>
                        </a:srgbClr>
                      </a:solidFill>
                      <a:round/>
                    </a:ln>
                    <a:effectLst/>
                  </c:spPr>
                </c15:leaderLines>
              </c:ext>
            </c:extLst>
          </c:dLbls>
          <c:cat>
            <c:strRef>
              <c:extLst>
                <c:ext xmlns:c15="http://schemas.microsoft.com/office/drawing/2012/chart" uri="{02D57815-91ED-43cb-92C2-25804820EDAC}">
                  <c15:fullRef>
                    <c15:sqref>Sheet0!$A$2:$A$6</c15:sqref>
                  </c15:fullRef>
                </c:ext>
              </c:extLst>
              <c:f>Sheet0!$A$2:$A$3</c:f>
              <c:strCache>
                <c:ptCount val="2"/>
                <c:pt idx="0">
                  <c:v>基本支出</c:v>
                </c:pt>
                <c:pt idx="1">
                  <c:v>项目支出</c:v>
                </c:pt>
              </c:strCache>
            </c:strRef>
          </c:cat>
          <c:val>
            <c:numRef>
              <c:extLst>
                <c:ext xmlns:c15="http://schemas.microsoft.com/office/drawing/2012/chart" uri="{02D57815-91ED-43cb-92C2-25804820EDAC}">
                  <c15:fullRef>
                    <c15:sqref>Sheet0!$B$2:$B$6</c15:sqref>
                  </c15:fullRef>
                </c:ext>
              </c:extLst>
              <c:f>Sheet0!$B$2:$B$3</c:f>
              <c:numCache>
                <c:formatCode>General</c:formatCode>
                <c:ptCount val="2"/>
                <c:pt idx="0">
                  <c:v>543.5</c:v>
                </c:pt>
                <c:pt idx="1">
                  <c:v>739.4</c:v>
                </c:pt>
              </c:numCache>
            </c:numRef>
          </c:val>
        </c:ser>
        <c:dLbls>
          <c:showLegendKey val="0"/>
          <c:showVal val="0"/>
          <c:showCatName val="0"/>
          <c:showSerName val="0"/>
          <c:showPercent val="1"/>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rgbClr val="595959">
                  <a:lumMod val="65000"/>
                  <a:lumOff val="35000"/>
                </a:srgbClr>
              </a:solidFill>
              <a:latin typeface="+mn-lt"/>
              <a:ea typeface="+mn-ea"/>
              <a:cs typeface="+mn-cs"/>
            </a:defRPr>
          </a:pPr>
        </a:p>
      </c:txPr>
    </c:legend>
    <c:plotVisOnly val="1"/>
    <c:dispBlanksAs val="gap"/>
    <c:showDLblsOverMax val="0"/>
  </c:chart>
  <c:spPr>
    <a:solidFill>
      <a:srgbClr val="FFFFFF"/>
    </a:solidFill>
    <a:ln w="9525" cap="flat" cmpd="sng" algn="ctr">
      <a:solidFill>
        <a:srgbClr val="D9D9D9">
          <a:lumMod val="15000"/>
          <a:lumOff val="85000"/>
        </a:srgb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rgbClr val="4F81BD"/>
  <a:srgbClr val="C0504D"/>
  <a:srgbClr val="9BBB59"/>
  <a:srgbClr val="8064A2"/>
  <a:srgbClr val="4BACC6"/>
  <a:srgbClr val="F7964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rgbClr val="595959">
        <a:lumMod val="65000"/>
        <a:lumOff val="35000"/>
      </a:srgbClr>
    </cs:fontRef>
    <cs:defRPr sz="1000" kern="1200"/>
  </cs:axisTitle>
  <cs:categoryAxis>
    <cs:lnRef idx="0"/>
    <cs:fillRef idx="0"/>
    <cs:effectRef idx="0"/>
    <cs:fontRef idx="minor">
      <a:srgbClr val="595959">
        <a:lumMod val="65000"/>
        <a:lumOff val="35000"/>
      </a:srgbClr>
    </cs:fontRef>
    <cs:spPr>
      <a:ln w="9525" cap="flat" cmpd="sng" algn="ctr">
        <a:solidFill>
          <a:srgbClr val="D9D9D9">
            <a:lumMod val="15000"/>
            <a:lumOff val="85000"/>
          </a:srgbClr>
        </a:solidFill>
        <a:round/>
      </a:ln>
    </cs:spPr>
    <cs:defRPr sz="900" kern="1200"/>
  </cs:categoryAxis>
  <cs:chartArea mods="allowNoFillOverride allowNoLineOverride">
    <cs:lnRef idx="0"/>
    <cs:fillRef idx="0"/>
    <cs:effectRef idx="0"/>
    <cs:fontRef idx="minor">
      <a:srgbClr val="000000"/>
    </cs:fontRef>
    <cs:spPr>
      <a:solidFill>
        <a:srgbClr val="FFFFFF"/>
      </a:solidFill>
      <a:ln w="9525" cap="flat" cmpd="sng" algn="ctr">
        <a:solidFill>
          <a:srgbClr val="D9D9D9">
            <a:lumMod val="15000"/>
            <a:lumOff val="85000"/>
          </a:srgbClr>
        </a:solidFill>
        <a:round/>
      </a:ln>
    </cs:spPr>
    <cs:defRPr sz="900" kern="1200"/>
  </cs:chartArea>
  <cs:dataLabel>
    <cs:lnRef idx="0"/>
    <cs:fillRef idx="0"/>
    <cs:effectRef idx="0"/>
    <cs:fontRef idx="minor">
      <a:srgbClr val="404040">
        <a:lumMod val="75000"/>
        <a:lumOff val="25000"/>
      </a:srgbClr>
    </cs:fontRef>
    <cs:defRPr sz="900" kern="1200"/>
  </cs:dataLabel>
  <cs:dataLabelCallout>
    <cs:lnRef idx="0"/>
    <cs:fillRef idx="0"/>
    <cs:effectRef idx="0"/>
    <cs:fontRef idx="minor">
      <a:srgbClr val="595959">
        <a:lumMod val="65000"/>
        <a:lumOff val="35000"/>
      </a:srgbClr>
    </cs:fontRef>
    <cs:spPr>
      <a:solidFill>
        <a:srgbClr val="FFFFFF"/>
      </a:solidFill>
      <a:ln>
        <a:solidFill>
          <a:srgbClr val="BFBFBF">
            <a:lumMod val="25000"/>
            <a:lumOff val="75000"/>
          </a:srgb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rgbClr val="000000"/>
    </cs:fontRef>
    <cs:spPr>
      <a:ln w="19050">
        <a:solidFill>
          <a:srgbClr val="FFFFFF"/>
        </a:solidFill>
      </a:ln>
    </cs:spPr>
  </cs:dataPoint>
  <cs:dataPoint3D>
    <cs:lnRef idx="0"/>
    <cs:fillRef idx="1">
      <cs:styleClr val="auto"/>
    </cs:fillRef>
    <cs:effectRef idx="0"/>
    <cs:fontRef idx="minor">
      <a:srgbClr val="000000"/>
    </cs:fontRef>
    <cs:spPr>
      <a:ln w="25400">
        <a:solidFill>
          <a:srgbClr val="FFFFFF"/>
        </a:solidFill>
      </a:ln>
    </cs:spPr>
  </cs:dataPoint3D>
  <cs:dataPointLine>
    <cs:lnRef idx="0">
      <cs:styleClr val="auto"/>
    </cs:lnRef>
    <cs:fillRef idx="0"/>
    <cs:effectRef idx="0"/>
    <cs:fontRef idx="minor">
      <a:srgbClr val="000000"/>
    </cs:fontRef>
    <cs:spPr>
      <a:ln w="28575" cap="rnd">
        <a:solidFill>
          <a:srgbClr val="FFFFFF"/>
        </a:solidFill>
        <a:round/>
      </a:ln>
    </cs:spPr>
  </cs:dataPointLine>
  <cs:dataPointMarker>
    <cs:lnRef idx="0">
      <cs:styleClr val="auto"/>
    </cs:lnRef>
    <cs:fillRef idx="1">
      <cs:styleClr val="auto"/>
    </cs:fillRef>
    <cs:effectRef idx="0"/>
    <cs:fontRef idx="minor">
      <a:srgbClr val="000000"/>
    </cs:fontRef>
    <cs:spPr>
      <a:ln w="9525">
        <a:solidFill>
          <a:srgbClr val="FFFFFF"/>
        </a:solidFill>
      </a:ln>
    </cs:spPr>
  </cs:dataPointMarker>
  <cs:dataPointMarkerLayout symbol="circle" size="5"/>
  <cs:dataPointWireframe>
    <cs:lnRef idx="0">
      <cs:styleClr val="auto"/>
    </cs:lnRef>
    <cs:fillRef idx="0"/>
    <cs:effectRef idx="0"/>
    <cs:fontRef idx="minor">
      <a:srgbClr val="000000"/>
    </cs:fontRef>
    <cs:spPr>
      <a:ln w="9525" cap="rnd">
        <a:solidFill>
          <a:srgbClr val="FFFFFF"/>
        </a:solidFill>
        <a:round/>
      </a:ln>
    </cs:spPr>
  </cs:dataPointWireframe>
  <cs:dataTable>
    <cs:lnRef idx="0"/>
    <cs:fillRef idx="0"/>
    <cs:effectRef idx="0"/>
    <cs:fontRef idx="minor">
      <a:srgbClr val="595959">
        <a:lumMod val="65000"/>
        <a:lumOff val="35000"/>
      </a:srgbClr>
    </cs:fontRef>
    <cs:spPr>
      <a:noFill/>
      <a:ln w="9525" cap="flat" cmpd="sng" algn="ctr">
        <a:solidFill>
          <a:srgbClr val="D9D9D9">
            <a:lumMod val="15000"/>
            <a:lumOff val="85000"/>
          </a:srgbClr>
        </a:solidFill>
        <a:round/>
      </a:ln>
    </cs:spPr>
    <cs:defRPr sz="900" kern="1200"/>
  </cs:dataTable>
  <cs:downBar>
    <cs:lnRef idx="0"/>
    <cs:fillRef idx="0"/>
    <cs:effectRef idx="0"/>
    <cs:fontRef idx="minor">
      <a:srgbClr val="000000"/>
    </cs:fontRef>
    <cs:spPr>
      <a:solidFill>
        <a:srgbClr val="404040">
          <a:lumMod val="75000"/>
          <a:lumOff val="25000"/>
        </a:srgbClr>
      </a:solidFill>
      <a:ln w="9525" cap="flat" cmpd="sng" algn="ctr">
        <a:solidFill>
          <a:srgbClr val="595959">
            <a:lumMod val="65000"/>
            <a:lumOff val="35000"/>
          </a:srgbClr>
        </a:solidFill>
        <a:round/>
      </a:ln>
    </cs:spPr>
  </cs:downBar>
  <cs:dropLine>
    <cs:lnRef idx="0"/>
    <cs:fillRef idx="0"/>
    <cs:effectRef idx="0"/>
    <cs:fontRef idx="minor">
      <a:srgbClr val="000000"/>
    </cs:fontRef>
    <cs:spPr>
      <a:ln w="9525" cap="flat" cmpd="sng" algn="ctr">
        <a:solidFill>
          <a:srgbClr val="A6A6A6">
            <a:lumMod val="35000"/>
            <a:lumOff val="65000"/>
          </a:srgbClr>
        </a:solidFill>
        <a:round/>
      </a:ln>
    </cs:spPr>
  </cs:dropLine>
  <cs:errorBar>
    <cs:lnRef idx="0"/>
    <cs:fillRef idx="0"/>
    <cs:effectRef idx="0"/>
    <cs:fontRef idx="minor">
      <a:srgbClr val="000000"/>
    </cs:fontRef>
    <cs:spPr>
      <a:ln w="9525" cap="flat" cmpd="sng" algn="ctr">
        <a:solidFill>
          <a:srgbClr val="595959">
            <a:lumMod val="65000"/>
            <a:lumOff val="35000"/>
          </a:srgbClr>
        </a:solidFill>
        <a:round/>
      </a:ln>
    </cs:spPr>
  </cs:errorBar>
  <cs:floor>
    <cs:lnRef idx="0"/>
    <cs:fillRef idx="0"/>
    <cs:effectRef idx="0"/>
    <cs:fontRef idx="minor">
      <a:srgbClr val="000000"/>
    </cs:fontRef>
    <cs:spPr>
      <a:noFill/>
      <a:ln>
        <a:noFill/>
      </a:ln>
    </cs:spPr>
  </cs:floor>
  <cs:gridlineMajor>
    <cs:lnRef idx="0"/>
    <cs:fillRef idx="0"/>
    <cs:effectRef idx="0"/>
    <cs:fontRef idx="minor">
      <a:srgbClr val="000000"/>
    </cs:fontRef>
    <cs:spPr>
      <a:ln w="9525" cap="flat" cmpd="sng" algn="ctr">
        <a:solidFill>
          <a:srgbClr val="D9D9D9">
            <a:lumMod val="15000"/>
            <a:lumOff val="85000"/>
          </a:srgbClr>
        </a:solidFill>
        <a:round/>
      </a:ln>
    </cs:spPr>
  </cs:gridlineMajor>
  <cs:gridlineMinor>
    <cs:lnRef idx="0"/>
    <cs:fillRef idx="0"/>
    <cs:effectRef idx="0"/>
    <cs:fontRef idx="minor">
      <a:srgbClr val="000000"/>
    </cs:fontRef>
    <cs:spPr>
      <a:ln w="9525" cap="flat" cmpd="sng" algn="ctr">
        <a:solidFill>
          <a:srgbClr val="F2F2F2">
            <a:lumMod val="5000"/>
            <a:lumOff val="95000"/>
          </a:srgbClr>
        </a:solidFill>
        <a:round/>
      </a:ln>
    </cs:spPr>
  </cs:gridlineMinor>
  <cs:hiLoLine>
    <cs:lnRef idx="0"/>
    <cs:fillRef idx="0"/>
    <cs:effectRef idx="0"/>
    <cs:fontRef idx="minor">
      <a:srgbClr val="000000"/>
    </cs:fontRef>
    <cs:spPr>
      <a:ln w="9525" cap="flat" cmpd="sng" algn="ctr">
        <a:solidFill>
          <a:srgbClr val="808080">
            <a:lumMod val="50000"/>
            <a:lumOff val="50000"/>
          </a:srgbClr>
        </a:solidFill>
        <a:round/>
      </a:ln>
    </cs:spPr>
  </cs:hiLoLine>
  <cs:leaderLine>
    <cs:lnRef idx="0"/>
    <cs:fillRef idx="0"/>
    <cs:effectRef idx="0"/>
    <cs:fontRef idx="minor">
      <a:srgbClr val="000000"/>
    </cs:fontRef>
    <cs:spPr>
      <a:ln w="9525" cap="flat" cmpd="sng" algn="ctr">
        <a:solidFill>
          <a:srgbClr val="A6A6A6">
            <a:lumMod val="35000"/>
            <a:lumOff val="65000"/>
          </a:srgbClr>
        </a:solidFill>
        <a:round/>
      </a:ln>
    </cs:spPr>
  </cs:leaderLine>
  <cs:legend>
    <cs:lnRef idx="0"/>
    <cs:fillRef idx="0"/>
    <cs:effectRef idx="0"/>
    <cs:fontRef idx="minor">
      <a:srgbClr val="595959">
        <a:lumMod val="65000"/>
        <a:lumOff val="35000"/>
      </a:srgbClr>
    </cs:fontRef>
    <cs:defRPr sz="900" kern="1200"/>
  </cs:legend>
  <cs:plotArea mods="allowNoFillOverride allowNoLineOverride">
    <cs:lnRef idx="0"/>
    <cs:fillRef idx="0"/>
    <cs:effectRef idx="0"/>
    <cs:fontRef idx="minor">
      <a:srgbClr val="000000"/>
    </cs:fontRef>
  </cs:plotArea>
  <cs:plotArea3D mods="allowNoFillOverride allowNoLineOverride">
    <cs:lnRef idx="0"/>
    <cs:fillRef idx="0"/>
    <cs:effectRef idx="0"/>
    <cs:fontRef idx="minor">
      <a:srgbClr val="000000"/>
    </cs:fontRef>
  </cs:plotArea3D>
  <cs:seriesAxis>
    <cs:lnRef idx="0"/>
    <cs:fillRef idx="0"/>
    <cs:effectRef idx="0"/>
    <cs:fontRef idx="minor">
      <a:srgbClr val="595959">
        <a:lumMod val="65000"/>
        <a:lumOff val="35000"/>
      </a:srgbClr>
    </cs:fontRef>
    <cs:defRPr sz="900" kern="1200"/>
  </cs:seriesAxis>
  <cs:seriesLine>
    <cs:lnRef idx="0"/>
    <cs:fillRef idx="0"/>
    <cs:effectRef idx="0"/>
    <cs:fontRef idx="minor">
      <a:srgbClr val="000000"/>
    </cs:fontRef>
    <cs:spPr>
      <a:ln w="9525" cap="flat" cmpd="sng" algn="ctr">
        <a:solidFill>
          <a:srgbClr val="A6A6A6">
            <a:lumMod val="35000"/>
            <a:lumOff val="65000"/>
          </a:srgbClr>
        </a:solidFill>
        <a:round/>
      </a:ln>
    </cs:spPr>
  </cs:seriesLine>
  <cs:title>
    <cs:lnRef idx="0"/>
    <cs:fillRef idx="0"/>
    <cs:effectRef idx="0"/>
    <cs:fontRef idx="minor">
      <a:srgbClr val="595959">
        <a:lumMod val="65000"/>
        <a:lumOff val="35000"/>
      </a:srgbClr>
    </cs:fontRef>
    <cs:defRPr sz="1400" b="0" kern="1200" spc="0" baseline="0"/>
  </cs:title>
  <cs:trendline>
    <cs:lnRef idx="0">
      <cs:styleClr val="auto"/>
    </cs:lnRef>
    <cs:fillRef idx="0"/>
    <cs:effectRef idx="0"/>
    <cs:fontRef idx="minor">
      <a:srgbClr val="000000"/>
    </cs:fontRef>
    <cs:spPr>
      <a:ln w="19050" cap="rnd">
        <a:solidFill>
          <a:srgbClr val="FFFFFF"/>
        </a:solidFill>
        <a:prstDash val="sysDot"/>
      </a:ln>
    </cs:spPr>
  </cs:trendline>
  <cs:trendlineLabel>
    <cs:lnRef idx="0"/>
    <cs:fillRef idx="0"/>
    <cs:effectRef idx="0"/>
    <cs:fontRef idx="minor">
      <a:srgbClr val="595959">
        <a:lumMod val="65000"/>
        <a:lumOff val="35000"/>
      </a:srgbClr>
    </cs:fontRef>
    <cs:defRPr sz="900" kern="1200"/>
  </cs:trendlineLabel>
  <cs:upBar>
    <cs:lnRef idx="0"/>
    <cs:fillRef idx="0"/>
    <cs:effectRef idx="0"/>
    <cs:fontRef idx="minor">
      <a:srgbClr val="000000"/>
    </cs:fontRef>
    <cs:spPr>
      <a:solidFill>
        <a:srgbClr val="FFFFFF"/>
      </a:solidFill>
      <a:ln w="9525" cap="flat" cmpd="sng" algn="ctr">
        <a:solidFill>
          <a:srgbClr val="595959">
            <a:lumMod val="65000"/>
            <a:lumOff val="35000"/>
          </a:srgbClr>
        </a:solidFill>
        <a:round/>
      </a:ln>
    </cs:spPr>
  </cs:upBar>
  <cs:valueAxis>
    <cs:lnRef idx="0"/>
    <cs:fillRef idx="0"/>
    <cs:effectRef idx="0"/>
    <cs:fontRef idx="minor">
      <a:srgbClr val="595959">
        <a:lumMod val="65000"/>
        <a:lumOff val="35000"/>
      </a:srgbClr>
    </cs:fontRef>
    <cs:defRPr sz="900" kern="1200"/>
  </cs:valueAxis>
  <cs:wall>
    <cs:lnRef idx="0"/>
    <cs:fillRef idx="0"/>
    <cs:effectRef idx="0"/>
    <cs:fontRef idx="minor">
      <a:srgbClr val="000000"/>
    </cs:fontRef>
    <cs:spPr>
      <a:noFill/>
      <a:ln>
        <a:noFill/>
      </a:ln>
    </cs:spPr>
  </cs:wall>
</cs:chartStyle>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3815</Words>
  <Characters>6095</Characters>
  <Lines>77</Lines>
  <Paragraphs>21</Paragraphs>
  <TotalTime>21</TotalTime>
  <ScaleCrop>false</ScaleCrop>
  <LinksUpToDate>false</LinksUpToDate>
  <CharactersWithSpaces>6114</CharactersWithSpaces>
  <Application>WPS Office_10.8.2.6666_F1E327BC-269C-435d-A152-05C5408002CA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2017-07-11T15:16:00Z</dcterms:created>
  <dc:creator>常程</dc:creator>
  <cp:lastModifiedBy>郑中华</cp:lastModifiedBy>
  <cp:lastPrinted>2020-08-07T11:39:00Z</cp:lastPrinted>
  <dcterms:modified xsi:type="dcterms:W3CDTF">2024-09-02T02:35:10Z</dcterms:modified>
  <dc:title>北京市财政局关于做好向市人大常委会报送2015年度市级部门决算（草案）</dc:title>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2052-10.8.2.6666</vt:lpwstr>
  </property>
  <property fmtid="{D5CDD505-2E9C-101B-9397-08002B2CF9AE}" pid="3" name="ICV">
    <vt:lpwstr>C53E0049DD7D4F56A956C4A3BA3D12CC_13</vt:lpwstr>
  </property>
</Properties>
</file>