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bookmarkStart w:id="0" w:name="_GoBack"/>
      <w:bookmarkEnd w:id="0"/>
    </w:p>
    <w:p>
      <w:pPr>
        <w:pStyle w:val="2"/>
        <w:jc w:val="center"/>
      </w:pPr>
    </w:p>
    <w:p>
      <w:pPr>
        <w:jc w:val="center"/>
        <w:rPr>
          <w:rFonts w:ascii="黑体" w:eastAsia="黑体"/>
          <w:sz w:val="52"/>
          <w:szCs w:val="52"/>
        </w:rPr>
      </w:pPr>
    </w:p>
    <w:p>
      <w:pPr>
        <w:jc w:val="center"/>
        <w:rPr>
          <w:rFonts w:ascii="黑体" w:eastAsia="黑体"/>
          <w:sz w:val="52"/>
          <w:szCs w:val="52"/>
        </w:rPr>
      </w:pPr>
    </w:p>
    <w:p>
      <w:pPr>
        <w:pStyle w:val="2"/>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1．主要</w:t>
      </w:r>
      <w:r>
        <w:rPr>
          <w:rFonts w:hint="eastAsia" w:ascii="仿宋_GB2312" w:eastAsia="仿宋_GB2312"/>
          <w:sz w:val="28"/>
          <w:szCs w:val="28"/>
          <w:highlight w:val="none"/>
          <w:lang w:eastAsia="zh-CN"/>
        </w:rPr>
        <w:t>职责</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北京市城乡结合部建设领导小组办公室（以下简称</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市城乡结合部建设办</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）是</w:t>
      </w:r>
      <w:r>
        <w:rPr>
          <w:rFonts w:hint="eastAsia" w:ascii="仿宋_GB2312" w:eastAsia="仿宋_GB2312"/>
          <w:sz w:val="28"/>
          <w:szCs w:val="28"/>
          <w:highlight w:val="none"/>
          <w:lang w:eastAsia="zh-CN"/>
        </w:rPr>
        <w:t>北京</w:t>
      </w:r>
      <w:r>
        <w:rPr>
          <w:rFonts w:hint="eastAsia" w:ascii="仿宋_GB2312" w:eastAsia="仿宋_GB2312"/>
          <w:sz w:val="28"/>
          <w:szCs w:val="28"/>
          <w:highlight w:val="none"/>
        </w:rPr>
        <w:t>市城乡结合部建设领导小组（以下简称</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领导小组</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）的办事机构，属市委、市政府正局级</w:t>
      </w:r>
      <w:r>
        <w:rPr>
          <w:rFonts w:hint="eastAsia" w:ascii="仿宋_GB2312" w:eastAsia="仿宋_GB2312"/>
          <w:sz w:val="28"/>
          <w:szCs w:val="28"/>
          <w:highlight w:val="none"/>
          <w:lang w:eastAsia="zh-CN"/>
        </w:rPr>
        <w:t>办事</w:t>
      </w:r>
      <w:r>
        <w:rPr>
          <w:rFonts w:hint="eastAsia" w:ascii="仿宋_GB2312" w:eastAsia="仿宋_GB2312"/>
          <w:sz w:val="28"/>
          <w:szCs w:val="28"/>
          <w:highlight w:val="none"/>
        </w:rPr>
        <w:t>机构，设在市规划自然资源委。</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市城乡结合部建设办主要职责为落实市委城市工作委员会和领导小组研究部署的工作；制定本市城乡结合部和绿隔地区建设年度任务计划；组织开展相关重大问题的政策研究并提出意见建议；协调督促有关方面落实领导小组的决定事项、工作部署和要求。</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机构</w:t>
      </w:r>
      <w:r>
        <w:rPr>
          <w:rFonts w:hint="eastAsia" w:ascii="仿宋_GB2312" w:eastAsia="仿宋_GB2312"/>
          <w:sz w:val="28"/>
          <w:szCs w:val="28"/>
          <w:highlight w:val="none"/>
          <w:lang w:eastAsia="zh-CN"/>
        </w:rPr>
        <w:t>设置</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lang w:eastAsia="zh-CN"/>
        </w:rPr>
        <w:t>领导班子设主任1名，副主任3名，机关内设综合处、法规处、规划处、投资处、建设处、督查处等6个处。</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13</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12</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年度收、支总计2278.26万元，比上年增加</w:t>
      </w:r>
      <w:r>
        <w:rPr>
          <w:rFonts w:hint="eastAsia" w:ascii="仿宋_GB2312" w:eastAsia="仿宋_GB2312"/>
          <w:sz w:val="28"/>
          <w:szCs w:val="28"/>
          <w:highlight w:val="none"/>
          <w:lang w:val="en-US" w:eastAsia="zh-CN"/>
        </w:rPr>
        <w:t>592.42</w:t>
      </w:r>
      <w:r>
        <w:rPr>
          <w:rFonts w:hint="eastAsia" w:ascii="仿宋_GB2312" w:eastAsia="仿宋_GB2312"/>
          <w:sz w:val="28"/>
          <w:szCs w:val="28"/>
          <w:highlight w:val="none"/>
          <w:lang w:eastAsia="zh-CN"/>
        </w:rPr>
        <w:t>万元，增长</w:t>
      </w:r>
      <w:r>
        <w:rPr>
          <w:rFonts w:hint="eastAsia" w:ascii="仿宋_GB2312" w:eastAsia="仿宋_GB2312"/>
          <w:sz w:val="28"/>
          <w:szCs w:val="28"/>
          <w:highlight w:val="none"/>
          <w:lang w:val="en-US" w:eastAsia="zh-CN"/>
        </w:rPr>
        <w:t>35.14</w:t>
      </w:r>
      <w:r>
        <w:rPr>
          <w:rFonts w:hint="eastAsia" w:ascii="仿宋_GB2312" w:eastAsia="仿宋_GB2312"/>
          <w:sz w:val="28"/>
          <w:szCs w:val="28"/>
          <w:highlight w:val="none"/>
          <w:lang w:eastAsia="zh-CN"/>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highlight w:val="none"/>
          <w:lang w:eastAsia="zh-CN"/>
        </w:rPr>
      </w:pPr>
      <w:r>
        <w:rPr>
          <w:rFonts w:hint="eastAsia" w:ascii="仿宋_GB2312" w:eastAsia="仿宋_GB2312"/>
          <w:sz w:val="28"/>
          <w:szCs w:val="28"/>
          <w:highlight w:val="none"/>
          <w:lang w:eastAsia="zh-CN"/>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lang w:eastAsia="zh-CN"/>
        </w:rPr>
        <w:t>年度本年收入合计2242.07万元，比上年增加695.7万元，增长44.99%。</w:t>
      </w:r>
    </w:p>
    <w:p>
      <w:pPr>
        <w:tabs>
          <w:tab w:val="center" w:pos="6979"/>
        </w:tabs>
        <w:spacing w:line="580" w:lineRule="exact"/>
        <w:ind w:firstLine="560" w:firstLineChars="200"/>
        <w:rPr>
          <w:rFonts w:hint="eastAsia"/>
          <w:highlight w:val="none"/>
        </w:rPr>
      </w:pPr>
      <w:r>
        <w:rPr>
          <w:rFonts w:hint="eastAsia" w:ascii="仿宋_GB2312" w:eastAsia="仿宋_GB2312"/>
          <w:sz w:val="28"/>
          <w:szCs w:val="28"/>
        </w:rPr>
        <w:t>1.财政拨款收入</w:t>
      </w:r>
      <w:r>
        <w:rPr>
          <w:rFonts w:ascii="仿宋_GB2312" w:eastAsia="仿宋_GB2312"/>
          <w:sz w:val="28"/>
          <w:szCs w:val="28"/>
        </w:rPr>
        <w:t>2242.04</w:t>
      </w:r>
      <w:r>
        <w:rPr>
          <w:rFonts w:hint="eastAsia" w:ascii="仿宋_GB2312" w:eastAsia="仿宋_GB2312"/>
          <w:sz w:val="28"/>
          <w:szCs w:val="28"/>
        </w:rPr>
        <w:t>万元，占收入合计的</w:t>
      </w:r>
      <w:r>
        <w:rPr>
          <w:rFonts w:hint="eastAsia" w:ascii="仿宋_GB2312" w:eastAsia="仿宋_GB2312"/>
          <w:sz w:val="28"/>
          <w:szCs w:val="28"/>
          <w:lang w:val="en-US" w:eastAsia="zh-CN"/>
        </w:rPr>
        <w:t>99.</w:t>
      </w:r>
      <w:r>
        <w:rPr>
          <w:rFonts w:hint="eastAsia" w:ascii="仿宋_GB2312" w:eastAsia="仿宋_GB2312"/>
          <w:sz w:val="28"/>
          <w:szCs w:val="28"/>
          <w:highlight w:val="none"/>
          <w:lang w:val="en-US" w:eastAsia="zh-CN"/>
        </w:rPr>
        <w:t>99</w:t>
      </w:r>
      <w:r>
        <w:rPr>
          <w:rFonts w:hint="eastAsia" w:ascii="仿宋_GB2312" w:eastAsia="仿宋_GB2312"/>
          <w:sz w:val="28"/>
          <w:szCs w:val="28"/>
          <w:highlight w:val="none"/>
        </w:rPr>
        <w:t>%。其中：一般公共预算财政拨款收入</w:t>
      </w:r>
      <w:r>
        <w:rPr>
          <w:rFonts w:ascii="仿宋_GB2312" w:eastAsia="仿宋_GB2312"/>
          <w:sz w:val="28"/>
          <w:szCs w:val="28"/>
          <w:highlight w:val="none"/>
        </w:rPr>
        <w:t>2242.04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100.00</w:t>
      </w:r>
      <w:r>
        <w:rPr>
          <w:rFonts w:hint="eastAsia" w:ascii="仿宋_GB2312" w:eastAsia="仿宋_GB2312"/>
          <w:sz w:val="28"/>
          <w:szCs w:val="28"/>
          <w:highlight w:val="none"/>
        </w:rPr>
        <w:t>%；政府性基金预算财政拨款收入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%；国有资本经营预算财政拨款收入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0.03</w:t>
      </w:r>
      <w:r>
        <w:rPr>
          <w:rFonts w:hint="eastAsia" w:ascii="仿宋_GB2312" w:eastAsia="仿宋_GB2312"/>
          <w:sz w:val="28"/>
          <w:szCs w:val="28"/>
          <w:highlight w:val="none"/>
        </w:rPr>
        <w:t>万元，占收入合计的</w:t>
      </w:r>
      <w:r>
        <w:rPr>
          <w:rFonts w:ascii="仿宋_GB2312" w:eastAsia="仿宋_GB2312"/>
          <w:sz w:val="28"/>
          <w:szCs w:val="28"/>
          <w:highlight w:val="none"/>
        </w:rPr>
        <w:t>0</w:t>
      </w:r>
      <w:r>
        <w:rPr>
          <w:rFonts w:hint="eastAsia" w:ascii="仿宋_GB2312" w:eastAsia="仿宋_GB2312"/>
          <w:sz w:val="28"/>
          <w:szCs w:val="28"/>
          <w:highlight w:val="none"/>
          <w:lang w:val="en-US" w:eastAsia="zh-CN"/>
        </w:rPr>
        <w:t>.01</w:t>
      </w:r>
      <w:r>
        <w:rPr>
          <w:rFonts w:hint="eastAsia" w:ascii="仿宋_GB2312" w:eastAsia="仿宋_GB2312"/>
          <w:sz w:val="28"/>
          <w:szCs w:val="28"/>
          <w:highlight w:val="none"/>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572000" cy="2743200"/>
            <wp:effectExtent l="4445" t="4445" r="14605" b="14605"/>
            <wp:docPr id="1" name="图表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年度本年支出合计2265.81万元，比上年增</w:t>
      </w:r>
      <w:r>
        <w:rPr>
          <w:rFonts w:hint="eastAsia" w:ascii="仿宋_GB2312" w:eastAsia="仿宋_GB2312"/>
          <w:sz w:val="28"/>
          <w:szCs w:val="28"/>
          <w:lang w:eastAsia="zh-CN"/>
        </w:rPr>
        <w:t>加</w:t>
      </w:r>
      <w:r>
        <w:rPr>
          <w:rFonts w:hint="eastAsia" w:ascii="仿宋_GB2312" w:eastAsia="仿宋_GB2312"/>
          <w:sz w:val="28"/>
          <w:szCs w:val="28"/>
        </w:rPr>
        <w:t>635.33万元，增</w:t>
      </w:r>
      <w:r>
        <w:rPr>
          <w:rFonts w:hint="eastAsia" w:ascii="仿宋_GB2312" w:eastAsia="仿宋_GB2312"/>
          <w:sz w:val="28"/>
          <w:szCs w:val="28"/>
          <w:lang w:eastAsia="zh-CN"/>
        </w:rPr>
        <w:t>长</w:t>
      </w:r>
      <w:r>
        <w:rPr>
          <w:rFonts w:hint="eastAsia" w:ascii="仿宋_GB2312" w:eastAsia="仿宋_GB2312"/>
          <w:sz w:val="28"/>
          <w:szCs w:val="28"/>
        </w:rPr>
        <w:t>38.97%，其中：基本支出588.2万元，占支出合计的25.9</w:t>
      </w:r>
      <w:r>
        <w:rPr>
          <w:rFonts w:hint="eastAsia" w:ascii="仿宋_GB2312" w:eastAsia="仿宋_GB2312"/>
          <w:sz w:val="28"/>
          <w:szCs w:val="28"/>
          <w:lang w:val="en-US" w:eastAsia="zh-CN"/>
        </w:rPr>
        <w:t>6</w:t>
      </w:r>
      <w:r>
        <w:rPr>
          <w:rFonts w:hint="eastAsia" w:ascii="仿宋_GB2312" w:eastAsia="仿宋_GB2312"/>
          <w:sz w:val="28"/>
          <w:szCs w:val="28"/>
        </w:rPr>
        <w:t>%；项目支出1677.61万元，占支出合计的74.04%;上缴上级支出0万元，占支出合计的0%；经营支出0万元，占支出合计的0%；对附属单位补助支出0万元，占支出合计的0%。</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napToGrid w:val="0"/>
        <w:spacing w:line="520" w:lineRule="exact"/>
        <w:ind w:firstLine="560" w:firstLineChars="200"/>
        <w:rPr>
          <w:rFonts w:hint="default" w:ascii="仿宋_GB2312" w:hAnsi="仿宋" w:eastAsia="仿宋_GB2312"/>
          <w:sz w:val="32"/>
          <w:szCs w:val="32"/>
          <w:highlight w:val="yellow"/>
          <w:u w:val="none"/>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年度财政拨款收、支总计2266.12万元，比上年增加593.45万元，增长35.48%。主要原因：</w:t>
      </w:r>
      <w:r>
        <w:rPr>
          <w:rFonts w:hint="eastAsia" w:ascii="仿宋_GB2312" w:eastAsia="仿宋_GB2312"/>
          <w:sz w:val="28"/>
          <w:szCs w:val="28"/>
          <w:lang w:eastAsia="zh-CN"/>
        </w:rPr>
        <w:t>本年度增加二绿规划宣传服务项目等。</w:t>
      </w:r>
      <w:r>
        <w:rPr>
          <w:rFonts w:hint="eastAsia" w:ascii="仿宋_GB2312" w:eastAsia="仿宋_GB2312"/>
          <w:sz w:val="28"/>
          <w:szCs w:val="28"/>
          <w:lang w:val="en-US" w:eastAsia="zh-CN"/>
        </w:rPr>
        <w:tab/>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2253.95</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rPr>
        <w:tab/>
      </w:r>
      <w:r>
        <w:rPr>
          <w:rFonts w:hint="eastAsia" w:ascii="仿宋_GB2312" w:eastAsia="仿宋_GB2312"/>
          <w:sz w:val="28"/>
          <w:szCs w:val="28"/>
        </w:rPr>
        <w:t>53</w:t>
      </w:r>
      <w:r>
        <w:rPr>
          <w:rFonts w:hint="eastAsia" w:ascii="仿宋_GB2312" w:eastAsia="仿宋_GB2312"/>
          <w:sz w:val="28"/>
          <w:szCs w:val="28"/>
          <w:lang w:val="en-US" w:eastAsia="zh-CN"/>
        </w:rPr>
        <w:t>.</w:t>
      </w:r>
      <w:r>
        <w:rPr>
          <w:rFonts w:hint="eastAsia" w:ascii="仿宋_GB2312" w:eastAsia="仿宋_GB2312"/>
          <w:sz w:val="28"/>
          <w:szCs w:val="28"/>
        </w:rPr>
        <w:t>80万元，占本年财政拨</w:t>
      </w:r>
      <w:r>
        <w:rPr>
          <w:rFonts w:hint="eastAsia" w:ascii="仿宋_GB2312" w:eastAsia="仿宋_GB2312"/>
          <w:sz w:val="28"/>
          <w:szCs w:val="28"/>
          <w:highlight w:val="none"/>
        </w:rPr>
        <w:t>款支出2.39%；卫生健康支出25</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19</w:t>
      </w:r>
      <w:r>
        <w:rPr>
          <w:rFonts w:hint="eastAsia" w:ascii="仿宋_GB2312" w:eastAsia="仿宋_GB2312"/>
          <w:sz w:val="28"/>
          <w:szCs w:val="28"/>
          <w:highlight w:val="none"/>
          <w:lang w:eastAsia="zh-CN"/>
        </w:rPr>
        <w:t>万元，</w:t>
      </w:r>
      <w:r>
        <w:rPr>
          <w:rFonts w:hint="eastAsia" w:ascii="仿宋_GB2312" w:eastAsia="仿宋_GB2312"/>
          <w:sz w:val="28"/>
          <w:szCs w:val="28"/>
          <w:highlight w:val="none"/>
        </w:rPr>
        <w:t>占本年财政拨款支出1.12%；自然资源海洋气象等支出2174.96</w:t>
      </w:r>
      <w:r>
        <w:rPr>
          <w:rFonts w:hint="eastAsia" w:ascii="仿宋_GB2312" w:eastAsia="仿宋_GB2312"/>
          <w:sz w:val="28"/>
          <w:szCs w:val="28"/>
          <w:highlight w:val="none"/>
          <w:lang w:eastAsia="zh-CN"/>
        </w:rPr>
        <w:t>万元，</w:t>
      </w:r>
      <w:r>
        <w:rPr>
          <w:rFonts w:hint="eastAsia" w:ascii="仿宋_GB2312" w:eastAsia="仿宋_GB2312"/>
          <w:sz w:val="28"/>
          <w:szCs w:val="28"/>
          <w:highlight w:val="none"/>
        </w:rPr>
        <w:t>占本年财政拨款支出96.50%</w:t>
      </w:r>
      <w:r>
        <w:rPr>
          <w:rFonts w:hint="eastAsia" w:ascii="仿宋_GB2312" w:eastAsia="仿宋_GB2312"/>
          <w:sz w:val="28"/>
          <w:szCs w:val="28"/>
          <w:highlight w:val="none"/>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年度决算53</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80万元，比202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2.12</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3.94</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“行政事业单位养老支出”（款）202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53.80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年度年初预算减少</w:t>
      </w:r>
      <w:r>
        <w:rPr>
          <w:rFonts w:hint="eastAsia" w:ascii="仿宋_GB2312" w:eastAsia="仿宋_GB2312"/>
          <w:sz w:val="28"/>
          <w:szCs w:val="28"/>
          <w:highlight w:val="none"/>
          <w:lang w:val="en-US" w:eastAsia="zh-CN"/>
        </w:rPr>
        <w:t>2.12</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3.94</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社保基数浮动</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2、“卫生健康支出”(类)202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25.19</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5.37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27.09</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“行政事业单位医疗”（款）202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年度决算25</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19万元，比202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5.37</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27.09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社保基数浮动</w:t>
      </w:r>
      <w:r>
        <w:rPr>
          <w:rFonts w:hint="eastAsia" w:ascii="仿宋_GB2312" w:eastAsia="仿宋_GB2312"/>
          <w:sz w:val="28"/>
          <w:szCs w:val="28"/>
          <w:highlight w:val="none"/>
        </w:rPr>
        <w:t>。</w:t>
      </w:r>
    </w:p>
    <w:p>
      <w:pPr>
        <w:spacing w:line="580" w:lineRule="exact"/>
        <w:ind w:firstLine="560" w:firstLineChars="200"/>
        <w:rPr>
          <w:rFonts w:hint="default" w:ascii="仿宋_GB2312" w:eastAsia="仿宋_GB2312"/>
          <w:sz w:val="28"/>
          <w:szCs w:val="28"/>
          <w:highlight w:val="none"/>
          <w:lang w:val="en-US"/>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、“自然资源海洋气象等支出”(类)202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年度决算2174.96万元，比202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774.42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55.29</w:t>
      </w:r>
      <w:r>
        <w:rPr>
          <w:rFonts w:hint="eastAsia" w:ascii="仿宋_GB2312" w:eastAsia="仿宋_GB2312"/>
          <w:sz w:val="28"/>
          <w:szCs w:val="28"/>
          <w:highlight w:val="none"/>
        </w:rPr>
        <w:t>%。其中：</w:t>
      </w:r>
      <w:r>
        <w:rPr>
          <w:rFonts w:hint="default" w:ascii="仿宋_GB2312" w:eastAsia="仿宋_GB2312"/>
          <w:sz w:val="28"/>
          <w:szCs w:val="28"/>
          <w:highlight w:val="none"/>
          <w:lang w:val="en-US"/>
        </w:rPr>
        <w:tab/>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“自然资源事务”（款）202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年度决算2174</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9</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774.42</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55.29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根据我办工作规划，年中追加二绿规划宣传服务等项目</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黑体" w:eastAsia="黑体"/>
          <w:b/>
          <w:sz w:val="28"/>
          <w:szCs w:val="28"/>
          <w:highlight w:val="none"/>
        </w:rPr>
        <w:t>五、政府性基金预算财政拨款支出决算情况说明</w:t>
      </w:r>
    </w:p>
    <w:p>
      <w:pPr>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本单位无此项经费</w:t>
      </w:r>
      <w:r>
        <w:rPr>
          <w:rFonts w:hint="eastAsia" w:ascii="仿宋_GB2312" w:eastAsia="仿宋_GB2312"/>
          <w:sz w:val="28"/>
          <w:szCs w:val="28"/>
          <w:highlight w:val="none"/>
          <w:lang w:eastAsia="zh-CN"/>
        </w:rPr>
        <w:t>。</w:t>
      </w:r>
    </w:p>
    <w:p>
      <w:pPr>
        <w:spacing w:line="580" w:lineRule="exact"/>
        <w:ind w:firstLine="560" w:firstLineChars="200"/>
        <w:rPr>
          <w:rFonts w:hint="eastAsia" w:ascii="黑体" w:eastAsia="黑体"/>
          <w:b/>
          <w:sz w:val="28"/>
          <w:szCs w:val="28"/>
          <w:highlight w:val="none"/>
        </w:rPr>
      </w:pPr>
      <w:r>
        <w:rPr>
          <w:rFonts w:hint="eastAsia" w:ascii="黑体" w:eastAsia="黑体"/>
          <w:b/>
          <w:sz w:val="28"/>
          <w:szCs w:val="28"/>
          <w:highlight w:val="none"/>
        </w:rPr>
        <w:t>六、国有资本经营预算财</w:t>
      </w:r>
      <w:r>
        <w:rPr>
          <w:rFonts w:ascii="黑体" w:eastAsia="黑体"/>
          <w:b/>
          <w:sz w:val="28"/>
          <w:szCs w:val="28"/>
          <w:highlight w:val="none"/>
        </w:rPr>
        <w:t>政拨款</w:t>
      </w:r>
      <w:r>
        <w:rPr>
          <w:rFonts w:hint="eastAsia" w:ascii="黑体" w:eastAsia="黑体"/>
          <w:b/>
          <w:sz w:val="28"/>
          <w:szCs w:val="28"/>
          <w:highlight w:val="none"/>
        </w:rPr>
        <w:t>收支情况</w:t>
      </w:r>
    </w:p>
    <w:p>
      <w:pPr>
        <w:pStyle w:val="4"/>
        <w:ind w:firstLine="560" w:firstLineChars="200"/>
        <w:rPr>
          <w:rFonts w:ascii="仿宋_GB2312" w:eastAsia="仿宋_GB2312"/>
          <w:sz w:val="28"/>
          <w:szCs w:val="28"/>
          <w:highlight w:val="none"/>
        </w:rPr>
      </w:pPr>
      <w:r>
        <w:rPr>
          <w:rFonts w:hint="eastAsia" w:ascii="仿宋_GB2312" w:hAnsi="Times New Roman" w:eastAsia="仿宋_GB2312" w:cs="Times New Roman"/>
          <w:kern w:val="2"/>
          <w:sz w:val="28"/>
          <w:szCs w:val="28"/>
          <w:highlight w:val="none"/>
          <w:lang w:val="en-US" w:eastAsia="zh-CN" w:bidi="ar-SA"/>
        </w:rPr>
        <w:t>本单位无此项经费</w:t>
      </w:r>
      <w:r>
        <w:rPr>
          <w:rFonts w:hint="eastAsia" w:ascii="仿宋_GB2312" w:eastAsia="仿宋_GB2312"/>
          <w:sz w:val="28"/>
          <w:szCs w:val="28"/>
          <w:highlight w:val="none"/>
        </w:rPr>
        <w:t>。</w:t>
      </w:r>
    </w:p>
    <w:p>
      <w:pPr>
        <w:spacing w:line="580" w:lineRule="exact"/>
        <w:ind w:firstLine="548" w:firstLineChars="196"/>
        <w:rPr>
          <w:rFonts w:hint="eastAsia" w:ascii="黑体" w:eastAsia="黑体"/>
          <w:sz w:val="28"/>
          <w:szCs w:val="28"/>
          <w:highlight w:val="none"/>
        </w:rPr>
      </w:pPr>
      <w:r>
        <w:rPr>
          <w:rFonts w:hint="eastAsia" w:ascii="黑体" w:eastAsia="黑体"/>
          <w:b/>
          <w:sz w:val="28"/>
          <w:szCs w:val="28"/>
          <w:highlight w:val="none"/>
        </w:rPr>
        <w:t>七、财政拨款基本支出决算情况说明</w:t>
      </w:r>
    </w:p>
    <w:p>
      <w:pPr>
        <w:tabs>
          <w:tab w:val="center" w:pos="6979"/>
        </w:tabs>
        <w:spacing w:line="580" w:lineRule="exact"/>
        <w:ind w:firstLine="548" w:firstLineChars="196"/>
        <w:rPr>
          <w:rFonts w:hint="eastAsia" w:ascii="黑体" w:eastAsia="黑体"/>
          <w:b/>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年度使用一般公共预算财政拨款安排基本支出</w:t>
      </w:r>
      <w:r>
        <w:rPr>
          <w:rFonts w:ascii="仿宋_GB2312" w:eastAsia="仿宋_GB2312"/>
          <w:sz w:val="28"/>
          <w:szCs w:val="28"/>
          <w:highlight w:val="none"/>
        </w:rPr>
        <w:t>588.2</w:t>
      </w:r>
      <w:r>
        <w:rPr>
          <w:rFonts w:hint="eastAsia" w:ascii="仿宋_GB2312" w:eastAsia="仿宋_GB2312"/>
          <w:sz w:val="28"/>
          <w:szCs w:val="28"/>
          <w:highlight w:val="none"/>
        </w:rPr>
        <w:t>万元，使用政府性基金财政拨款安排基本支出</w:t>
      </w:r>
      <w:r>
        <w:rPr>
          <w:rFonts w:ascii="仿宋_GB2312" w:eastAsia="仿宋_GB2312"/>
          <w:sz w:val="28"/>
          <w:szCs w:val="28"/>
          <w:highlight w:val="none"/>
        </w:rPr>
        <w:t>0</w:t>
      </w:r>
      <w:r>
        <w:rPr>
          <w:rFonts w:hint="eastAsia" w:ascii="仿宋_GB2312" w:eastAsia="仿宋_GB2312"/>
          <w:sz w:val="28"/>
          <w:szCs w:val="28"/>
          <w:highlight w:val="none"/>
        </w:rPr>
        <w:t>万元，其中：（1）工资福利支出包括基本工资</w:t>
      </w:r>
      <w:r>
        <w:rPr>
          <w:rFonts w:ascii="仿宋_GB2312" w:eastAsia="仿宋_GB2312"/>
          <w:sz w:val="28"/>
          <w:szCs w:val="28"/>
          <w:highlight w:val="none"/>
        </w:rPr>
        <w:t>、津贴补贴、奖金、伙食补助费、绩效工资、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社会保障缴费、其他工资福利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离休费、退休费、抚恤金、生活补助、</w:t>
      </w:r>
      <w:r>
        <w:rPr>
          <w:rFonts w:hint="eastAsia" w:ascii="仿宋_GB2312" w:eastAsia="仿宋_GB2312"/>
          <w:sz w:val="28"/>
          <w:szCs w:val="28"/>
          <w:highlight w:val="none"/>
        </w:rPr>
        <w:t>救济费</w:t>
      </w:r>
      <w:r>
        <w:rPr>
          <w:rFonts w:ascii="仿宋_GB2312" w:eastAsia="仿宋_GB2312"/>
          <w:sz w:val="28"/>
          <w:szCs w:val="28"/>
          <w:highlight w:val="none"/>
        </w:rPr>
        <w:t>、医疗费</w:t>
      </w:r>
      <w:r>
        <w:rPr>
          <w:rFonts w:hint="eastAsia" w:ascii="仿宋_GB2312" w:eastAsia="仿宋_GB2312"/>
          <w:sz w:val="28"/>
          <w:szCs w:val="28"/>
          <w:highlight w:val="none"/>
        </w:rPr>
        <w:t>补助</w:t>
      </w:r>
      <w:r>
        <w:rPr>
          <w:rFonts w:ascii="仿宋_GB2312" w:eastAsia="仿宋_GB2312"/>
          <w:sz w:val="28"/>
          <w:szCs w:val="28"/>
          <w:highlight w:val="none"/>
        </w:rPr>
        <w:t>、助学金、奖励金</w:t>
      </w:r>
      <w:r>
        <w:rPr>
          <w:rFonts w:hint="eastAsia" w:ascii="仿宋_GB2312" w:eastAsia="仿宋_GB2312"/>
          <w:sz w:val="28"/>
          <w:szCs w:val="28"/>
          <w:highlight w:val="none"/>
        </w:rPr>
        <w:t>、</w:t>
      </w:r>
      <w:r>
        <w:rPr>
          <w:rFonts w:ascii="仿宋_GB2312" w:eastAsia="仿宋_GB2312"/>
          <w:sz w:val="28"/>
          <w:szCs w:val="28"/>
          <w:highlight w:val="none"/>
        </w:rPr>
        <w:t>其他对个人和家庭的补助</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。（4）其他资本性支出包括</w:t>
      </w:r>
      <w:r>
        <w:rPr>
          <w:rFonts w:ascii="仿宋_GB2312" w:eastAsia="仿宋_GB2312"/>
          <w:sz w:val="28"/>
          <w:szCs w:val="28"/>
          <w:highlight w:val="none"/>
        </w:rPr>
        <w:t>办公设备购置、专用设备购置</w:t>
      </w:r>
      <w:r>
        <w:rPr>
          <w:rFonts w:hint="eastAsia" w:ascii="仿宋_GB2312" w:eastAsia="仿宋_GB2312"/>
          <w:sz w:val="28"/>
          <w:szCs w:val="28"/>
          <w:highlight w:val="none"/>
        </w:rPr>
        <w:t>等</w:t>
      </w:r>
      <w:r>
        <w:rPr>
          <w:rFonts w:ascii="仿宋_GB2312" w:eastAsia="仿宋_GB2312"/>
          <w:sz w:val="28"/>
          <w:szCs w:val="28"/>
          <w:highlight w:val="none"/>
        </w:rPr>
        <w:t>。</w:t>
      </w:r>
    </w:p>
    <w:p>
      <w:pPr>
        <w:autoSpaceDE w:val="0"/>
        <w:autoSpaceDN w:val="0"/>
        <w:adjustRightInd w:val="0"/>
        <w:spacing w:line="580" w:lineRule="exact"/>
        <w:jc w:val="center"/>
        <w:rPr>
          <w:rFonts w:hint="eastAsia" w:ascii="宋体" w:hAnsi="宋体" w:cs="宋体"/>
          <w:b/>
          <w:spacing w:val="40"/>
          <w:kern w:val="0"/>
          <w:sz w:val="32"/>
          <w:szCs w:val="32"/>
          <w:highlight w:val="none"/>
        </w:rPr>
      </w:pPr>
      <w:r>
        <w:rPr>
          <w:rFonts w:ascii="仿宋_GB2312" w:eastAsia="仿宋_GB2312"/>
          <w:sz w:val="28"/>
          <w:szCs w:val="28"/>
          <w:highlight w:val="none"/>
        </w:rPr>
        <w:br w:type="page"/>
      </w:r>
      <w:r>
        <w:rPr>
          <w:rFonts w:hint="eastAsia" w:ascii="宋体" w:hAnsi="宋体" w:cs="宋体"/>
          <w:b/>
          <w:bCs/>
          <w:spacing w:val="40"/>
          <w:kern w:val="0"/>
          <w:sz w:val="32"/>
          <w:szCs w:val="32"/>
          <w:highlight w:val="none"/>
        </w:rPr>
        <w:t>第三部分</w:t>
      </w:r>
      <w:r>
        <w:rPr>
          <w:rFonts w:hint="eastAsia" w:ascii="宋体" w:hAnsi="宋体"/>
          <w:b/>
          <w:spacing w:val="40"/>
          <w:sz w:val="32"/>
          <w:szCs w:val="32"/>
          <w:highlight w:val="none"/>
        </w:rPr>
        <w:t>202</w:t>
      </w:r>
      <w:r>
        <w:rPr>
          <w:rFonts w:hint="eastAsia" w:ascii="宋体" w:hAnsi="宋体"/>
          <w:b/>
          <w:spacing w:val="40"/>
          <w:sz w:val="32"/>
          <w:szCs w:val="32"/>
          <w:highlight w:val="none"/>
          <w:lang w:val="en-US" w:eastAsia="zh-CN"/>
        </w:rPr>
        <w:t>3</w:t>
      </w:r>
      <w:r>
        <w:rPr>
          <w:rFonts w:hint="eastAsia" w:ascii="宋体" w:hAnsi="宋体"/>
          <w:b/>
          <w:spacing w:val="40"/>
          <w:sz w:val="32"/>
          <w:szCs w:val="32"/>
          <w:highlight w:val="none"/>
        </w:rPr>
        <w:t>年度</w:t>
      </w:r>
      <w:r>
        <w:rPr>
          <w:rFonts w:hint="eastAsia" w:ascii="宋体" w:hAnsi="宋体" w:cs="宋体"/>
          <w:b/>
          <w:spacing w:val="40"/>
          <w:kern w:val="0"/>
          <w:sz w:val="32"/>
          <w:szCs w:val="32"/>
          <w:highlight w:val="none"/>
        </w:rPr>
        <w:t>其他重要事项的情况说明</w:t>
      </w:r>
    </w:p>
    <w:p>
      <w:pPr>
        <w:spacing w:line="560" w:lineRule="exact"/>
        <w:ind w:firstLine="560" w:firstLineChars="200"/>
        <w:rPr>
          <w:rFonts w:hint="eastAsia" w:ascii="黑体" w:eastAsia="黑体"/>
          <w:sz w:val="28"/>
          <w:szCs w:val="28"/>
          <w:highlight w:val="none"/>
        </w:rPr>
      </w:pPr>
      <w:r>
        <w:rPr>
          <w:rFonts w:hint="eastAsia" w:ascii="黑体" w:eastAsia="黑体"/>
          <w:sz w:val="28"/>
          <w:szCs w:val="28"/>
          <w:highlight w:val="none"/>
        </w:rPr>
        <w:t>一、“三公”经费财政拨款决算情况</w:t>
      </w:r>
    </w:p>
    <w:p>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“三公”经费包括本单位所属</w:t>
      </w:r>
      <w:r>
        <w:rPr>
          <w:rFonts w:hint="eastAsia" w:ascii="仿宋_GB2312" w:eastAsia="仿宋_GB2312"/>
          <w:bCs/>
          <w:sz w:val="28"/>
          <w:szCs w:val="28"/>
          <w:highlight w:val="none"/>
          <w:lang w:val="en-US" w:eastAsia="zh-CN"/>
        </w:rPr>
        <w:t>1</w:t>
      </w:r>
      <w:r>
        <w:rPr>
          <w:rFonts w:hint="eastAsia" w:ascii="仿宋_GB2312" w:eastAsia="仿宋_GB2312"/>
          <w:sz w:val="28"/>
          <w:szCs w:val="28"/>
          <w:highlight w:val="none"/>
        </w:rPr>
        <w:t>个行政单位。202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年度“三公”经费财政拨款决算数</w:t>
      </w:r>
      <w:r>
        <w:rPr>
          <w:rFonts w:ascii="仿宋_GB2312" w:eastAsia="仿宋_GB2312"/>
          <w:sz w:val="28"/>
          <w:szCs w:val="28"/>
          <w:highlight w:val="none"/>
        </w:rPr>
        <w:t>22.65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年度“三公”经费财政拨款年初预算</w:t>
      </w:r>
      <w:r>
        <w:rPr>
          <w:rFonts w:ascii="仿宋_GB2312" w:eastAsia="仿宋_GB2312"/>
          <w:sz w:val="28"/>
          <w:szCs w:val="28"/>
          <w:highlight w:val="none"/>
        </w:rPr>
        <w:t>25.19</w:t>
      </w:r>
      <w:r>
        <w:rPr>
          <w:rFonts w:hint="eastAsia" w:ascii="仿宋_GB2312" w:eastAsia="仿宋_GB2312"/>
          <w:sz w:val="28"/>
          <w:szCs w:val="28"/>
          <w:highlight w:val="none"/>
        </w:rPr>
        <w:t>万元减少</w:t>
      </w:r>
      <w:r>
        <w:rPr>
          <w:rFonts w:ascii="仿宋_GB2312" w:eastAsia="仿宋_GB2312"/>
          <w:sz w:val="28"/>
          <w:szCs w:val="28"/>
          <w:highlight w:val="none"/>
        </w:rPr>
        <w:t>2.53</w:t>
      </w:r>
      <w:r>
        <w:rPr>
          <w:rFonts w:hint="eastAsia" w:ascii="仿宋_GB2312" w:eastAsia="仿宋_GB2312"/>
          <w:sz w:val="28"/>
          <w:szCs w:val="28"/>
          <w:highlight w:val="none"/>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highlight w:val="none"/>
        </w:rPr>
        <w:t>1.因公出国（境）费用。</w:t>
      </w:r>
      <w:r>
        <w:rPr>
          <w:rFonts w:hint="eastAsia" w:ascii="仿宋_GB2312" w:eastAsia="仿宋_GB2312"/>
          <w:sz w:val="28"/>
          <w:szCs w:val="28"/>
        </w:rPr>
        <w:t>本单位无此项经费。</w:t>
      </w:r>
    </w:p>
    <w:p>
      <w:pPr>
        <w:spacing w:line="560" w:lineRule="exact"/>
        <w:ind w:firstLine="600"/>
        <w:rPr>
          <w:rFonts w:hint="eastAsia" w:ascii="仿宋_GB2312" w:eastAsia="仿宋_GB2312"/>
          <w:sz w:val="28"/>
          <w:szCs w:val="28"/>
        </w:rPr>
      </w:pPr>
      <w:r>
        <w:rPr>
          <w:rFonts w:hint="eastAsia" w:ascii="仿宋_GB2312" w:eastAsia="仿宋_GB2312"/>
          <w:sz w:val="28"/>
          <w:szCs w:val="28"/>
          <w:highlight w:val="none"/>
        </w:rPr>
        <w:t>2.公务接待费。</w:t>
      </w:r>
      <w:r>
        <w:rPr>
          <w:rFonts w:hint="eastAsia" w:ascii="仿宋_GB2312" w:eastAsia="仿宋_GB2312"/>
          <w:sz w:val="28"/>
          <w:szCs w:val="28"/>
        </w:rPr>
        <w:t>本单位无此项经费。</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22.65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25.19</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2.54</w:t>
      </w:r>
      <w:r>
        <w:rPr>
          <w:rFonts w:hint="eastAsia" w:ascii="仿宋_GB2312" w:eastAsia="仿宋_GB2312"/>
          <w:sz w:val="28"/>
          <w:szCs w:val="28"/>
          <w:highlight w:val="none"/>
        </w:rPr>
        <w:t>万元。</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其中，公务用车购置费202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16.64</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16.65</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0.01</w:t>
      </w:r>
      <w:r>
        <w:rPr>
          <w:rFonts w:hint="eastAsia" w:ascii="仿宋_GB2312" w:eastAsia="仿宋_GB2312"/>
          <w:sz w:val="28"/>
          <w:szCs w:val="28"/>
          <w:highlight w:val="none"/>
        </w:rPr>
        <w:t>万元。主要原因：落实政府“过紧日子”要求，进一步压减一般性支出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年度购置</w:t>
      </w: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辆，车均购置费</w:t>
      </w:r>
      <w:r>
        <w:rPr>
          <w:rFonts w:ascii="仿宋_GB2312" w:eastAsia="仿宋_GB2312"/>
          <w:sz w:val="28"/>
          <w:szCs w:val="28"/>
          <w:highlight w:val="none"/>
        </w:rPr>
        <w:t>16.64</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年度决算数</w:t>
      </w:r>
      <w:r>
        <w:rPr>
          <w:rFonts w:ascii="仿宋_GB2312" w:eastAsia="仿宋_GB2312"/>
          <w:sz w:val="28"/>
          <w:szCs w:val="28"/>
          <w:highlight w:val="none"/>
        </w:rPr>
        <w:t>6.01</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年度年初预算数</w:t>
      </w:r>
      <w:r>
        <w:rPr>
          <w:rFonts w:ascii="仿宋_GB2312" w:eastAsia="仿宋_GB2312"/>
          <w:sz w:val="28"/>
          <w:szCs w:val="28"/>
          <w:highlight w:val="none"/>
        </w:rPr>
        <w:t>8.54</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2.53</w:t>
      </w:r>
      <w:r>
        <w:rPr>
          <w:rFonts w:hint="eastAsia" w:ascii="仿宋_GB2312" w:eastAsia="仿宋_GB2312"/>
          <w:sz w:val="28"/>
          <w:szCs w:val="28"/>
          <w:highlight w:val="none"/>
        </w:rPr>
        <w:t>万元，主要原因：落实政府“过紧日子”要求，进一步压减一般性支出。202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年度公务用车运行维护费中，公务用车加油</w:t>
      </w:r>
      <w:r>
        <w:rPr>
          <w:rFonts w:ascii="仿宋_GB2312" w:eastAsia="仿宋_GB2312"/>
          <w:sz w:val="28"/>
          <w:szCs w:val="28"/>
          <w:highlight w:val="none"/>
        </w:rPr>
        <w:t>2</w:t>
      </w:r>
      <w:r>
        <w:rPr>
          <w:rFonts w:hint="eastAsia" w:ascii="仿宋_GB2312" w:eastAsia="仿宋_GB2312"/>
          <w:sz w:val="28"/>
          <w:szCs w:val="28"/>
          <w:highlight w:val="none"/>
        </w:rPr>
        <w:t>万元，公务用车维修</w:t>
      </w:r>
      <w:r>
        <w:rPr>
          <w:rFonts w:ascii="仿宋_GB2312" w:eastAsia="仿宋_GB2312"/>
          <w:sz w:val="28"/>
          <w:szCs w:val="28"/>
          <w:highlight w:val="none"/>
        </w:rPr>
        <w:t>2.89</w:t>
      </w:r>
      <w:r>
        <w:rPr>
          <w:rFonts w:hint="eastAsia" w:ascii="仿宋_GB2312" w:eastAsia="仿宋_GB2312"/>
          <w:sz w:val="28"/>
          <w:szCs w:val="28"/>
          <w:highlight w:val="none"/>
        </w:rPr>
        <w:t>万元，公务用车保险</w:t>
      </w:r>
      <w:r>
        <w:rPr>
          <w:rFonts w:ascii="仿宋_GB2312" w:eastAsia="仿宋_GB2312"/>
          <w:sz w:val="28"/>
          <w:szCs w:val="28"/>
          <w:highlight w:val="none"/>
        </w:rPr>
        <w:t>0.75</w:t>
      </w:r>
      <w:r>
        <w:rPr>
          <w:rFonts w:hint="eastAsia" w:ascii="仿宋_GB2312" w:eastAsia="仿宋_GB2312"/>
          <w:sz w:val="28"/>
          <w:szCs w:val="28"/>
          <w:highlight w:val="none"/>
        </w:rPr>
        <w:t>万元，公务用车其他支出</w:t>
      </w:r>
      <w:r>
        <w:rPr>
          <w:rFonts w:ascii="仿宋_GB2312" w:eastAsia="仿宋_GB2312"/>
          <w:sz w:val="28"/>
          <w:szCs w:val="28"/>
          <w:highlight w:val="none"/>
        </w:rPr>
        <w:t>0.36</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辆，车均运行维护费</w:t>
      </w:r>
      <w:r>
        <w:rPr>
          <w:rFonts w:hint="eastAsia" w:ascii="仿宋_GB2312" w:eastAsia="仿宋_GB2312"/>
          <w:sz w:val="28"/>
          <w:szCs w:val="28"/>
          <w:highlight w:val="none"/>
          <w:lang w:val="en-US" w:eastAsia="zh-CN"/>
        </w:rPr>
        <w:t>2.00</w:t>
      </w:r>
      <w:r>
        <w:rPr>
          <w:rFonts w:hint="eastAsia" w:ascii="仿宋_GB2312" w:eastAsia="仿宋_GB2312"/>
          <w:sz w:val="28"/>
          <w:szCs w:val="28"/>
          <w:highlight w:val="none"/>
        </w:rPr>
        <w:t>万元。</w:t>
      </w:r>
    </w:p>
    <w:p>
      <w:pPr>
        <w:tabs>
          <w:tab w:val="center" w:pos="6979"/>
        </w:tabs>
        <w:ind w:firstLine="554" w:firstLineChars="198"/>
        <w:rPr>
          <w:rFonts w:hint="eastAsia" w:ascii="黑体" w:eastAsia="黑体"/>
          <w:sz w:val="28"/>
          <w:szCs w:val="28"/>
          <w:highlight w:val="none"/>
        </w:rPr>
      </w:pPr>
      <w:r>
        <w:rPr>
          <w:rFonts w:hint="eastAsia" w:ascii="黑体" w:eastAsia="黑体"/>
          <w:sz w:val="28"/>
          <w:szCs w:val="28"/>
          <w:highlight w:val="none"/>
        </w:rPr>
        <w:t>二、机关运行经费支出情况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年度使用财政拨款安排的基本支出中的日常公用经费支出，合计48</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81万元，比上年增加</w:t>
      </w:r>
      <w:r>
        <w:rPr>
          <w:rFonts w:hint="eastAsia" w:ascii="仿宋_GB2312" w:eastAsia="仿宋_GB2312"/>
          <w:sz w:val="28"/>
          <w:szCs w:val="28"/>
          <w:highlight w:val="none"/>
          <w:lang w:val="en-US" w:eastAsia="zh-CN"/>
        </w:rPr>
        <w:t>4.87</w:t>
      </w:r>
      <w:r>
        <w:rPr>
          <w:rFonts w:hint="eastAsia" w:ascii="仿宋_GB2312" w:eastAsia="仿宋_GB2312"/>
          <w:sz w:val="28"/>
          <w:szCs w:val="28"/>
          <w:highlight w:val="none"/>
        </w:rPr>
        <w:t>万元，增加原因：</w:t>
      </w:r>
      <w:r>
        <w:rPr>
          <w:rFonts w:hint="eastAsia" w:ascii="仿宋_GB2312" w:eastAsia="仿宋_GB2312"/>
          <w:sz w:val="28"/>
          <w:szCs w:val="28"/>
          <w:highlight w:val="none"/>
          <w:lang w:eastAsia="zh-CN"/>
        </w:rPr>
        <w:t>我办借调人员增加，相应增加</w:t>
      </w:r>
      <w:r>
        <w:rPr>
          <w:rFonts w:hint="eastAsia" w:ascii="仿宋_GB2312" w:eastAsia="仿宋_GB2312"/>
          <w:sz w:val="28"/>
          <w:szCs w:val="28"/>
          <w:highlight w:val="none"/>
        </w:rPr>
        <w:t>日常公用经费支出。</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年度政府采购支出总额</w:t>
      </w:r>
      <w:r>
        <w:rPr>
          <w:rFonts w:ascii="仿宋_GB2312" w:eastAsia="仿宋_GB2312"/>
          <w:sz w:val="28"/>
          <w:szCs w:val="28"/>
          <w:highlight w:val="none"/>
        </w:rPr>
        <w:t>877.87</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23.26</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854.61</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45.21</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5.14</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30.39</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3.46</w:t>
      </w:r>
      <w:r>
        <w:rPr>
          <w:rFonts w:hint="eastAsia" w:ascii="仿宋_GB2312" w:eastAsia="仿宋_GB2312"/>
          <w:sz w:val="28"/>
          <w:szCs w:val="28"/>
          <w:highlight w:val="none"/>
        </w:rPr>
        <w:t>%。</w:t>
      </w:r>
    </w:p>
    <w:p>
      <w:pPr>
        <w:ind w:firstLine="560" w:firstLineChars="200"/>
        <w:rPr>
          <w:rFonts w:hint="eastAsia" w:ascii="黑体" w:eastAsia="黑体"/>
          <w:sz w:val="28"/>
          <w:szCs w:val="28"/>
          <w:highlight w:val="none"/>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highlight w:val="none"/>
        </w:rPr>
      </w:pPr>
      <w:r>
        <w:rPr>
          <w:rFonts w:hint="eastAsia" w:ascii="仿宋_GB2312" w:eastAsia="仿宋_GB2312"/>
          <w:sz w:val="28"/>
          <w:szCs w:val="28"/>
          <w:highlight w:val="none"/>
          <w:lang w:val="en-US" w:eastAsia="zh-CN"/>
        </w:rPr>
        <w:t>2023年度新购置车辆1</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16.64</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；新购置</w:t>
      </w:r>
      <w:r>
        <w:rPr>
          <w:rFonts w:hint="eastAsia" w:ascii="仿宋_GB2312" w:eastAsia="仿宋_GB2312"/>
          <w:sz w:val="28"/>
          <w:szCs w:val="28"/>
          <w:highlight w:val="none"/>
        </w:rPr>
        <w:t>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截至</w:t>
      </w:r>
      <w:r>
        <w:rPr>
          <w:rFonts w:hint="eastAsia" w:ascii="仿宋_GB2312" w:eastAsia="仿宋_GB2312"/>
          <w:sz w:val="28"/>
          <w:szCs w:val="28"/>
          <w:highlight w:val="none"/>
          <w:lang w:val="en-US" w:eastAsia="zh-CN"/>
        </w:rPr>
        <w:t>12月31日，我</w:t>
      </w:r>
      <w:r>
        <w:rPr>
          <w:rFonts w:hint="eastAsia" w:ascii="仿宋_GB2312" w:eastAsia="仿宋_GB2312"/>
          <w:sz w:val="28"/>
          <w:szCs w:val="28"/>
          <w:highlight w:val="none"/>
          <w:lang w:eastAsia="zh-CN"/>
        </w:rPr>
        <w:t>部门共有</w:t>
      </w:r>
      <w:r>
        <w:rPr>
          <w:rFonts w:hint="eastAsia" w:ascii="仿宋_GB2312" w:eastAsia="仿宋_GB2312"/>
          <w:sz w:val="28"/>
          <w:szCs w:val="28"/>
          <w:highlight w:val="none"/>
        </w:rPr>
        <w:t>车辆</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台，</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66.36</w:t>
      </w:r>
      <w:r>
        <w:rPr>
          <w:rFonts w:hint="eastAsia" w:ascii="仿宋_GB2312" w:eastAsia="仿宋_GB2312"/>
          <w:sz w:val="28"/>
          <w:szCs w:val="28"/>
          <w:highlight w:val="none"/>
        </w:rPr>
        <w:t>万元；单位价值100万元</w:t>
      </w:r>
      <w:r>
        <w:rPr>
          <w:rFonts w:hint="eastAsia" w:ascii="仿宋_GB2312" w:eastAsia="仿宋_GB2312"/>
          <w:sz w:val="28"/>
          <w:szCs w:val="28"/>
          <w:highlight w:val="none"/>
          <w:lang w:eastAsia="zh-CN"/>
        </w:rPr>
        <w:t>（含）</w:t>
      </w:r>
      <w:r>
        <w:rPr>
          <w:rFonts w:hint="eastAsia" w:ascii="仿宋_GB2312" w:eastAsia="仿宋_GB2312"/>
          <w:sz w:val="28"/>
          <w:szCs w:val="28"/>
          <w:highlight w:val="none"/>
        </w:rPr>
        <w:t>以上的设备</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台（套）</w:t>
      </w:r>
      <w:r>
        <w:rPr>
          <w:rFonts w:hint="eastAsia" w:ascii="仿宋_GB2312" w:eastAsia="仿宋_GB2312"/>
          <w:sz w:val="28"/>
          <w:szCs w:val="28"/>
          <w:highlight w:val="none"/>
          <w:lang w:eastAsia="zh-CN"/>
        </w:rPr>
        <w:t>，共计</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p>
    <w:p>
      <w:pPr>
        <w:ind w:firstLine="537" w:firstLineChars="192"/>
        <w:rPr>
          <w:rFonts w:ascii="黑体" w:eastAsia="黑体"/>
          <w:sz w:val="28"/>
          <w:szCs w:val="28"/>
          <w:highlight w:val="none"/>
        </w:rPr>
      </w:pPr>
      <w:r>
        <w:rPr>
          <w:rFonts w:hint="eastAsia" w:ascii="黑体" w:eastAsia="黑体"/>
          <w:sz w:val="28"/>
          <w:szCs w:val="28"/>
          <w:highlight w:val="none"/>
        </w:rPr>
        <w:t>五</w:t>
      </w:r>
      <w:r>
        <w:rPr>
          <w:rFonts w:ascii="黑体" w:eastAsia="黑体"/>
          <w:sz w:val="28"/>
          <w:szCs w:val="28"/>
          <w:highlight w:val="none"/>
        </w:rPr>
        <w:t>、政府购买服务</w:t>
      </w:r>
      <w:r>
        <w:rPr>
          <w:rFonts w:hint="eastAsia" w:ascii="黑体" w:eastAsia="黑体"/>
          <w:sz w:val="28"/>
          <w:szCs w:val="28"/>
          <w:highlight w:val="none"/>
        </w:rPr>
        <w:t>支出</w:t>
      </w:r>
      <w:r>
        <w:rPr>
          <w:rFonts w:ascii="黑体" w:eastAsia="黑体"/>
          <w:sz w:val="28"/>
          <w:szCs w:val="28"/>
          <w:highlight w:val="none"/>
        </w:rPr>
        <w:t>说明</w:t>
      </w:r>
    </w:p>
    <w:p>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w:t>
      </w:r>
      <w:r>
        <w:rPr>
          <w:rFonts w:ascii="仿宋_GB2312" w:eastAsia="仿宋_GB2312"/>
          <w:sz w:val="28"/>
          <w:szCs w:val="28"/>
          <w:highlight w:val="none"/>
        </w:rPr>
        <w:t>政府购买服务决算1484.51</w:t>
      </w:r>
      <w:r>
        <w:rPr>
          <w:rFonts w:hint="eastAsia" w:ascii="仿宋_GB2312" w:eastAsia="仿宋_GB2312"/>
          <w:sz w:val="28"/>
          <w:szCs w:val="28"/>
          <w:highlight w:val="none"/>
        </w:rPr>
        <w:t>万元。</w:t>
      </w:r>
    </w:p>
    <w:p>
      <w:pPr>
        <w:ind w:firstLine="560" w:firstLineChars="200"/>
        <w:jc w:val="left"/>
        <w:rPr>
          <w:rFonts w:hint="eastAsia" w:ascii="仿宋_GB2312" w:eastAsia="仿宋_GB2312"/>
          <w:color w:val="000000"/>
          <w:sz w:val="32"/>
          <w:szCs w:val="32"/>
          <w:highlight w:val="none"/>
        </w:rPr>
      </w:pPr>
      <w:r>
        <w:rPr>
          <w:rFonts w:hint="eastAsia" w:ascii="黑体" w:eastAsia="黑体"/>
          <w:sz w:val="28"/>
          <w:szCs w:val="28"/>
          <w:highlight w:val="none"/>
        </w:rPr>
        <w:t>六、</w:t>
      </w:r>
      <w:r>
        <w:rPr>
          <w:rFonts w:ascii="黑体" w:eastAsia="黑体"/>
          <w:sz w:val="28"/>
          <w:szCs w:val="28"/>
          <w:highlight w:val="none"/>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highlight w:val="none"/>
        </w:rPr>
      </w:pPr>
      <w:r>
        <w:rPr>
          <w:rFonts w:hint="eastAsia" w:ascii="仿宋_GB2312" w:eastAsia="仿宋_GB2312"/>
          <w:sz w:val="28"/>
          <w:szCs w:val="28"/>
          <w:highlight w:val="none"/>
        </w:rPr>
        <w:t>3.“三公”经费：</w:t>
      </w:r>
      <w:r>
        <w:rPr>
          <w:rFonts w:hint="eastAsia" w:ascii="仿宋_GB2312" w:hAnsi="宋体" w:eastAsia="仿宋_GB2312"/>
          <w:sz w:val="28"/>
          <w:szCs w:val="28"/>
          <w:highlight w:val="none"/>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highlight w:val="none"/>
        </w:rPr>
      </w:pPr>
      <w:r>
        <w:rPr>
          <w:rFonts w:hint="eastAsia" w:ascii="仿宋_GB2312" w:eastAsia="仿宋_GB2312"/>
          <w:sz w:val="28"/>
          <w:szCs w:val="28"/>
          <w:highlight w:val="none"/>
        </w:rPr>
        <w:t>4</w:t>
      </w:r>
      <w:r>
        <w:rPr>
          <w:rFonts w:ascii="仿宋_GB2312" w:eastAsia="仿宋_GB2312"/>
          <w:sz w:val="28"/>
          <w:szCs w:val="28"/>
          <w:highlight w:val="none"/>
        </w:rPr>
        <w:t>.</w:t>
      </w:r>
      <w:r>
        <w:rPr>
          <w:rFonts w:hint="eastAsia" w:ascii="仿宋_GB2312" w:eastAsia="仿宋_GB2312"/>
          <w:sz w:val="28"/>
          <w:szCs w:val="28"/>
          <w:highlight w:val="none"/>
        </w:rPr>
        <w:t>机关运行经费：</w:t>
      </w:r>
      <w:r>
        <w:rPr>
          <w:rFonts w:hint="eastAsia" w:ascii="仿宋_GB2312" w:hAnsi="宋体" w:eastAsia="仿宋_GB2312"/>
          <w:sz w:val="28"/>
          <w:szCs w:val="28"/>
          <w:highlight w:val="none"/>
        </w:rPr>
        <w:t>指为</w:t>
      </w:r>
      <w:r>
        <w:rPr>
          <w:rFonts w:ascii="仿宋_GB2312" w:hAnsi="宋体" w:eastAsia="仿宋_GB2312"/>
          <w:sz w:val="28"/>
          <w:szCs w:val="28"/>
          <w:highlight w:val="none"/>
        </w:rPr>
        <w:t>保障</w:t>
      </w:r>
      <w:r>
        <w:rPr>
          <w:rFonts w:hint="eastAsia" w:ascii="仿宋_GB2312" w:hAnsi="宋体" w:eastAsia="仿宋_GB2312"/>
          <w:sz w:val="28"/>
          <w:szCs w:val="28"/>
          <w:highlight w:val="none"/>
        </w:rPr>
        <w:t>行政单位（含参照公务员法管理事业单位）运行用于</w:t>
      </w:r>
      <w:r>
        <w:rPr>
          <w:rFonts w:ascii="仿宋_GB2312" w:hAnsi="宋体" w:eastAsia="仿宋_GB2312"/>
          <w:sz w:val="28"/>
          <w:szCs w:val="28"/>
          <w:highlight w:val="none"/>
        </w:rPr>
        <w:t>购买货物和服务的各项资金</w:t>
      </w:r>
      <w:r>
        <w:rPr>
          <w:rFonts w:hint="eastAsia" w:ascii="仿宋_GB2312" w:hAnsi="宋体" w:eastAsia="仿宋_GB2312"/>
          <w:sz w:val="28"/>
          <w:szCs w:val="28"/>
          <w:highlight w:val="none"/>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5</w:t>
      </w:r>
      <w:r>
        <w:rPr>
          <w:rFonts w:ascii="仿宋_GB2312" w:eastAsia="仿宋_GB2312"/>
          <w:sz w:val="28"/>
          <w:szCs w:val="28"/>
          <w:highlight w:val="none"/>
        </w:rPr>
        <w:t>.</w:t>
      </w:r>
      <w:r>
        <w:rPr>
          <w:rFonts w:hint="eastAsia" w:ascii="仿宋_GB2312" w:eastAsia="仿宋_GB2312"/>
          <w:sz w:val="28"/>
          <w:szCs w:val="28"/>
          <w:highlight w:val="none"/>
        </w:rPr>
        <w:t>政府采购</w:t>
      </w:r>
      <w:r>
        <w:rPr>
          <w:rFonts w:ascii="仿宋_GB2312" w:eastAsia="仿宋_GB2312"/>
          <w:sz w:val="28"/>
          <w:szCs w:val="28"/>
          <w:highlight w:val="none"/>
        </w:rPr>
        <w:t>：</w:t>
      </w:r>
      <w:r>
        <w:rPr>
          <w:rFonts w:hint="eastAsia" w:ascii="仿宋_GB2312" w:eastAsia="仿宋_GB2312"/>
          <w:sz w:val="28"/>
          <w:szCs w:val="28"/>
          <w:highlight w:val="none"/>
        </w:rPr>
        <w:t>指</w:t>
      </w:r>
      <w:r>
        <w:rPr>
          <w:rFonts w:ascii="仿宋_GB2312" w:eastAsia="仿宋_GB2312"/>
          <w:sz w:val="28"/>
          <w:szCs w:val="28"/>
          <w:highlight w:val="none"/>
        </w:rPr>
        <w:t>各级国家机关、事业单位和团体组织，使用</w:t>
      </w:r>
      <w:r>
        <w:rPr>
          <w:rFonts w:hint="eastAsia" w:ascii="仿宋_GB2312" w:eastAsia="仿宋_GB2312"/>
          <w:sz w:val="28"/>
          <w:szCs w:val="28"/>
          <w:highlight w:val="none"/>
        </w:rPr>
        <w:t>财政性</w:t>
      </w:r>
      <w:r>
        <w:rPr>
          <w:rFonts w:ascii="仿宋_GB2312" w:eastAsia="仿宋_GB2312"/>
          <w:sz w:val="28"/>
          <w:szCs w:val="28"/>
          <w:highlight w:val="none"/>
        </w:rPr>
        <w:t>资金采购依法制定的集中目录以内的或者采购限额标准以上的货物、工程和服务的行为</w:t>
      </w:r>
      <w:r>
        <w:rPr>
          <w:rFonts w:hint="eastAsia" w:ascii="仿宋_GB2312" w:eastAsia="仿宋_GB2312"/>
          <w:sz w:val="28"/>
          <w:szCs w:val="28"/>
          <w:highlight w:val="none"/>
        </w:rPr>
        <w:t>，</w:t>
      </w:r>
      <w:r>
        <w:rPr>
          <w:rFonts w:ascii="仿宋_GB2312" w:eastAsia="仿宋_GB2312"/>
          <w:sz w:val="28"/>
          <w:szCs w:val="28"/>
          <w:highlight w:val="none"/>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6</w:t>
      </w:r>
      <w:r>
        <w:rPr>
          <w:rFonts w:ascii="仿宋_GB2312" w:eastAsia="仿宋_GB2312"/>
          <w:sz w:val="28"/>
          <w:szCs w:val="28"/>
          <w:highlight w:val="none"/>
        </w:rPr>
        <w:t>.政府购买服务：</w:t>
      </w:r>
      <w:r>
        <w:rPr>
          <w:rFonts w:hint="eastAsia" w:ascii="仿宋_GB2312" w:eastAsia="仿宋_GB2312"/>
          <w:sz w:val="28"/>
          <w:szCs w:val="28"/>
          <w:highlight w:val="none"/>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7.社会保障和就业支出（类）行政事业单位养老支出（款）机关事业单位基本养老保险缴费支出（项）：反映机关事业单位实施养老保险制度由单位缴纳的基本养老保险费支出。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8.</w:t>
      </w:r>
      <w:r>
        <w:rPr>
          <w:rFonts w:hint="eastAsia" w:ascii="仿宋_GB2312" w:hAnsi="Times New Roman" w:eastAsia="仿宋_GB2312" w:cs="Times New Roman"/>
          <w:sz w:val="28"/>
          <w:szCs w:val="28"/>
          <w:highlight w:val="none"/>
        </w:rPr>
        <w:t>社会保障和就业支出（类）行政事业单位养老支出（款）机关事业单位职业年金缴费支出（项）：反映机关事业单位实施养老保险制度由单位实际缴纳的职业年金支出。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9.</w:t>
      </w:r>
      <w:r>
        <w:rPr>
          <w:rFonts w:hint="eastAsia" w:ascii="仿宋_GB2312" w:hAnsi="Times New Roman" w:eastAsia="仿宋_GB2312" w:cs="Times New Roman"/>
          <w:sz w:val="28"/>
          <w:szCs w:val="28"/>
          <w:highlight w:val="none"/>
        </w:rPr>
        <w:t>卫生健康支出（类）行政事业单位医疗（款）行政单位医疗（项）：反映财政部门安排的行政单位（包括实行公务员管理的事业单位，下同）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w:t>
      </w:r>
      <w:r>
        <w:rPr>
          <w:rFonts w:hint="eastAsia" w:ascii="仿宋_GB2312" w:eastAsia="仿宋_GB2312" w:cs="Times New Roman"/>
          <w:sz w:val="28"/>
          <w:szCs w:val="28"/>
          <w:highlight w:val="none"/>
          <w:lang w:val="en-US" w:eastAsia="zh-CN"/>
        </w:rPr>
        <w:t>0</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w:t>
      </w:r>
      <w:r>
        <w:rPr>
          <w:rFonts w:hint="eastAsia" w:ascii="仿宋_GB2312" w:eastAsia="仿宋_GB2312" w:cs="Times New Roman"/>
          <w:sz w:val="28"/>
          <w:szCs w:val="28"/>
          <w:highlight w:val="none"/>
          <w:lang w:val="en-US" w:eastAsia="zh-CN"/>
        </w:rPr>
        <w:t>1</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自然资源海洋气象等支出（类）自然资源事务（款）一般行政管理事务（项）:反映行政单位（包括实行公务员管理的事业单位）未单独设置项级科目的其他项目支出。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w:t>
      </w:r>
      <w:r>
        <w:rPr>
          <w:rFonts w:hint="eastAsia" w:ascii="仿宋_GB2312" w:eastAsia="仿宋_GB2312" w:cs="Times New Roman"/>
          <w:sz w:val="28"/>
          <w:szCs w:val="28"/>
          <w:highlight w:val="none"/>
          <w:lang w:val="en-US" w:eastAsia="zh-CN"/>
        </w:rPr>
        <w:t>2</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自然资源海洋气象等支出（类）自然资源事</w:t>
      </w:r>
      <w:r>
        <w:rPr>
          <w:rFonts w:hint="eastAsia" w:ascii="仿宋_GB2312" w:hAnsi="Times New Roman" w:eastAsia="仿宋_GB2312" w:cs="Times New Roman"/>
          <w:sz w:val="28"/>
          <w:szCs w:val="28"/>
          <w:highlight w:val="none"/>
          <w:lang w:eastAsia="zh-CN"/>
        </w:rPr>
        <w:t>务</w:t>
      </w:r>
      <w:r>
        <w:rPr>
          <w:rFonts w:hint="eastAsia" w:ascii="仿宋_GB2312" w:hAnsi="Times New Roman" w:eastAsia="仿宋_GB2312" w:cs="Times New Roman"/>
          <w:sz w:val="28"/>
          <w:szCs w:val="28"/>
          <w:highlight w:val="none"/>
        </w:rPr>
        <w:t>（款）自然资源规划及管理（项）:反映用于国土空间规划、国土空间开发适宜性评价等方面的支出。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lang w:val="en-US" w:eastAsia="zh-CN"/>
        </w:rPr>
        <w:t>1</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自然资源海洋气象等支出（类）自然资源事务（款）其他自然资源事务支出（项）:反映除上述项目以外其他用于自然资源事务方面的支出。</w:t>
      </w:r>
    </w:p>
    <w:p>
      <w:pPr>
        <w:numPr>
          <w:ilvl w:val="0"/>
          <w:numId w:val="0"/>
        </w:numPr>
        <w:rPr>
          <w:rFonts w:hint="eastAsia" w:ascii="仿宋_GB2312" w:eastAsia="仿宋_GB2312"/>
          <w:sz w:val="28"/>
          <w:szCs w:val="28"/>
          <w:highlight w:val="none"/>
          <w:lang w:val="en-US" w:eastAsia="zh-CN"/>
        </w:rPr>
      </w:pPr>
    </w:p>
    <w:p>
      <w:pPr>
        <w:ind w:firstLine="632" w:firstLineChars="200"/>
        <w:rPr>
          <w:rFonts w:hint="eastAsia" w:ascii="仿宋_GB2312" w:hAnsi="Times New Roman" w:eastAsia="仿宋_GB2312" w:cs="Times New Roman"/>
          <w:b/>
          <w:color w:val="000000"/>
          <w:spacing w:val="-2"/>
          <w:sz w:val="32"/>
          <w:szCs w:val="32"/>
          <w:highlight w:val="none"/>
        </w:rPr>
      </w:pPr>
    </w:p>
    <w:p>
      <w:pPr>
        <w:ind w:firstLine="640" w:firstLineChars="200"/>
        <w:jc w:val="center"/>
        <w:rPr>
          <w:rFonts w:ascii="黑体" w:eastAsia="黑体"/>
          <w:sz w:val="32"/>
          <w:szCs w:val="32"/>
          <w:highlight w:val="none"/>
        </w:rPr>
      </w:pPr>
    </w:p>
    <w:p>
      <w:pPr>
        <w:ind w:firstLine="640" w:firstLineChars="200"/>
        <w:jc w:val="center"/>
        <w:rPr>
          <w:rFonts w:hint="eastAsia" w:ascii="黑体" w:eastAsia="黑体"/>
          <w:sz w:val="32"/>
          <w:szCs w:val="32"/>
          <w:highlight w:val="none"/>
        </w:rPr>
      </w:pPr>
    </w:p>
    <w:p>
      <w:pPr>
        <w:pStyle w:val="3"/>
        <w:rPr>
          <w:rFonts w:hint="eastAsia" w:ascii="黑体" w:eastAsia="黑体"/>
          <w:sz w:val="32"/>
          <w:szCs w:val="32"/>
          <w:highlight w:val="none"/>
        </w:rPr>
      </w:pPr>
    </w:p>
    <w:p>
      <w:pPr>
        <w:rPr>
          <w:rFonts w:hint="eastAsia" w:ascii="黑体" w:eastAsia="黑体"/>
          <w:sz w:val="32"/>
          <w:szCs w:val="32"/>
          <w:highlight w:val="none"/>
        </w:rPr>
      </w:pPr>
    </w:p>
    <w:p>
      <w:pPr>
        <w:pStyle w:val="3"/>
        <w:rPr>
          <w:rFonts w:hint="eastAsia"/>
          <w:highlight w:val="none"/>
        </w:rPr>
      </w:pPr>
    </w:p>
    <w:p>
      <w:pPr>
        <w:ind w:firstLine="640" w:firstLineChars="200"/>
        <w:jc w:val="center"/>
        <w:rPr>
          <w:rFonts w:hint="eastAsia" w:ascii="黑体" w:eastAsia="黑体"/>
          <w:sz w:val="32"/>
          <w:szCs w:val="32"/>
          <w:highlight w:val="none"/>
        </w:rPr>
      </w:pPr>
      <w:r>
        <w:rPr>
          <w:rFonts w:hint="eastAsia" w:ascii="黑体" w:eastAsia="黑体"/>
          <w:sz w:val="32"/>
          <w:szCs w:val="32"/>
          <w:highlight w:val="none"/>
        </w:rPr>
        <w:t>第四部分  202</w:t>
      </w:r>
      <w:r>
        <w:rPr>
          <w:rFonts w:hint="eastAsia" w:ascii="黑体" w:eastAsia="黑体"/>
          <w:sz w:val="32"/>
          <w:szCs w:val="32"/>
          <w:highlight w:val="none"/>
          <w:lang w:val="en-US" w:eastAsia="zh-CN"/>
        </w:rPr>
        <w:t>3</w:t>
      </w:r>
      <w:r>
        <w:rPr>
          <w:rFonts w:hint="eastAsia" w:ascii="黑体" w:eastAsia="黑体"/>
          <w:sz w:val="32"/>
          <w:szCs w:val="32"/>
          <w:highlight w:val="none"/>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rPr>
          <w:rFonts w:hint="eastAsia"/>
        </w:rPr>
      </w:pPr>
    </w:p>
    <w:p>
      <w:pPr>
        <w:pStyle w:val="3"/>
        <w:rPr>
          <w:rFonts w:hint="eastAsia"/>
        </w:rPr>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14</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278411D"/>
    <w:rsid w:val="1AEC0734"/>
    <w:rsid w:val="1DEF20B0"/>
    <w:rsid w:val="214243FA"/>
    <w:rsid w:val="21AD613C"/>
    <w:rsid w:val="257A14F5"/>
    <w:rsid w:val="27196C26"/>
    <w:rsid w:val="29EF086F"/>
    <w:rsid w:val="2EFFE297"/>
    <w:rsid w:val="301437CA"/>
    <w:rsid w:val="34DD0473"/>
    <w:rsid w:val="433E495C"/>
    <w:rsid w:val="46E3426A"/>
    <w:rsid w:val="4AC27CB3"/>
    <w:rsid w:val="4BF72BEF"/>
    <w:rsid w:val="4C6436DC"/>
    <w:rsid w:val="51DB3C59"/>
    <w:rsid w:val="550C0952"/>
    <w:rsid w:val="55762E42"/>
    <w:rsid w:val="57A7B272"/>
    <w:rsid w:val="58470068"/>
    <w:rsid w:val="5A1720F9"/>
    <w:rsid w:val="5B9C37C2"/>
    <w:rsid w:val="5BA7C654"/>
    <w:rsid w:val="5F79ACC4"/>
    <w:rsid w:val="5FFF79A5"/>
    <w:rsid w:val="64C0607C"/>
    <w:rsid w:val="676F09E1"/>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annotation text"/>
    <w:basedOn w:val="1"/>
    <w:qFormat/>
    <w:uiPriority w:val="0"/>
    <w:pPr>
      <w:jc w:val="left"/>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home/user/Desktop/&#26472;&#25935;&#24037;&#20316;/2023&#24180;&#24037;&#20316;/21.&#20915;&#31639;&#24037;&#20316;/&#20915;&#31639;&#33609;&#26696;&#20844;&#24320;2024-6-5/&#26680;&#23545;.et"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472;&#25935;&#24037;&#20316;/2023&#24180;&#24037;&#20316;/21.&#20915;&#31639;&#24037;&#20316;/&#20915;&#31639;&#33609;&#26696;&#20844;&#24320;2024-6-5/&#26680;&#23545;.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rPr altLang="en-US"/>
              <a:t>收入决算</a:t>
            </a:r>
            <a:endParaRPr altLang="en-US" sz="1400" b="0"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manualLayout>
          <c:xMode val="edge"/>
          <c:yMode val="edge"/>
          <c:x val="0.393611111111111"/>
          <c:y val="0.0208333333333333"/>
        </c:manualLayout>
      </c:layout>
      <c:overlay val="0"/>
      <c:spPr>
        <a:noFill/>
        <a:ln>
          <a:noFill/>
        </a:ln>
        <a:effectLst/>
      </c:spPr>
    </c:title>
    <c:autoTitleDeleted val="0"/>
    <c:plotArea>
      <c:layout/>
      <c:pieChart>
        <c:varyColors val="1"/>
        <c:ser>
          <c:idx val="0"/>
          <c:order val="0"/>
          <c:explosion val="0"/>
          <c:dPt>
            <c:idx val="0"/>
            <c:bubble3D val="0"/>
            <c:explosion val="0"/>
            <c:spPr>
              <a:solidFill>
                <a:srgbClr val="4F81BD"/>
              </a:solidFill>
              <a:ln w="19050">
                <a:solidFill>
                  <a:srgbClr val="FFFFFF"/>
                </a:solidFill>
              </a:ln>
              <a:effectLst/>
            </c:spPr>
          </c:dPt>
          <c:dPt>
            <c:idx val="1"/>
            <c:bubble3D val="0"/>
            <c:explosion val="0"/>
            <c:spPr>
              <a:solidFill>
                <a:srgbClr val="C0504D"/>
              </a:solidFill>
              <a:ln w="19050">
                <a:solidFill>
                  <a:srgbClr val="FFFFFF"/>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[核对.et]Sheet1!$D$29:$D$30</c:f>
              <c:strCache>
                <c:ptCount val="2"/>
                <c:pt idx="0">
                  <c:v>财政拨款收入</c:v>
                </c:pt>
                <c:pt idx="1">
                  <c:v>其他收入</c:v>
                </c:pt>
              </c:strCache>
            </c:strRef>
          </c:cat>
          <c:val>
            <c:numRef>
              <c:f>[核对.et]Sheet1!$E$29:$E$30</c:f>
              <c:numCache>
                <c:formatCode>0.00%</c:formatCode>
                <c:ptCount val="2"/>
                <c:pt idx="0">
                  <c:v>0.9999</c:v>
                </c:pt>
                <c:pt idx="1">
                  <c:v>0.0001</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rgbClr val="595959">
                    <a:lumMod val="65000"/>
                    <a:lumOff val="35000"/>
                  </a:srgbClr>
                </a:solidFill>
                <a:latin typeface="+mn-lt"/>
                <a:ea typeface="+mn-ea"/>
                <a:cs typeface="+mn-cs"/>
              </a:defRPr>
            </a:pPr>
            <a:r>
              <a:t>基本支出决算</a:t>
            </a:r>
            <a:endParaRPr sz="1400" b="0" i="0" u="none" strike="noStrike" baseline="0">
              <a:solidFill>
                <a:srgbClr val="595959">
                  <a:alpha val="100000"/>
                </a:srgbClr>
              </a:solidFill>
              <a:latin typeface="宋体" panose="02010600030101010101" charset="-122"/>
              <a:ea typeface="宋体" panose="02010600030101010101" charset="-122"/>
              <a:cs typeface="宋体" panose="02010600030101010101" charset="-122"/>
            </a:endParaRPr>
          </a:p>
        </c:rich>
      </c:tx>
      <c:layout/>
      <c:overlay val="0"/>
      <c:spPr>
        <a:noFill/>
        <a:ln>
          <a:noFill/>
        </a:ln>
        <a:effectLst/>
      </c:spPr>
    </c:title>
    <c:autoTitleDeleted val="0"/>
    <c:plotArea>
      <c:layout/>
      <c:pieChart>
        <c:varyColors val="1"/>
        <c:ser>
          <c:idx val="0"/>
          <c:order val="0"/>
          <c:explosion val="0"/>
          <c:dPt>
            <c:idx val="0"/>
            <c:bubble3D val="0"/>
            <c:explosion val="0"/>
            <c:spPr>
              <a:solidFill>
                <a:srgbClr val="4F81BD"/>
              </a:solidFill>
              <a:ln w="19050">
                <a:solidFill>
                  <a:srgbClr val="FFFFFF"/>
                </a:solidFill>
              </a:ln>
              <a:effectLst/>
            </c:spPr>
          </c:dPt>
          <c:dPt>
            <c:idx val="1"/>
            <c:bubble3D val="0"/>
            <c:explosion val="0"/>
            <c:spPr>
              <a:solidFill>
                <a:srgbClr val="C0504D"/>
              </a:solidFill>
              <a:ln w="19050">
                <a:solidFill>
                  <a:srgbClr val="FFFFFF"/>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[核对.et]Sheet1!$B$43:$B$44</c:f>
              <c:strCache>
                <c:ptCount val="2"/>
                <c:pt idx="0">
                  <c:v>基本支出</c:v>
                </c:pt>
                <c:pt idx="1">
                  <c:v>项目支出</c:v>
                </c:pt>
              </c:strCache>
            </c:strRef>
          </c:cat>
          <c:val>
            <c:numRef>
              <c:f>[核对.et]Sheet1!$C$43:$C$44</c:f>
              <c:numCache>
                <c:formatCode>0.00%</c:formatCode>
                <c:ptCount val="2"/>
                <c:pt idx="0">
                  <c:v>0.2596</c:v>
                </c:pt>
                <c:pt idx="1">
                  <c:v>0.7404</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2</TotalTime>
  <ScaleCrop>false</ScaleCrop>
  <LinksUpToDate>false</LinksUpToDate>
  <CharactersWithSpaces>6143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刘金</cp:lastModifiedBy>
  <cp:lastPrinted>2020-08-08T03:39:00Z</cp:lastPrinted>
  <dcterms:modified xsi:type="dcterms:W3CDTF">2024-08-26T06:53:45Z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A70B1BBEF96B17C13657C46623A1C909</vt:lpwstr>
  </property>
</Properties>
</file>