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2"/>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cs="宋体"/>
          <w:b/>
          <w:bCs/>
          <w:spacing w:val="40"/>
          <w:kern w:val="0"/>
          <w:sz w:val="44"/>
          <w:szCs w:val="44"/>
        </w:rPr>
      </w:pPr>
      <w:r>
        <w:rPr>
          <w:rFonts w:hint="eastAsia" w:ascii="宋体" w:hAnsi="宋体" w:cs="宋体"/>
          <w:b/>
          <w:bCs/>
          <w:spacing w:val="40"/>
          <w:kern w:val="0"/>
          <w:sz w:val="44"/>
          <w:szCs w:val="44"/>
        </w:rPr>
        <w:t>第二部分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7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（1）机构设置情况</w:t>
      </w:r>
    </w:p>
    <w:p>
      <w:pPr>
        <w:tabs>
          <w:tab w:val="center" w:pos="6979"/>
        </w:tabs>
        <w:spacing w:line="580" w:lineRule="exact"/>
        <w:ind w:firstLine="570"/>
        <w:rPr>
          <w:rFonts w:hint="eastAsia" w:ascii="仿宋_GB2312" w:eastAsia="仿宋_GB2312"/>
          <w:sz w:val="28"/>
          <w:szCs w:val="28"/>
          <w:highlight w:val="yellow"/>
          <w:lang w:val="en-US" w:eastAsia="zh-CN"/>
        </w:rPr>
      </w:pPr>
      <w:r>
        <w:rPr>
          <w:rFonts w:hint="eastAsia" w:ascii="仿宋_GB2312" w:eastAsia="仿宋_GB2312"/>
          <w:sz w:val="28"/>
          <w:szCs w:val="28"/>
          <w:lang w:val="en-US" w:eastAsia="zh-CN"/>
        </w:rPr>
        <w:t>根据北京市委办公厅印发的《北京市规划和自然资源委员会职能配置、内设机构和人员编制规定》（京办字〔2019〕19号），市委编办《关于划转建设工程消防设计审查职责有关事项的通知》（京编办发〔2019〕44号）、《关于调整首规委办机构编制事项的通知》（京编办发〔2019〕52号），委机关设立44个处室，具体是：办公室、研究室（宣传处）、法制处、首规委办秘书处、首规委办政策研究处、首规委办首都功能核心区规划处、首规委办历史文化名城保护处、首规委办政务功能规划处、首规委办军队协调处、总体规划处、详细规划处（城市更新处）、乡村规划处、城市设计处、综合交通规划管理处、轨道交通规划管理处、市政设施规划管理处、行政审批协调处（档案管理处）、规划实施一处、规划实施二处、规划实施三处、建设工程核验处、自然资源调查监测处、自然资源确权登记处、自然资源所有者权益处、自然资源开发利用处、自然资源保护处、国土空间生态修复处（矿产资源管理处）、地质勘查管理处、国土测绘处、地名与地理信息管理处、勘察设计管理处、消防设计审查处、规划与自然资源督察处、专项治理协调处、科技与信息化处、信访与信息公开处、财务处、审计处、人事处、机关党委（党建工作处）、机关纪委（党组巡察工作办公室）、离退休干部处、市委城市工作办秘书处、驻委纪检监察组。</w:t>
      </w:r>
    </w:p>
    <w:p>
      <w:pPr>
        <w:tabs>
          <w:tab w:val="center" w:pos="6979"/>
        </w:tabs>
        <w:spacing w:line="580" w:lineRule="exact"/>
        <w:ind w:firstLine="57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（2）部门职责</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履行本市全民所有土地、矿产、森林、湿地、水等自然资源资产所有者职责和所有国土空间用途管制职责。贯彻落实国家关于自然资源和国土空间规划及测绘、勘察设计管理等方面的法律、法规、规章和政策，起草相关地方性法规、政府规章草案，制定相关管理规范和技术标准并监督检查执行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2.负责建立本市空间规划体系。推进主体功能区战略和制度，组织编制国土空间规划和北京历史文化名城保护、公共服务、公共安全设施、城市基础设施、城市地下空间等专项规划。组织划定生态保护红线、永久基本农田、城镇开发边界等控制线，构建节约资源和保护环境的生产、生活、生态空间布局。开展国土空间开发适宜性评价，建立国土空间规划实施监测、评估和预警体系及城市体检评估机制。负责城市设计工作。负责城市雕塑和公共空间景观风貌规划管理工作。</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3.负责本市国土空间用途管制。建立健全国土空间用途管制制度，研究拟订城乡规划政策并监督实施。组织拟订并实施土地等自然资源年度利用计划。负责工程建设项目规划和用地管理相关工作。负责国土空间用途转用工作。负责土地征收征用管理。</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4.负责本市自然资源调查监测评价。制定自然资源调查监测评价的指标体系和统计标准，建立统一规范的自然资源调查监测评价制度。实施自然资源基础调查、专项调查和监测。负责自然资源调查监测评价成果的监督管理和信息发布。</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5.负责本市自然资源统一确权登记工作。制定各类自然资源和不动产统一确权登记、权籍调查、不动产测绘、争议调处、成果应用的制度和规范。建立健全自然资源和不动产登记信息管理基础平台。负责自然资源和不动产登记资料收集、整理、共享、汇交管理等。依法调处相关权属纠纷。</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6.负责本市自然资源资产有偿使用工作。建立全民所有自然资源资产统计制度，负责全民所有自然资源资产核算。编制全民所有自然资源资产负债表，拟订考核标准。制定全民所有自然资源资产划拨、出让、租赁、作价出资和土地储备政策，合理配置全民所有自然资源资产。负责自然资源资产价值评估管理，依法收缴相关资产收益。</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7.负责本市自然资源的合理开发利用。组织拟订自然资源发展规划和战略，制定自然资源开发利用标准并组织实施，建立政府公示自然资源价格体系，组织开展自然资源分等定级价格评估，开展自然资源利用评价考核，指导节约集约利用。负责自然资源市场监管。组织研究自然资源管理涉及宏观调控、区域协调和城乡统筹的政策措施。</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8.负责统筹本市国土空间生态修复。牵头组织编制本市国土空间生态修复规划并实施有关生态修复工程。负责国土空间综合整治、土地整理复垦、矿山地质环境恢复治理等工作。牵头建立和实施生态保护补偿制度，制定合理利用社会资金进行生态修复的政策措施，提出备选项目。</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9.负责组织实施最严格的耕地保护制度。牵头拟订并实施本市耕地保护政策，负责耕地数量、质量、生态保护。组织实施耕地保护责任目标考核和永久基本农田特殊保护。完善耕地占补平衡制度，监督占用耕地补偿制度执行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10.负责本市地质灾害预防和治理。落实综合防灾减灾规划相关要求，组织编制地质灾害防治规划和防护标准并指导实施。组织指导协调和监督地质灾害调查评价及隐患的普查、详查、排查。指导开展群测群防、专业监测和预报预警等工作，指导开展地质灾害工程治理工作。承担地质灾害应急救援的技术支撑工作。 </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11.负责本市地质勘查和矿产资源管理工作。编制地质勘查规划并监督检查执行情况。管理地质勘查项目。监督管理地下水过量开采及引发的地面沉降等地质问题。负责古生物化石的监督管理。负责矿产资源储量管理。负责矿业权管理。监督矿产资源合理利用和保护。</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12.负责本市勘察设计和测绘地理信息管理工作。负责勘察设计和基础测绘、测绘行业管理。负责勘察设计和测绘资质资格与信用管理，监督管理勘察设计科技促进、质量安全和市场秩序。监督管理测绘地理信息安全和和市场秩序。负责地理信息公共服务管理。负责测量标志保护。负责地名管理。</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13.依法承担本市建设工程消防设计审查工作；拟定相关地方性法规和政府规章草案及政策标准规范，并监督执行；组织开展建设工程特殊消防设计专家评审工作；参与建设工程重大火灾事故调查工作；指导、监督、协调各区建设工程消防设计审查工作。</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14.推动本市自然资源领域科技发展。制定并实施自然资源领域科技创新发展规划和计划。推进自然资源信息化和信息资料的公共服务，统筹管理自然资源和国土空间规划相关数据。负责自然资源和国土空间规划相关档案的监督和管理工作。</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15.承担首都规划建设委员会和北京历史文化名城保护委员会的具体工作。承担研究、论证本市城乡规划建设发展重大问题的基础工作。承担向党中央、国务院请示报告首都规划建设重大事项相关工作。</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16.负责本市自然资源和国土空间规划管理的督察工作。依法承担工程建设项目的规划核验。查处自然资源开发利用和国土空间规划及勘察设计、测绘违法案件。</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17.完成市委、市政府交办的其他任务。</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（二）人</w:t>
      </w:r>
      <w:r>
        <w:rPr>
          <w:rFonts w:hint="eastAsia" w:ascii="仿宋_GB2312" w:eastAsia="仿宋_GB2312"/>
          <w:sz w:val="28"/>
          <w:szCs w:val="28"/>
          <w:highlight w:val="none"/>
        </w:rPr>
        <w:t>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418</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414</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646922.35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268825.31</w:t>
      </w:r>
      <w:r>
        <w:rPr>
          <w:rFonts w:hint="eastAsia" w:ascii="仿宋_GB2312" w:eastAsia="仿宋_GB2312"/>
          <w:sz w:val="28"/>
          <w:szCs w:val="28"/>
        </w:rPr>
        <w:t>万元，增长</w:t>
      </w:r>
      <w:r>
        <w:rPr>
          <w:rFonts w:hint="eastAsia" w:ascii="仿宋_GB2312" w:eastAsia="仿宋_GB2312"/>
          <w:sz w:val="28"/>
          <w:szCs w:val="28"/>
          <w:lang w:val="en-US" w:eastAsia="zh-CN"/>
        </w:rPr>
        <w:t>71.10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639412.69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266147.24</w:t>
      </w:r>
      <w:r>
        <w:rPr>
          <w:rFonts w:hint="eastAsia" w:ascii="仿宋_GB2312" w:eastAsia="仿宋_GB2312"/>
          <w:sz w:val="28"/>
          <w:szCs w:val="28"/>
        </w:rPr>
        <w:t>万元，增长</w:t>
      </w:r>
      <w:r>
        <w:rPr>
          <w:rFonts w:hint="eastAsia" w:ascii="仿宋_GB2312" w:eastAsia="仿宋_GB2312"/>
          <w:sz w:val="28"/>
          <w:szCs w:val="28"/>
          <w:lang w:val="en-US" w:eastAsia="zh-CN"/>
        </w:rPr>
        <w:t>71.30</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639408</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%。其中：一般公共预算财政拨款收入</w:t>
      </w:r>
      <w:r>
        <w:rPr>
          <w:rFonts w:ascii="仿宋_GB2312" w:eastAsia="仿宋_GB2312"/>
          <w:sz w:val="28"/>
          <w:szCs w:val="28"/>
        </w:rPr>
        <w:t>91679.02</w:t>
      </w:r>
      <w:r>
        <w:rPr>
          <w:rFonts w:hint="eastAsia" w:ascii="仿宋_GB2312" w:eastAsia="仿宋_GB2312"/>
          <w:sz w:val="28"/>
          <w:szCs w:val="28"/>
        </w:rPr>
        <w:t>万元，占收入合计的</w:t>
      </w:r>
      <w:r>
        <w:rPr>
          <w:rFonts w:ascii="仿宋_GB2312" w:eastAsia="仿宋_GB2312"/>
          <w:sz w:val="28"/>
          <w:szCs w:val="28"/>
        </w:rPr>
        <w:t>14.33</w:t>
      </w:r>
      <w:r>
        <w:rPr>
          <w:rFonts w:hint="eastAsia" w:ascii="仿宋_GB2312" w:eastAsia="仿宋_GB2312"/>
          <w:sz w:val="28"/>
          <w:szCs w:val="28"/>
        </w:rPr>
        <w:t>%；政府性基金预算财政拨款收入</w:t>
      </w:r>
      <w:r>
        <w:rPr>
          <w:rFonts w:ascii="仿宋_GB2312" w:eastAsia="仿宋_GB2312"/>
          <w:sz w:val="28"/>
          <w:szCs w:val="28"/>
        </w:rPr>
        <w:t>547728.99</w:t>
      </w:r>
      <w:r>
        <w:rPr>
          <w:rFonts w:hint="eastAsia" w:ascii="仿宋_GB2312" w:eastAsia="仿宋_GB2312"/>
          <w:sz w:val="28"/>
          <w:szCs w:val="28"/>
        </w:rPr>
        <w:t>万元，占收入合计的</w:t>
      </w:r>
      <w:r>
        <w:rPr>
          <w:rFonts w:ascii="仿宋_GB2312" w:eastAsia="仿宋_GB2312"/>
          <w:sz w:val="28"/>
          <w:szCs w:val="28"/>
        </w:rPr>
        <w:t>85.66</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4.69</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Style w:val="2"/>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637722.39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265844.51</w:t>
      </w:r>
      <w:r>
        <w:rPr>
          <w:rFonts w:hint="eastAsia" w:ascii="仿宋_GB2312" w:eastAsia="仿宋_GB2312"/>
          <w:sz w:val="28"/>
          <w:szCs w:val="28"/>
        </w:rPr>
        <w:t>万元，增长</w:t>
      </w:r>
      <w:r>
        <w:rPr>
          <w:rFonts w:hint="eastAsia" w:ascii="仿宋_GB2312" w:eastAsia="仿宋_GB2312"/>
          <w:sz w:val="28"/>
          <w:szCs w:val="28"/>
          <w:lang w:val="en-US" w:eastAsia="zh-CN"/>
        </w:rPr>
        <w:t>71.49</w:t>
      </w:r>
      <w:r>
        <w:rPr>
          <w:rFonts w:hint="eastAsia" w:ascii="仿宋_GB2312" w:eastAsia="仿宋_GB2312"/>
          <w:sz w:val="28"/>
          <w:szCs w:val="28"/>
        </w:rPr>
        <w:t>%，其中：基本支出</w:t>
      </w:r>
      <w:r>
        <w:rPr>
          <w:rFonts w:ascii="仿宋_GB2312" w:eastAsia="仿宋_GB2312"/>
          <w:sz w:val="28"/>
          <w:szCs w:val="28"/>
        </w:rPr>
        <w:t>18888.01</w:t>
      </w:r>
      <w:r>
        <w:rPr>
          <w:rFonts w:hint="eastAsia" w:ascii="仿宋_GB2312" w:eastAsia="仿宋_GB2312"/>
          <w:sz w:val="28"/>
          <w:szCs w:val="28"/>
        </w:rPr>
        <w:t>万元，占支出合计的</w:t>
      </w:r>
      <w:r>
        <w:rPr>
          <w:rFonts w:ascii="仿宋_GB2312" w:eastAsia="仿宋_GB2312"/>
          <w:sz w:val="28"/>
          <w:szCs w:val="28"/>
        </w:rPr>
        <w:t>2.96</w:t>
      </w:r>
      <w:r>
        <w:rPr>
          <w:rFonts w:hint="eastAsia" w:ascii="仿宋_GB2312" w:eastAsia="仿宋_GB2312"/>
          <w:sz w:val="28"/>
          <w:szCs w:val="28"/>
        </w:rPr>
        <w:t>%；项目支出</w:t>
      </w:r>
      <w:r>
        <w:rPr>
          <w:rFonts w:ascii="仿宋_GB2312" w:eastAsia="仿宋_GB2312"/>
          <w:sz w:val="28"/>
          <w:szCs w:val="28"/>
        </w:rPr>
        <w:t>618834.39</w:t>
      </w:r>
      <w:r>
        <w:rPr>
          <w:rFonts w:hint="eastAsia" w:ascii="仿宋_GB2312" w:eastAsia="仿宋_GB2312"/>
          <w:sz w:val="28"/>
          <w:szCs w:val="28"/>
        </w:rPr>
        <w:t>万元，占支出合计的</w:t>
      </w:r>
      <w:r>
        <w:rPr>
          <w:rFonts w:ascii="仿宋_GB2312" w:eastAsia="仿宋_GB2312"/>
          <w:sz w:val="28"/>
          <w:szCs w:val="28"/>
        </w:rPr>
        <w:t>97.03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829175" cy="2743200"/>
            <wp:effectExtent l="4445" t="4445" r="5080" b="14605"/>
            <wp:docPr id="1"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642609.59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266349.28</w:t>
      </w:r>
      <w:r>
        <w:rPr>
          <w:rFonts w:hint="eastAsia" w:ascii="仿宋_GB2312" w:eastAsia="仿宋_GB2312"/>
          <w:sz w:val="28"/>
          <w:szCs w:val="28"/>
        </w:rPr>
        <w:t>万元，增长</w:t>
      </w:r>
      <w:r>
        <w:rPr>
          <w:rFonts w:hint="eastAsia" w:ascii="仿宋_GB2312" w:eastAsia="仿宋_GB2312"/>
          <w:sz w:val="28"/>
          <w:szCs w:val="28"/>
          <w:lang w:val="en-US" w:eastAsia="zh-CN"/>
        </w:rPr>
        <w:t>71.30</w:t>
      </w:r>
      <w:r>
        <w:rPr>
          <w:rFonts w:hint="eastAsia" w:ascii="仿宋_GB2312" w:eastAsia="仿宋_GB2312"/>
          <w:sz w:val="28"/>
          <w:szCs w:val="28"/>
        </w:rPr>
        <w:t>%。主要原因：</w:t>
      </w:r>
      <w:r>
        <w:rPr>
          <w:rFonts w:hint="eastAsia" w:ascii="仿宋_GB2312" w:eastAsia="仿宋_GB2312"/>
          <w:sz w:val="28"/>
          <w:szCs w:val="28"/>
          <w:lang w:val="en-US" w:eastAsia="zh-CN"/>
        </w:rPr>
        <w:t>市级土地储备项目资金增加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84285.6</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270.50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0.32</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2496.92万元，占本年财政拨款支出2.96%；卫生健康支出1264.01万元，占本年财政拨款支出1.50%；自然资源海洋气象等支出79694.54万元，占本年财政拨款支出94.55%；灾害防治及应急管理支出559.63万元，占本年财政拨款支出0.66%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w:t>
      </w:r>
      <w:r>
        <w:rPr>
          <w:rFonts w:hint="eastAsia" w:ascii="仿宋_GB2312" w:eastAsia="仿宋_GB2312"/>
          <w:sz w:val="28"/>
          <w:szCs w:val="28"/>
        </w:rPr>
        <w:t>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270.50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92</w:t>
      </w:r>
      <w:r>
        <w:rPr>
          <w:rFonts w:hint="eastAsia" w:ascii="仿宋_GB2312" w:eastAsia="仿宋_GB2312"/>
          <w:sz w:val="28"/>
          <w:szCs w:val="28"/>
        </w:rPr>
        <w:t>万元，下降</w:t>
      </w:r>
      <w:r>
        <w:rPr>
          <w:rFonts w:hint="eastAsia" w:ascii="仿宋_GB2312" w:eastAsia="仿宋_GB2312"/>
          <w:sz w:val="28"/>
          <w:szCs w:val="28"/>
          <w:lang w:val="en-US" w:eastAsia="zh-CN"/>
        </w:rPr>
        <w:t>25.38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270.50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92</w:t>
      </w:r>
      <w:r>
        <w:rPr>
          <w:rFonts w:hint="eastAsia" w:ascii="仿宋_GB2312" w:eastAsia="仿宋_GB2312"/>
          <w:sz w:val="28"/>
          <w:szCs w:val="28"/>
        </w:rPr>
        <w:t>万元，下降</w:t>
      </w:r>
      <w:r>
        <w:rPr>
          <w:rFonts w:hint="eastAsia" w:ascii="仿宋_GB2312" w:eastAsia="仿宋_GB2312"/>
          <w:sz w:val="28"/>
          <w:szCs w:val="28"/>
          <w:lang w:val="en-US" w:eastAsia="zh-CN"/>
        </w:rPr>
        <w:t>25.38</w:t>
      </w:r>
      <w:r>
        <w:rPr>
          <w:rFonts w:hint="eastAsia" w:ascii="仿宋_GB2312" w:eastAsia="仿宋_GB2312"/>
          <w:sz w:val="28"/>
          <w:szCs w:val="28"/>
        </w:rPr>
        <w:t>%。主要原因：</w:t>
      </w:r>
      <w:r>
        <w:rPr>
          <w:rFonts w:hint="eastAsia" w:ascii="仿宋_GB2312" w:eastAsia="仿宋_GB2312"/>
          <w:sz w:val="28"/>
          <w:szCs w:val="28"/>
          <w:highlight w:val="none"/>
          <w:lang w:eastAsia="zh-CN"/>
        </w:rPr>
        <w:t>历行节约，减少培训支出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2496.92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90.81</w:t>
      </w:r>
      <w:r>
        <w:rPr>
          <w:rFonts w:hint="eastAsia" w:ascii="仿宋_GB2312" w:eastAsia="仿宋_GB2312"/>
          <w:sz w:val="28"/>
          <w:szCs w:val="28"/>
        </w:rPr>
        <w:t>万元，下降</w:t>
      </w:r>
      <w:r>
        <w:rPr>
          <w:rFonts w:hint="eastAsia" w:ascii="仿宋_GB2312" w:eastAsia="仿宋_GB2312"/>
          <w:sz w:val="28"/>
          <w:szCs w:val="28"/>
          <w:lang w:val="en-US" w:eastAsia="zh-CN"/>
        </w:rPr>
        <w:t>3.51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2496.92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90.81</w:t>
      </w:r>
      <w:r>
        <w:rPr>
          <w:rFonts w:hint="eastAsia" w:ascii="仿宋_GB2312" w:eastAsia="仿宋_GB2312"/>
          <w:sz w:val="28"/>
          <w:szCs w:val="28"/>
        </w:rPr>
        <w:t>万元，下降</w:t>
      </w:r>
      <w:r>
        <w:rPr>
          <w:rFonts w:hint="eastAsia" w:ascii="仿宋_GB2312" w:eastAsia="仿宋_GB2312"/>
          <w:sz w:val="28"/>
          <w:szCs w:val="28"/>
          <w:lang w:val="en-US" w:eastAsia="zh-CN"/>
        </w:rPr>
        <w:t>3.51</w:t>
      </w:r>
      <w:r>
        <w:rPr>
          <w:rFonts w:hint="eastAsia" w:ascii="仿宋_GB2312" w:eastAsia="仿宋_GB2312"/>
          <w:sz w:val="28"/>
          <w:szCs w:val="28"/>
        </w:rPr>
        <w:t>%。主要原因：</w:t>
      </w:r>
      <w:r>
        <w:rPr>
          <w:rFonts w:hint="eastAsia" w:ascii="仿宋_GB2312" w:eastAsia="仿宋_GB2312"/>
          <w:sz w:val="28"/>
          <w:szCs w:val="28"/>
          <w:lang w:eastAsia="zh-CN"/>
        </w:rPr>
        <w:t>人员变动及基数调整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1264.01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49.47</w:t>
      </w:r>
      <w:r>
        <w:rPr>
          <w:rFonts w:hint="eastAsia" w:ascii="仿宋_GB2312" w:eastAsia="仿宋_GB2312"/>
          <w:sz w:val="28"/>
          <w:szCs w:val="28"/>
        </w:rPr>
        <w:t>万元，下降</w:t>
      </w:r>
      <w:r>
        <w:rPr>
          <w:rFonts w:hint="eastAsia" w:ascii="仿宋_GB2312" w:eastAsia="仿宋_GB2312"/>
          <w:sz w:val="28"/>
          <w:szCs w:val="28"/>
          <w:lang w:val="en-US" w:eastAsia="zh-CN"/>
        </w:rPr>
        <w:t>3.77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1264.01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49.47</w:t>
      </w:r>
      <w:r>
        <w:rPr>
          <w:rFonts w:hint="eastAsia" w:ascii="仿宋_GB2312" w:eastAsia="仿宋_GB2312"/>
          <w:sz w:val="28"/>
          <w:szCs w:val="28"/>
        </w:rPr>
        <w:t>万元，下降</w:t>
      </w:r>
      <w:r>
        <w:rPr>
          <w:rFonts w:hint="eastAsia" w:ascii="仿宋_GB2312" w:eastAsia="仿宋_GB2312"/>
          <w:sz w:val="28"/>
          <w:szCs w:val="28"/>
          <w:lang w:val="en-US" w:eastAsia="zh-CN"/>
        </w:rPr>
        <w:t>3.77</w:t>
      </w:r>
      <w:r>
        <w:rPr>
          <w:rFonts w:hint="eastAsia" w:ascii="仿宋_GB2312" w:eastAsia="仿宋_GB2312"/>
          <w:sz w:val="28"/>
          <w:szCs w:val="28"/>
        </w:rPr>
        <w:t>%。主要原因：</w:t>
      </w:r>
      <w:r>
        <w:rPr>
          <w:rFonts w:hint="eastAsia" w:ascii="仿宋_GB2312" w:eastAsia="仿宋_GB2312"/>
          <w:sz w:val="28"/>
          <w:szCs w:val="28"/>
          <w:lang w:eastAsia="zh-CN"/>
        </w:rPr>
        <w:t>人员变动及基数调整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自然资源海洋气象等支出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79694.54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33385.78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72.09</w:t>
      </w:r>
      <w:r>
        <w:rPr>
          <w:rFonts w:hint="eastAsia" w:ascii="仿宋_GB2312" w:eastAsia="仿宋_GB2312"/>
          <w:sz w:val="28"/>
          <w:szCs w:val="28"/>
        </w:rPr>
        <w:t>%。其中：</w:t>
      </w:r>
    </w:p>
    <w:p>
      <w:pPr>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eastAsia="仿宋_GB2312"/>
          <w:sz w:val="28"/>
          <w:szCs w:val="28"/>
        </w:rPr>
        <w:t>“自然资源事务”（款）202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79694.54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33385.78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72.09</w:t>
      </w:r>
      <w:r>
        <w:rPr>
          <w:rFonts w:hint="eastAsia" w:ascii="仿宋_GB2312" w:eastAsia="仿宋_GB2312"/>
          <w:sz w:val="28"/>
          <w:szCs w:val="28"/>
        </w:rPr>
        <w:t>%。主要原因：</w:t>
      </w:r>
      <w:r>
        <w:rPr>
          <w:rFonts w:hint="eastAsia" w:ascii="仿宋_GB2312" w:eastAsia="仿宋_GB2312"/>
          <w:sz w:val="28"/>
          <w:szCs w:val="28"/>
          <w:lang w:eastAsia="zh-CN"/>
        </w:rPr>
        <w:t>追加</w:t>
      </w:r>
      <w:r>
        <w:rPr>
          <w:rFonts w:hint="eastAsia" w:ascii="仿宋_GB2312" w:hAnsi="Times New Roman" w:eastAsia="仿宋_GB2312" w:cs="Times New Roman"/>
          <w:sz w:val="28"/>
          <w:szCs w:val="28"/>
          <w:lang w:eastAsia="zh-CN"/>
        </w:rPr>
        <w:t>了施工图设计文件审查、京西重点地区专项规划、北京市市政交通基础设施信息化项目、北京市自然资源统一确权登记、北京市房地一体的宅基地、集体建设用地地籍调查和确权登记工作等项目。</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eastAsia="zh-CN"/>
        </w:rPr>
        <w:t>灾害防治及应急管理支出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559.63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18.89</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3.27</w:t>
      </w:r>
      <w:r>
        <w:rPr>
          <w:rFonts w:hint="eastAsia" w:ascii="仿宋_GB2312" w:eastAsia="仿宋_GB2312"/>
          <w:sz w:val="28"/>
          <w:szCs w:val="28"/>
        </w:rPr>
        <w:t>%。其中：</w:t>
      </w:r>
    </w:p>
    <w:p>
      <w:pPr>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eastAsia="仿宋_GB2312"/>
          <w:sz w:val="28"/>
          <w:szCs w:val="28"/>
        </w:rPr>
        <w:t>“自然灾害防治”（款）202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559.63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18.89</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3.27</w:t>
      </w:r>
      <w:r>
        <w:rPr>
          <w:rFonts w:hint="eastAsia" w:ascii="仿宋_GB2312" w:eastAsia="仿宋_GB2312"/>
          <w:sz w:val="28"/>
          <w:szCs w:val="28"/>
        </w:rPr>
        <w:t>%。主要原因：</w:t>
      </w:r>
      <w:r>
        <w:rPr>
          <w:rFonts w:hint="eastAsia" w:ascii="仿宋_GB2312" w:eastAsia="仿宋_GB2312"/>
          <w:sz w:val="28"/>
          <w:szCs w:val="28"/>
          <w:lang w:eastAsia="zh-CN"/>
        </w:rPr>
        <w:t>剩余金额主要为招标结余</w:t>
      </w:r>
      <w:r>
        <w:rPr>
          <w:rFonts w:hint="eastAsia" w:ascii="仿宋_GB2312" w:hAnsi="Times New Roman" w:eastAsia="仿宋_GB2312" w:cs="Times New Roman"/>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549373.85</w:t>
      </w:r>
      <w:r>
        <w:rPr>
          <w:rFonts w:hint="eastAsia" w:ascii="仿宋_GB2312" w:eastAsia="仿宋_GB2312"/>
          <w:sz w:val="28"/>
          <w:szCs w:val="28"/>
        </w:rPr>
        <w:t>万元，主要用于以下方面（按大类）：城乡社区支出</w:t>
      </w:r>
      <w:r>
        <w:rPr>
          <w:rFonts w:ascii="仿宋_GB2312" w:eastAsia="仿宋_GB2312"/>
          <w:sz w:val="28"/>
          <w:szCs w:val="28"/>
        </w:rPr>
        <w:t>549373.85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549373.85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523545.63</w:t>
      </w:r>
      <w:r>
        <w:rPr>
          <w:rFonts w:hint="eastAsia" w:ascii="仿宋_GB2312" w:eastAsia="仿宋_GB2312"/>
          <w:sz w:val="28"/>
          <w:szCs w:val="28"/>
        </w:rPr>
        <w:t>万元，增长</w:t>
      </w:r>
      <w:r>
        <w:rPr>
          <w:rFonts w:hint="eastAsia" w:ascii="仿宋_GB2312" w:eastAsia="仿宋_GB2312"/>
          <w:sz w:val="28"/>
          <w:szCs w:val="28"/>
          <w:lang w:val="en-US" w:eastAsia="zh-CN"/>
        </w:rPr>
        <w:t>2027.03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57728.99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33786.29</w:t>
      </w:r>
      <w:r>
        <w:rPr>
          <w:rFonts w:hint="eastAsia" w:ascii="仿宋_GB2312" w:eastAsia="仿宋_GB2312"/>
          <w:sz w:val="28"/>
          <w:szCs w:val="28"/>
        </w:rPr>
        <w:t>万元，增长</w:t>
      </w:r>
      <w:r>
        <w:rPr>
          <w:rFonts w:hint="eastAsia" w:ascii="仿宋_GB2312" w:eastAsia="仿宋_GB2312"/>
          <w:sz w:val="28"/>
          <w:szCs w:val="28"/>
          <w:lang w:val="en-US" w:eastAsia="zh-CN"/>
        </w:rPr>
        <w:t>141.11</w:t>
      </w:r>
      <w:r>
        <w:rPr>
          <w:rFonts w:hint="eastAsia" w:ascii="仿宋_GB2312" w:eastAsia="仿宋_GB2312"/>
          <w:sz w:val="28"/>
          <w:szCs w:val="28"/>
        </w:rPr>
        <w:t>%。主要原因：</w:t>
      </w:r>
      <w:r>
        <w:rPr>
          <w:rFonts w:hint="eastAsia" w:ascii="仿宋_GB2312" w:eastAsia="仿宋_GB2312"/>
          <w:sz w:val="28"/>
          <w:szCs w:val="28"/>
          <w:lang w:eastAsia="zh-CN"/>
        </w:rPr>
        <w:t>年中追</w:t>
      </w:r>
      <w:r>
        <w:rPr>
          <w:rFonts w:hint="eastAsia" w:ascii="仿宋_GB2312" w:hAnsi="Times New Roman" w:eastAsia="仿宋_GB2312" w:cs="Times New Roman"/>
          <w:sz w:val="28"/>
          <w:szCs w:val="28"/>
          <w:lang w:eastAsia="zh-CN"/>
        </w:rPr>
        <w:t>加了市级土地储备项目、全委卫星影像数据采购及应用、北京市耕地资源质量分类更新与监测、信息化运行维护、北京市土地整治项目新增耕地复核验收及抽查鉴定等项目。</w:t>
      </w:r>
    </w:p>
    <w:p>
      <w:pPr>
        <w:pStyle w:val="3"/>
        <w:rPr>
          <w:rFonts w:hint="eastAsia"/>
        </w:rPr>
      </w:pPr>
      <w:r>
        <w:rPr>
          <w:rFonts w:hint="eastAsia" w:ascii="仿宋_GB2312" w:eastAsia="仿宋_GB2312"/>
          <w:sz w:val="28"/>
          <w:szCs w:val="28"/>
        </w:rPr>
        <w:t>“国有土地收益基金安排的支出”（款）202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490000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490000</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年中追加了</w:t>
      </w:r>
      <w:r>
        <w:rPr>
          <w:rFonts w:hint="eastAsia" w:ascii="仿宋_GB2312" w:hAnsi="Times New Roman" w:eastAsia="仿宋_GB2312" w:cs="Times New Roman"/>
          <w:sz w:val="28"/>
          <w:szCs w:val="28"/>
          <w:lang w:eastAsia="zh-CN"/>
        </w:rPr>
        <w:t>市级土地储备项目。</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lang w:eastAsia="zh-CN"/>
        </w:rPr>
        <w:t>本单位无此项经费。</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18885.18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bCs/>
          <w:spacing w:val="40"/>
          <w:kern w:val="0"/>
          <w:sz w:val="44"/>
          <w:szCs w:val="44"/>
          <w:lang w:val="en-US" w:eastAsia="zh-CN"/>
        </w:rPr>
      </w:pPr>
      <w:r>
        <w:rPr>
          <w:rFonts w:ascii="仿宋_GB2312" w:eastAsia="仿宋_GB2312"/>
          <w:sz w:val="28"/>
          <w:szCs w:val="28"/>
        </w:rPr>
        <w:br w:type="page"/>
      </w:r>
      <w:r>
        <w:rPr>
          <w:rFonts w:hint="eastAsia" w:ascii="宋体" w:hAnsi="宋体" w:cs="宋体"/>
          <w:b/>
          <w:bCs/>
          <w:spacing w:val="40"/>
          <w:kern w:val="0"/>
          <w:sz w:val="44"/>
          <w:szCs w:val="44"/>
          <w:lang w:val="en-US" w:eastAsia="zh-CN"/>
        </w:rPr>
        <w:t>第三部分2023年度其他重要事项的情况说明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w:t>
      </w:r>
      <w:r>
        <w:rPr>
          <w:rFonts w:hint="eastAsia" w:ascii="仿宋_GB2312" w:hAnsi="Times New Roman" w:eastAsia="仿宋_GB2312" w:cs="Times New Roman"/>
          <w:sz w:val="28"/>
          <w:szCs w:val="28"/>
        </w:rPr>
        <w:t>包括</w:t>
      </w:r>
      <w:r>
        <w:rPr>
          <w:rFonts w:hint="eastAsia" w:ascii="仿宋_GB2312" w:hAnsi="Times New Roman" w:eastAsia="仿宋_GB2312" w:cs="Times New Roman"/>
          <w:sz w:val="28"/>
          <w:szCs w:val="28"/>
          <w:lang w:val="en-US" w:eastAsia="zh-CN"/>
        </w:rPr>
        <w:t>机关本级1个单位</w:t>
      </w:r>
      <w:r>
        <w:rPr>
          <w:rFonts w:hint="eastAsia" w:ascii="仿宋_GB2312" w:hAnsi="Times New Roman" w:eastAsia="仿宋_GB2312" w:cs="Times New Roman"/>
          <w:sz w:val="28"/>
          <w:szCs w:val="28"/>
        </w:rPr>
        <w:t>。</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111.91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367.22</w:t>
      </w:r>
      <w:r>
        <w:rPr>
          <w:rFonts w:hint="eastAsia" w:ascii="仿宋_GB2312" w:eastAsia="仿宋_GB2312"/>
          <w:sz w:val="28"/>
          <w:szCs w:val="28"/>
        </w:rPr>
        <w:t>万元减少</w:t>
      </w:r>
      <w:r>
        <w:rPr>
          <w:rFonts w:ascii="仿宋_GB2312" w:eastAsia="仿宋_GB2312"/>
          <w:sz w:val="28"/>
          <w:szCs w:val="28"/>
        </w:rPr>
        <w:t>255.31</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35.71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260</w:t>
      </w:r>
      <w:r>
        <w:rPr>
          <w:rFonts w:hint="eastAsia" w:ascii="仿宋_GB2312" w:eastAsia="仿宋_GB2312"/>
          <w:sz w:val="28"/>
          <w:szCs w:val="28"/>
        </w:rPr>
        <w:t>万元减少</w:t>
      </w:r>
      <w:r>
        <w:rPr>
          <w:rFonts w:ascii="仿宋_GB2312" w:eastAsia="仿宋_GB2312"/>
          <w:sz w:val="28"/>
          <w:szCs w:val="28"/>
        </w:rPr>
        <w:t>224.28</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落实政府过紧日子要求，厉行勤俭节约的要求</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年度因公出国（境）费用主要用于</w:t>
      </w:r>
      <w:r>
        <w:rPr>
          <w:rFonts w:hint="eastAsia" w:ascii="仿宋_GB2312" w:eastAsia="仿宋_GB2312"/>
          <w:sz w:val="28"/>
          <w:szCs w:val="28"/>
          <w:lang w:eastAsia="zh-CN"/>
        </w:rPr>
        <w:t>参加申办</w:t>
      </w:r>
      <w:r>
        <w:rPr>
          <w:rFonts w:hint="eastAsia" w:ascii="仿宋_GB2312" w:eastAsia="仿宋_GB2312"/>
          <w:sz w:val="28"/>
          <w:szCs w:val="28"/>
          <w:lang w:val="en-US" w:eastAsia="zh-CN"/>
        </w:rPr>
        <w:t>2029年世界建筑师大会会议、招商引资洽谈</w:t>
      </w:r>
      <w:r>
        <w:rPr>
          <w:rFonts w:hint="eastAsia" w:ascii="仿宋_GB2312" w:eastAsia="仿宋_GB2312"/>
          <w:sz w:val="28"/>
          <w:szCs w:val="28"/>
        </w:rPr>
        <w:t>等方面，202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1</w:t>
      </w:r>
      <w:r>
        <w:rPr>
          <w:rFonts w:hint="eastAsia" w:ascii="仿宋_GB2312" w:eastAsia="仿宋_GB2312"/>
          <w:sz w:val="28"/>
          <w:szCs w:val="28"/>
        </w:rPr>
        <w:t>个、</w:t>
      </w:r>
      <w:r>
        <w:rPr>
          <w:rFonts w:hint="eastAsia" w:ascii="仿宋_GB2312" w:eastAsia="仿宋_GB2312"/>
          <w:sz w:val="28"/>
          <w:szCs w:val="28"/>
          <w:lang w:val="en-US" w:eastAsia="zh-CN"/>
        </w:rPr>
        <w:t>8</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4.46</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0.28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5.27</w:t>
      </w:r>
      <w:r>
        <w:rPr>
          <w:rFonts w:hint="eastAsia" w:ascii="仿宋_GB2312" w:eastAsia="仿宋_GB2312"/>
          <w:sz w:val="28"/>
          <w:szCs w:val="28"/>
        </w:rPr>
        <w:t>万元减少</w:t>
      </w:r>
      <w:r>
        <w:rPr>
          <w:rFonts w:hint="eastAsia" w:ascii="仿宋_GB2312" w:eastAsia="仿宋_GB2312"/>
          <w:sz w:val="28"/>
          <w:szCs w:val="28"/>
          <w:lang w:val="en-US" w:eastAsia="zh-CN"/>
        </w:rPr>
        <w:t>4.99</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落实政府过紧日子要求，厉行勤俭节约要求，严格控制公务接待数量及规格</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年度公务接待费主要用于</w:t>
      </w:r>
      <w:r>
        <w:rPr>
          <w:rFonts w:hint="eastAsia" w:ascii="仿宋_GB2312" w:eastAsia="仿宋_GB2312"/>
          <w:sz w:val="28"/>
          <w:szCs w:val="28"/>
          <w:lang w:eastAsia="zh-CN"/>
        </w:rPr>
        <w:t>接待上海、重庆、辽宁、广东等规自系统人员来访</w:t>
      </w:r>
      <w:r>
        <w:rPr>
          <w:rFonts w:hint="eastAsia" w:ascii="仿宋_GB2312" w:eastAsia="仿宋_GB2312"/>
          <w:sz w:val="28"/>
          <w:szCs w:val="28"/>
        </w:rPr>
        <w:t>。公务接待</w:t>
      </w:r>
      <w:r>
        <w:rPr>
          <w:rFonts w:hint="eastAsia" w:ascii="仿宋_GB2312" w:eastAsia="仿宋_GB2312"/>
          <w:sz w:val="28"/>
          <w:szCs w:val="28"/>
          <w:lang w:val="en-US" w:eastAsia="zh-CN"/>
        </w:rPr>
        <w:t>5</w:t>
      </w:r>
      <w:r>
        <w:rPr>
          <w:rFonts w:hint="eastAsia" w:ascii="仿宋_GB2312" w:eastAsia="仿宋_GB2312"/>
          <w:sz w:val="28"/>
          <w:szCs w:val="28"/>
        </w:rPr>
        <w:t>批次，公务接待</w:t>
      </w:r>
      <w:r>
        <w:rPr>
          <w:rFonts w:hint="eastAsia" w:ascii="仿宋_GB2312" w:eastAsia="仿宋_GB2312"/>
          <w:sz w:val="28"/>
          <w:szCs w:val="28"/>
          <w:lang w:val="en-US" w:eastAsia="zh-CN"/>
        </w:rPr>
        <w:t>35</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75.92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101.94</w:t>
      </w:r>
      <w:r>
        <w:rPr>
          <w:rFonts w:hint="eastAsia" w:ascii="仿宋_GB2312" w:eastAsia="仿宋_GB2312"/>
          <w:sz w:val="28"/>
          <w:szCs w:val="28"/>
        </w:rPr>
        <w:t>万元减少</w:t>
      </w:r>
      <w:r>
        <w:rPr>
          <w:rFonts w:hint="eastAsia" w:ascii="仿宋_GB2312" w:eastAsia="仿宋_GB2312"/>
          <w:sz w:val="28"/>
          <w:szCs w:val="28"/>
          <w:lang w:val="en-US" w:eastAsia="zh-CN"/>
        </w:rPr>
        <w:t>26.03</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37.55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37.92</w:t>
      </w:r>
      <w:r>
        <w:rPr>
          <w:rFonts w:hint="eastAsia" w:ascii="仿宋_GB2312" w:eastAsia="仿宋_GB2312"/>
          <w:sz w:val="28"/>
          <w:szCs w:val="28"/>
        </w:rPr>
        <w:t>万元减少</w:t>
      </w:r>
      <w:r>
        <w:rPr>
          <w:rFonts w:ascii="仿宋_GB2312" w:eastAsia="仿宋_GB2312"/>
          <w:sz w:val="28"/>
          <w:szCs w:val="28"/>
        </w:rPr>
        <w:t>0.36</w:t>
      </w:r>
      <w:r>
        <w:rPr>
          <w:rFonts w:hint="eastAsia" w:ascii="仿宋_GB2312" w:eastAsia="仿宋_GB2312"/>
          <w:sz w:val="28"/>
          <w:szCs w:val="28"/>
        </w:rPr>
        <w:t>万元。主要原因：</w:t>
      </w:r>
      <w:r>
        <w:rPr>
          <w:rFonts w:hint="eastAsia" w:ascii="仿宋_GB2312" w:eastAsia="仿宋_GB2312"/>
          <w:sz w:val="28"/>
          <w:szCs w:val="28"/>
          <w:lang w:eastAsia="zh-CN"/>
        </w:rPr>
        <w:t>采购结余</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highlight w:val="none"/>
        </w:rPr>
        <w:t>度购置</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辆</w:t>
      </w:r>
      <w:r>
        <w:rPr>
          <w:rFonts w:hint="eastAsia" w:ascii="仿宋_GB2312" w:eastAsia="仿宋_GB2312"/>
          <w:sz w:val="28"/>
          <w:szCs w:val="28"/>
        </w:rPr>
        <w:t>，车均购置费</w:t>
      </w:r>
      <w:r>
        <w:rPr>
          <w:rFonts w:hint="eastAsia" w:ascii="仿宋_GB2312" w:eastAsia="仿宋_GB2312"/>
          <w:sz w:val="28"/>
          <w:szCs w:val="28"/>
          <w:lang w:val="en-US" w:eastAsia="zh-CN"/>
        </w:rPr>
        <w:t>27.55</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38.37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64.02</w:t>
      </w:r>
      <w:r>
        <w:rPr>
          <w:rFonts w:hint="eastAsia" w:ascii="仿宋_GB2312" w:eastAsia="仿宋_GB2312"/>
          <w:sz w:val="28"/>
          <w:szCs w:val="28"/>
        </w:rPr>
        <w:t>万元减少</w:t>
      </w:r>
      <w:r>
        <w:rPr>
          <w:rFonts w:hint="eastAsia" w:ascii="仿宋_GB2312" w:eastAsia="仿宋_GB2312"/>
          <w:sz w:val="28"/>
          <w:szCs w:val="28"/>
          <w:lang w:val="en-US" w:eastAsia="zh-CN"/>
        </w:rPr>
        <w:t>25.66</w:t>
      </w:r>
      <w:r>
        <w:rPr>
          <w:rFonts w:hint="eastAsia" w:ascii="仿宋_GB2312" w:eastAsia="仿宋_GB2312"/>
          <w:sz w:val="28"/>
          <w:szCs w:val="28"/>
        </w:rPr>
        <w:t>万元，主要原因：</w:t>
      </w:r>
      <w:r>
        <w:rPr>
          <w:rFonts w:hint="eastAsia" w:ascii="仿宋_GB2312" w:eastAsia="仿宋_GB2312"/>
          <w:b w:val="0"/>
          <w:kern w:val="2"/>
          <w:sz w:val="28"/>
          <w:szCs w:val="28"/>
          <w:lang w:val="en-US" w:eastAsia="zh-CN" w:bidi="ar-SA"/>
        </w:rPr>
        <w:t>厉行节约原则，加强车辆管理，严控车辆运行维护费支出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13.03</w:t>
      </w:r>
      <w:r>
        <w:rPr>
          <w:rFonts w:hint="eastAsia" w:ascii="仿宋_GB2312" w:eastAsia="仿宋_GB2312"/>
          <w:sz w:val="28"/>
          <w:szCs w:val="28"/>
        </w:rPr>
        <w:t>万元，公务用车维修</w:t>
      </w:r>
      <w:r>
        <w:rPr>
          <w:rFonts w:ascii="仿宋_GB2312" w:eastAsia="仿宋_GB2312"/>
          <w:sz w:val="28"/>
          <w:szCs w:val="28"/>
          <w:highlight w:val="none"/>
        </w:rPr>
        <w:t>17.75</w:t>
      </w:r>
      <w:r>
        <w:rPr>
          <w:rFonts w:hint="eastAsia" w:ascii="仿宋_GB2312" w:eastAsia="仿宋_GB2312"/>
          <w:sz w:val="28"/>
          <w:szCs w:val="28"/>
        </w:rPr>
        <w:t>万元，公务用车保险</w:t>
      </w:r>
      <w:r>
        <w:rPr>
          <w:rFonts w:ascii="仿宋_GB2312" w:eastAsia="仿宋_GB2312"/>
          <w:sz w:val="28"/>
          <w:szCs w:val="28"/>
          <w:highlight w:val="none"/>
        </w:rPr>
        <w:t>6.37</w:t>
      </w:r>
      <w:r>
        <w:rPr>
          <w:rFonts w:hint="eastAsia" w:ascii="仿宋_GB2312" w:eastAsia="仿宋_GB2312"/>
          <w:sz w:val="28"/>
          <w:szCs w:val="28"/>
        </w:rPr>
        <w:t>万元，公务用车其他支出</w:t>
      </w:r>
      <w:r>
        <w:rPr>
          <w:rFonts w:ascii="仿宋_GB2312" w:eastAsia="仿宋_GB2312"/>
          <w:sz w:val="28"/>
          <w:szCs w:val="28"/>
          <w:highlight w:val="none"/>
        </w:rPr>
        <w:t>1.23</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28</w:t>
      </w:r>
      <w:r>
        <w:rPr>
          <w:rFonts w:hint="eastAsia" w:ascii="仿宋_GB2312" w:eastAsia="仿宋_GB2312"/>
          <w:sz w:val="28"/>
          <w:szCs w:val="28"/>
        </w:rPr>
        <w:t>辆，车均运行维护费</w:t>
      </w:r>
      <w:r>
        <w:rPr>
          <w:rFonts w:hint="eastAsia" w:ascii="仿宋_GB2312" w:eastAsia="仿宋_GB2312"/>
          <w:sz w:val="28"/>
          <w:szCs w:val="28"/>
          <w:lang w:val="en-US" w:eastAsia="zh-CN"/>
        </w:rPr>
        <w:t>1.37</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1176.29</w:t>
      </w:r>
      <w:r>
        <w:rPr>
          <w:rFonts w:hint="eastAsia" w:ascii="仿宋_GB2312" w:eastAsia="仿宋_GB2312"/>
          <w:sz w:val="28"/>
          <w:szCs w:val="28"/>
        </w:rPr>
        <w:t>万元，比上年增加</w:t>
      </w:r>
      <w:r>
        <w:rPr>
          <w:rFonts w:hint="eastAsia" w:ascii="仿宋_GB2312" w:eastAsia="仿宋_GB2312"/>
          <w:sz w:val="28"/>
          <w:szCs w:val="28"/>
          <w:lang w:val="en-US" w:eastAsia="zh-CN"/>
        </w:rPr>
        <w:t>118.66</w:t>
      </w:r>
      <w:r>
        <w:rPr>
          <w:rFonts w:hint="eastAsia" w:ascii="仿宋_GB2312" w:eastAsia="仿宋_GB2312"/>
          <w:sz w:val="28"/>
          <w:szCs w:val="28"/>
        </w:rPr>
        <w:t>万元，增加原因：</w:t>
      </w:r>
      <w:r>
        <w:rPr>
          <w:rFonts w:hint="eastAsia" w:ascii="仿宋_GB2312" w:eastAsia="仿宋_GB2312"/>
          <w:sz w:val="28"/>
          <w:szCs w:val="28"/>
          <w:lang w:eastAsia="zh-CN"/>
        </w:rPr>
        <w:t>疫情结束前往外地开展各项调研事项增加、培训费增加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78091.03</w:t>
      </w:r>
      <w:r>
        <w:rPr>
          <w:rFonts w:hint="eastAsia" w:ascii="仿宋_GB2312" w:eastAsia="仿宋_GB2312"/>
          <w:sz w:val="28"/>
          <w:szCs w:val="28"/>
        </w:rPr>
        <w:t>万元，其中：政府采购货物支出</w:t>
      </w:r>
      <w:r>
        <w:rPr>
          <w:rFonts w:ascii="仿宋_GB2312" w:eastAsia="仿宋_GB2312"/>
          <w:sz w:val="28"/>
          <w:szCs w:val="28"/>
        </w:rPr>
        <w:t>540.78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77550.25</w:t>
      </w:r>
      <w:r>
        <w:rPr>
          <w:rFonts w:hint="eastAsia" w:ascii="仿宋_GB2312" w:eastAsia="仿宋_GB2312"/>
          <w:sz w:val="28"/>
          <w:szCs w:val="28"/>
        </w:rPr>
        <w:t>万元。授予中小企业合同金额</w:t>
      </w:r>
      <w:r>
        <w:rPr>
          <w:rFonts w:ascii="仿宋_GB2312" w:eastAsia="仿宋_GB2312"/>
          <w:sz w:val="28"/>
          <w:szCs w:val="28"/>
          <w:highlight w:val="none"/>
        </w:rPr>
        <w:t>16410.82</w:t>
      </w:r>
      <w:r>
        <w:rPr>
          <w:rFonts w:hint="eastAsia" w:ascii="仿宋_GB2312" w:eastAsia="仿宋_GB2312"/>
          <w:sz w:val="28"/>
          <w:szCs w:val="28"/>
        </w:rPr>
        <w:t>万元，占政府采购支出总额的</w:t>
      </w:r>
      <w:r>
        <w:rPr>
          <w:rFonts w:ascii="仿宋_GB2312" w:eastAsia="仿宋_GB2312"/>
          <w:sz w:val="28"/>
          <w:szCs w:val="28"/>
          <w:highlight w:val="none"/>
        </w:rPr>
        <w:t>21.01</w:t>
      </w:r>
      <w:r>
        <w:rPr>
          <w:rFonts w:hint="eastAsia" w:ascii="仿宋_GB2312" w:eastAsia="仿宋_GB2312"/>
          <w:sz w:val="28"/>
          <w:szCs w:val="28"/>
        </w:rPr>
        <w:t>%，其中：授予小微企业合同金额</w:t>
      </w:r>
      <w:r>
        <w:rPr>
          <w:rFonts w:ascii="仿宋_GB2312" w:eastAsia="仿宋_GB2312"/>
          <w:sz w:val="28"/>
          <w:szCs w:val="28"/>
          <w:highlight w:val="none"/>
        </w:rPr>
        <w:t>11809.69</w:t>
      </w:r>
      <w:r>
        <w:rPr>
          <w:rFonts w:hint="eastAsia" w:ascii="仿宋_GB2312" w:eastAsia="仿宋_GB2312"/>
          <w:sz w:val="28"/>
          <w:szCs w:val="28"/>
        </w:rPr>
        <w:t>万元，占政府采购支出总额的</w:t>
      </w:r>
      <w:r>
        <w:rPr>
          <w:rFonts w:ascii="仿宋_GB2312" w:eastAsia="仿宋_GB2312"/>
          <w:sz w:val="28"/>
          <w:szCs w:val="28"/>
          <w:highlight w:val="none"/>
        </w:rPr>
        <w:t>15.12</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highlight w:val="none"/>
        </w:rPr>
      </w:pPr>
      <w:r>
        <w:rPr>
          <w:rFonts w:hint="eastAsia" w:ascii="仿宋_GB2312" w:eastAsia="仿宋_GB2312"/>
          <w:sz w:val="28"/>
          <w:szCs w:val="28"/>
          <w:lang w:val="en-US" w:eastAsia="zh-CN"/>
        </w:rPr>
        <w:t>2023年度新购置车辆2</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37.55</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highlight w:val="none"/>
          <w:lang w:val="en-US" w:eastAsia="zh-CN"/>
        </w:rPr>
        <w:t>，我单位</w:t>
      </w:r>
      <w:r>
        <w:rPr>
          <w:rFonts w:hint="eastAsia" w:ascii="仿宋_GB2312" w:eastAsia="仿宋_GB2312"/>
          <w:sz w:val="28"/>
          <w:szCs w:val="28"/>
          <w:highlight w:val="none"/>
          <w:lang w:eastAsia="zh-CN"/>
        </w:rPr>
        <w:t>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28</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603.42</w:t>
      </w:r>
      <w:r>
        <w:rPr>
          <w:rFonts w:hint="eastAsia" w:ascii="仿宋_GB2312" w:eastAsia="仿宋_GB2312"/>
          <w:sz w:val="28"/>
          <w:szCs w:val="28"/>
          <w:highlight w:val="none"/>
        </w:rPr>
        <w:t>万元；单位价值100万元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18</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，共计6436.52万元。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hint="eastAsia" w:ascii="仿宋_GB2312" w:eastAsia="仿宋_GB2312"/>
          <w:sz w:val="28"/>
          <w:szCs w:val="28"/>
          <w:highlight w:val="none"/>
          <w:lang w:val="en-US" w:eastAsia="zh-CN"/>
        </w:rPr>
        <w:t>49996.61</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highlight w:val="none"/>
        </w:rPr>
        <w:t>7.</w:t>
      </w:r>
      <w:r>
        <w:rPr>
          <w:rFonts w:hint="eastAsia" w:ascii="仿宋_GB2312" w:eastAsia="仿宋_GB2312"/>
          <w:sz w:val="28"/>
          <w:szCs w:val="28"/>
          <w:highlight w:val="none"/>
          <w:lang w:eastAsia="zh-CN"/>
        </w:rPr>
        <w:t>教育支出（类）进修及培训（款）培训支出（项）：反映各部门安排的用于培训的支出。教育部门的</w:t>
      </w:r>
      <w:r>
        <w:rPr>
          <w:rFonts w:hint="eastAsia" w:ascii="仿宋_GB2312" w:eastAsia="仿宋_GB2312"/>
          <w:sz w:val="28"/>
          <w:szCs w:val="28"/>
          <w:lang w:eastAsia="zh-CN"/>
        </w:rPr>
        <w:t>师资培训，党校、行政学院等专业干部教育机构的支出，以及退役士兵、转业士官的培训支出，不在本科目反映。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10.社会保障和就业支出（类）行政事业单位养老支出（款）机关事业单位职业年金缴费支出（项）：反映机关事业单位实施养老保险制度由单位实际缴纳的职业年金支出。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11.卫生健康支出（类）行政事业单位医疗（款）行政单位医疗（项）：反映财政部门安排的行政单位（包括实行公务员管理的事业单位，同下）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12.自然资源海洋气象等支出（类）自然资源事务（款）行政运行（项）：反映行政单位（包括实行公务员管理的事业单位）的基本支出。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13.自然资源海洋气象等支出（类）自然资源事务（款）一般行政管理事务（项）：反映行政单位（包括实行公务员管理的事业单位）未单独设置项级科目的其他项目支出。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14.自然资源海洋气象等支出（类）自然资源事务（款）自然资源规划及管理（项）：反映用于国土空间规划、国土空间开发适宜性评价等方面的支出。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15.自然资源海洋气象等支出（类）自然资源事务（款）其他自然资源事务支出（项）：反映除上述项目以外其他用于自然资源事务方面的支出。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16.灾害防治及应急管理支出（类）自然灾害防治（款）地质灾害防治（项）：反映防治地质灾害方面的支出。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highlight w:val="green"/>
          <w:lang w:eastAsia="zh-CN"/>
        </w:rPr>
      </w:pPr>
      <w:r>
        <w:rPr>
          <w:rFonts w:hint="eastAsia" w:ascii="仿宋_GB2312" w:eastAsia="仿宋_GB2312"/>
          <w:sz w:val="28"/>
          <w:szCs w:val="28"/>
          <w:highlight w:val="none"/>
          <w:lang w:val="en-US" w:eastAsia="zh-CN"/>
        </w:rPr>
        <w:t>17.</w:t>
      </w:r>
      <w:r>
        <w:rPr>
          <w:rFonts w:hint="eastAsia" w:ascii="仿宋_GB2312" w:eastAsia="仿宋_GB2312"/>
          <w:sz w:val="28"/>
          <w:szCs w:val="28"/>
          <w:highlight w:val="none"/>
          <w:lang w:eastAsia="zh-CN"/>
        </w:rPr>
        <w:t>城乡社区支出（类）国有土地收益基金安排的支出（款）土地开发支出（项）：反映从国有土地收益基金中安排用于收购储备土地需要支付的前期土地开发性支出以及与前期土地开发相关的费用等支出。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highlight w:val="green"/>
          <w:lang w:eastAsia="zh-CN"/>
        </w:rPr>
      </w:pPr>
      <w:r>
        <w:rPr>
          <w:rFonts w:hint="eastAsia" w:ascii="仿宋_GB2312" w:eastAsia="仿宋_GB2312"/>
          <w:sz w:val="28"/>
          <w:szCs w:val="28"/>
          <w:highlight w:val="none"/>
          <w:lang w:val="en-US" w:eastAsia="zh-CN"/>
        </w:rPr>
        <w:t>18.</w:t>
      </w:r>
      <w:r>
        <w:rPr>
          <w:rFonts w:hint="eastAsia" w:ascii="仿宋_GB2312" w:eastAsia="仿宋_GB2312"/>
          <w:sz w:val="28"/>
          <w:szCs w:val="28"/>
          <w:highlight w:val="none"/>
          <w:lang w:eastAsia="zh-CN"/>
        </w:rPr>
        <w:t>城乡社区支出（类）国有土地使用权出让收入安排的支出（款）土地出让业务支出（项）：反映土地出让收入用于土地出让业务费用的开支。</w:t>
      </w:r>
    </w:p>
    <w:p>
      <w:pPr>
        <w:numPr>
          <w:ilvl w:val="0"/>
          <w:numId w:val="0"/>
        </w:numPr>
        <w:rPr>
          <w:rFonts w:hint="eastAsia" w:ascii="仿宋_GB2312" w:eastAsia="仿宋_GB2312"/>
          <w:sz w:val="28"/>
          <w:szCs w:val="28"/>
          <w:lang w:val="en-US" w:eastAsia="zh-CN"/>
        </w:rPr>
      </w:pPr>
    </w:p>
    <w:p>
      <w:pPr>
        <w:pStyle w:val="4"/>
        <w:rPr>
          <w:rFonts w:hint="eastAsia" w:ascii="仿宋_GB2312" w:eastAsia="仿宋_GB2312"/>
          <w:sz w:val="28"/>
          <w:szCs w:val="28"/>
          <w:lang w:val="en-US" w:eastAsia="zh-CN"/>
        </w:rPr>
      </w:pPr>
    </w:p>
    <w:p>
      <w:pPr>
        <w:pStyle w:val="5"/>
        <w:rPr>
          <w:rFonts w:hint="eastAsia" w:ascii="仿宋_GB2312" w:eastAsia="仿宋_GB2312"/>
          <w:sz w:val="28"/>
          <w:szCs w:val="28"/>
          <w:lang w:val="en-US" w:eastAsia="zh-CN"/>
        </w:rPr>
      </w:pPr>
    </w:p>
    <w:p>
      <w:pPr>
        <w:rPr>
          <w:rFonts w:hint="eastAsia" w:ascii="仿宋_GB2312" w:eastAsia="仿宋_GB2312"/>
          <w:sz w:val="28"/>
          <w:szCs w:val="28"/>
          <w:lang w:val="en-US" w:eastAsia="zh-CN"/>
        </w:rPr>
      </w:pPr>
    </w:p>
    <w:p>
      <w:pPr>
        <w:pStyle w:val="4"/>
        <w:rPr>
          <w:rFonts w:hint="eastAsia" w:ascii="仿宋_GB2312" w:eastAsia="仿宋_GB2312"/>
          <w:sz w:val="28"/>
          <w:szCs w:val="28"/>
          <w:lang w:val="en-US" w:eastAsia="zh-CN"/>
        </w:rPr>
      </w:pPr>
    </w:p>
    <w:p>
      <w:pPr>
        <w:pStyle w:val="5"/>
        <w:rPr>
          <w:rFonts w:hint="eastAsia" w:ascii="仿宋_GB2312" w:eastAsia="仿宋_GB2312"/>
          <w:sz w:val="28"/>
          <w:szCs w:val="28"/>
          <w:lang w:val="en-US" w:eastAsia="zh-CN"/>
        </w:rPr>
      </w:pPr>
    </w:p>
    <w:p>
      <w:pPr>
        <w:rPr>
          <w:rFonts w:hint="eastAsia"/>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autoSpaceDE w:val="0"/>
        <w:autoSpaceDN w:val="0"/>
        <w:adjustRightInd w:val="0"/>
        <w:spacing w:line="580" w:lineRule="exact"/>
        <w:jc w:val="center"/>
        <w:rPr>
          <w:rFonts w:hint="eastAsia" w:ascii="宋体" w:hAnsi="宋体" w:cs="宋体"/>
          <w:b/>
          <w:bCs/>
          <w:spacing w:val="40"/>
          <w:kern w:val="0"/>
          <w:sz w:val="44"/>
          <w:szCs w:val="44"/>
          <w:lang w:val="en-US" w:eastAsia="zh-CN"/>
        </w:rPr>
      </w:pPr>
    </w:p>
    <w:p>
      <w:pPr>
        <w:autoSpaceDE w:val="0"/>
        <w:autoSpaceDN w:val="0"/>
        <w:adjustRightInd w:val="0"/>
        <w:spacing w:line="580" w:lineRule="exact"/>
        <w:jc w:val="center"/>
        <w:rPr>
          <w:rFonts w:hint="eastAsia" w:ascii="宋体" w:hAnsi="宋体" w:cs="宋体"/>
          <w:b/>
          <w:bCs/>
          <w:spacing w:val="40"/>
          <w:kern w:val="0"/>
          <w:sz w:val="44"/>
          <w:szCs w:val="44"/>
          <w:lang w:val="en-US" w:eastAsia="zh-CN"/>
        </w:rPr>
      </w:pPr>
      <w:r>
        <w:rPr>
          <w:rFonts w:hint="eastAsia" w:ascii="宋体" w:hAnsi="宋体" w:cs="宋体"/>
          <w:b/>
          <w:bCs/>
          <w:spacing w:val="40"/>
          <w:kern w:val="0"/>
          <w:sz w:val="44"/>
          <w:szCs w:val="44"/>
          <w:lang w:val="en-US" w:eastAsia="zh-CN"/>
        </w:rPr>
        <w:t>第四部分  2023年度部门绩效评价情况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pStyle w:val="2"/>
        <w:ind w:firstLine="560"/>
        <w:rPr>
          <w:rFonts w:hint="eastAsia"/>
        </w:rPr>
      </w:pPr>
      <w:bookmarkStart w:id="0" w:name="_GoBack"/>
      <w:bookmarkEnd w:id="0"/>
    </w:p>
    <w:p>
      <w:pPr>
        <w:rPr>
          <w:rFonts w:hint="eastAsia"/>
        </w:rPr>
      </w:pPr>
    </w:p>
    <w:p>
      <w:pPr>
        <w:pStyle w:val="2"/>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14</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23</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5460"/>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D005188"/>
    <w:rsid w:val="0F8E2C57"/>
    <w:rsid w:val="1059665E"/>
    <w:rsid w:val="10AC13BA"/>
    <w:rsid w:val="10E46495"/>
    <w:rsid w:val="10FF60B0"/>
    <w:rsid w:val="17D33D6C"/>
    <w:rsid w:val="1AEC0734"/>
    <w:rsid w:val="1DEF20B0"/>
    <w:rsid w:val="1E1555F6"/>
    <w:rsid w:val="1F6F2579"/>
    <w:rsid w:val="214243FA"/>
    <w:rsid w:val="257A14F5"/>
    <w:rsid w:val="25884D82"/>
    <w:rsid w:val="259C25B2"/>
    <w:rsid w:val="27196C26"/>
    <w:rsid w:val="27AC547F"/>
    <w:rsid w:val="29EF086F"/>
    <w:rsid w:val="2EFFE297"/>
    <w:rsid w:val="301437CA"/>
    <w:rsid w:val="37E54552"/>
    <w:rsid w:val="39DE5248"/>
    <w:rsid w:val="3D872A51"/>
    <w:rsid w:val="40C212A8"/>
    <w:rsid w:val="41B00166"/>
    <w:rsid w:val="433E495C"/>
    <w:rsid w:val="466D6698"/>
    <w:rsid w:val="4AC27CB3"/>
    <w:rsid w:val="4BF72BEF"/>
    <w:rsid w:val="51DB3C59"/>
    <w:rsid w:val="55762E42"/>
    <w:rsid w:val="57A7B272"/>
    <w:rsid w:val="581B0BD5"/>
    <w:rsid w:val="58470068"/>
    <w:rsid w:val="5A1720F9"/>
    <w:rsid w:val="5B9C37C2"/>
    <w:rsid w:val="5BA7C654"/>
    <w:rsid w:val="62BD7770"/>
    <w:rsid w:val="64C0607C"/>
    <w:rsid w:val="676F09E1"/>
    <w:rsid w:val="68B11F09"/>
    <w:rsid w:val="709E20ED"/>
    <w:rsid w:val="73F41E0F"/>
    <w:rsid w:val="799C580F"/>
    <w:rsid w:val="7A7F1C49"/>
    <w:rsid w:val="7AA82DBC"/>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3">
    <w:name w:val="Default Paragraph Font"/>
    <w:semiHidden/>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next w:val="5"/>
    <w:qFormat/>
    <w:uiPriority w:val="0"/>
    <w:pPr>
      <w:spacing w:before="0" w:after="140" w:line="276" w:lineRule="auto"/>
    </w:pPr>
  </w:style>
  <w:style w:type="paragraph" w:customStyle="1" w:styleId="5">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 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G:\2024&#24180;&#24037;&#20316;\2023&#24180;&#20915;&#31639;&#33609;&#26696;\&#26032;&#24314;%20XLSX%20&#24037;&#20316;&#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G:\2024&#24180;&#24037;&#20316;\2023&#24180;&#20915;&#31639;&#33609;&#26696;\&#26032;&#24314;%20XLSX%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b="1"/>
              <a:t>收入决算</a:t>
            </a:r>
            <a:endParaRPr b="1"/>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XLSX 工作表.xlsx]Sheet1'!$A$4:$A$5</c:f>
              <c:strCache>
                <c:ptCount val="2"/>
                <c:pt idx="0">
                  <c:v>财政拨款收入</c:v>
                </c:pt>
                <c:pt idx="1">
                  <c:v>其他收入</c:v>
                </c:pt>
              </c:strCache>
            </c:strRef>
          </c:cat>
          <c:val>
            <c:numRef>
              <c:f>'[新建 XLSX 工作表.xlsx]Sheet1'!$B$4:$B$5</c:f>
              <c:numCache>
                <c:formatCode>General</c:formatCode>
                <c:ptCount val="2"/>
                <c:pt idx="0">
                  <c:v>639408</c:v>
                </c:pt>
                <c:pt idx="1">
                  <c:v>4.69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b="1"/>
              <a:t>支出决算</a:t>
            </a:r>
            <a:endParaRPr b="1"/>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XLSX 工作表.xlsx]Sheet1'!$A$24:$A$25</c:f>
              <c:strCache>
                <c:ptCount val="2"/>
                <c:pt idx="0">
                  <c:v>基本支出</c:v>
                </c:pt>
                <c:pt idx="1">
                  <c:v>项目支出</c:v>
                </c:pt>
              </c:strCache>
            </c:strRef>
          </c:cat>
          <c:val>
            <c:numRef>
              <c:f>'[新建 XLSX 工作表.xlsx]Sheet1'!$B$24:$B$25</c:f>
              <c:numCache>
                <c:formatCode>General</c:formatCode>
                <c:ptCount val="2"/>
                <c:pt idx="0">
                  <c:v>18888.01</c:v>
                </c:pt>
                <c:pt idx="1">
                  <c:v>618834.39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78</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2024-08-21T03:03:35Z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