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5AA16">
      <w:pPr>
        <w:spacing w:line="560" w:lineRule="exact"/>
        <w:ind w:firstLine="836" w:firstLineChars="200"/>
        <w:jc w:val="center"/>
        <w:rPr>
          <w:rFonts w:ascii="方正小标宋简体" w:hAnsi="方正小标宋简体" w:eastAsia="方正小标宋简体" w:cs="方正小标宋简体"/>
          <w:bCs/>
          <w:spacing w:val="-1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pacing w:val="-11"/>
          <w:sz w:val="44"/>
          <w:szCs w:val="44"/>
          <w:lang w:val="en-US" w:eastAsia="zh-CN"/>
        </w:rPr>
        <w:t>2025年度</w:t>
      </w:r>
      <w:r>
        <w:rPr>
          <w:rFonts w:hint="eastAsia" w:ascii="方正小标宋简体" w:hAnsi="方正小标宋简体" w:eastAsia="方正小标宋简体" w:cs="方正小标宋简体"/>
          <w:bCs/>
          <w:spacing w:val="-11"/>
          <w:sz w:val="44"/>
          <w:szCs w:val="44"/>
          <w:lang w:eastAsia="zh-CN"/>
        </w:rPr>
        <w:t>北京市门头沟区土地储备事务中心</w:t>
      </w:r>
      <w:r>
        <w:rPr>
          <w:rFonts w:hint="eastAsia" w:ascii="方正小标宋简体" w:hAnsi="方正小标宋简体" w:eastAsia="方正小标宋简体" w:cs="方正小标宋简体"/>
          <w:bCs/>
          <w:spacing w:val="-11"/>
          <w:sz w:val="44"/>
          <w:szCs w:val="44"/>
        </w:rPr>
        <w:t>重点支出项目绩效</w:t>
      </w:r>
      <w:r>
        <w:rPr>
          <w:rFonts w:ascii="方正小标宋简体" w:hAnsi="方正小标宋简体" w:eastAsia="方正小标宋简体" w:cs="方正小标宋简体"/>
          <w:bCs/>
          <w:spacing w:val="-11"/>
          <w:sz w:val="44"/>
          <w:szCs w:val="44"/>
        </w:rPr>
        <w:t>自评报告</w:t>
      </w:r>
    </w:p>
    <w:p w14:paraId="6965F9C5">
      <w:pPr>
        <w:spacing w:line="560" w:lineRule="exact"/>
        <w:ind w:firstLine="640" w:firstLineChars="200"/>
        <w:outlineLvl w:val="0"/>
        <w:rPr>
          <w:rFonts w:hint="eastAsia" w:ascii="CESI黑体-GB2312" w:hAnsi="CESI黑体-GB2312" w:eastAsia="CESI黑体-GB2312" w:cs="CESI黑体-GB2312"/>
          <w:sz w:val="32"/>
          <w:szCs w:val="32"/>
        </w:rPr>
      </w:pPr>
    </w:p>
    <w:p w14:paraId="1FB468CD">
      <w:pPr>
        <w:spacing w:line="560" w:lineRule="exact"/>
        <w:ind w:firstLine="640" w:firstLineChars="200"/>
        <w:outlineLvl w:val="0"/>
        <w:rPr>
          <w:rFonts w:ascii="CESI黑体-GB2312" w:hAnsi="CESI黑体-GB2312" w:eastAsia="CESI黑体-GB2312" w:cs="CESI黑体-GB2312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sz w:val="32"/>
          <w:szCs w:val="32"/>
        </w:rPr>
        <w:t>一、基本情况</w:t>
      </w:r>
    </w:p>
    <w:p w14:paraId="6794056A">
      <w:pPr>
        <w:spacing w:line="560" w:lineRule="exact"/>
        <w:ind w:firstLine="640" w:firstLineChars="200"/>
        <w:outlineLvl w:val="0"/>
        <w:rPr>
          <w:rFonts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（一）项目概况</w:t>
      </w:r>
    </w:p>
    <w:p w14:paraId="2ADF7174">
      <w:pPr>
        <w:spacing w:line="520" w:lineRule="exact"/>
        <w:ind w:firstLine="560" w:firstLineChars="200"/>
        <w:outlineLvl w:val="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门头沟区石龙高新技术产业用地土地一级开发项目（以下简称“石龙五期项目”或“项目”）位于门头沟区永定镇石龙经济开发区内，分A、B两区，项目规划用地总面积54.50公顷，规划地上建筑规模59.62万平方米，其中工业研发用地51.34万平方米，商业用地3.65万平方米，市政配套等其他设施预计4.63万平方米。</w:t>
      </w:r>
    </w:p>
    <w:p w14:paraId="1EB9EDD7">
      <w:pPr>
        <w:spacing w:line="520" w:lineRule="exact"/>
        <w:ind w:firstLine="560" w:firstLineChars="200"/>
        <w:outlineLvl w:val="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2017年3月取得石龙五期项目土地前期开发授权。目前已完成A、B两区全部征地工作，项目高精尖产业用地（规划西苑路以西）控规已获得市政府批复，市政配套用地（规划西苑路以东）控规已通过区政府审议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。</w:t>
      </w:r>
      <w:r>
        <w:rPr>
          <w:rFonts w:hint="eastAsia" w:ascii="仿宋_GB2312" w:eastAsia="仿宋_GB2312"/>
          <w:color w:val="000000"/>
          <w:sz w:val="28"/>
          <w:szCs w:val="28"/>
        </w:rPr>
        <w:t>市政方面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正在推进市政道路建设工作，2023年基本完工，具备竣工验收移交。</w:t>
      </w:r>
      <w:r>
        <w:rPr>
          <w:rFonts w:hint="eastAsia" w:ascii="仿宋_GB2312" w:eastAsia="仿宋_GB2312"/>
          <w:color w:val="000000"/>
          <w:sz w:val="28"/>
          <w:szCs w:val="28"/>
        </w:rPr>
        <w:t>20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8"/>
          <w:szCs w:val="28"/>
        </w:rPr>
        <w:t>年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完成第三次阶段性</w:t>
      </w:r>
      <w:r>
        <w:rPr>
          <w:rFonts w:hint="eastAsia" w:ascii="仿宋_GB2312" w:eastAsia="仿宋_GB2312"/>
          <w:color w:val="000000"/>
          <w:sz w:val="28"/>
          <w:szCs w:val="28"/>
        </w:rPr>
        <w:t>成本预审报告，审定总成本23.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color w:val="000000"/>
          <w:sz w:val="28"/>
          <w:szCs w:val="28"/>
        </w:rPr>
        <w:t>亿元。石龙五期项目共计十五块高精尖产业用地已具备入市条件。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2022年10月，其中六个地块实现入市，</w:t>
      </w:r>
      <w:r>
        <w:rPr>
          <w:rFonts w:hint="eastAsia" w:ascii="仿宋_GB2312" w:eastAsia="仿宋_GB2312"/>
          <w:color w:val="000000"/>
          <w:sz w:val="28"/>
          <w:szCs w:val="28"/>
        </w:rPr>
        <w:t>总用地面积约为8.54公顷，规划建筑面积30.9万平米，其中地上约22.6万平米，地下约8.3万平米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已实现回笼资金80915.17万元。</w:t>
      </w:r>
    </w:p>
    <w:p w14:paraId="79A31CF1">
      <w:pPr>
        <w:spacing w:line="560" w:lineRule="exact"/>
        <w:ind w:firstLine="640" w:firstLineChars="200"/>
        <w:outlineLvl w:val="0"/>
        <w:rPr>
          <w:rFonts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（二）项目资金投入及使用情况</w:t>
      </w:r>
    </w:p>
    <w:p w14:paraId="6076EA0E">
      <w:pPr>
        <w:spacing w:line="520" w:lineRule="exact"/>
        <w:ind w:firstLine="560" w:firstLineChars="200"/>
        <w:outlineLvl w:val="0"/>
        <w:rPr>
          <w:rFonts w:hint="eastAsia" w:ascii="仿宋_GB2312" w:eastAsia="仿宋_GB2312"/>
          <w:color w:val="000000"/>
          <w:sz w:val="28"/>
          <w:szCs w:val="28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本项目预算总额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3950.08</w:t>
      </w:r>
      <w:r>
        <w:rPr>
          <w:rFonts w:hint="eastAsia" w:ascii="仿宋_GB2312" w:eastAsia="仿宋_GB2312"/>
          <w:color w:val="000000"/>
          <w:sz w:val="28"/>
          <w:szCs w:val="28"/>
        </w:rPr>
        <w:t>万元，其中：区级财政资金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3950.08</w:t>
      </w:r>
      <w:r>
        <w:rPr>
          <w:rFonts w:hint="eastAsia" w:ascii="仿宋_GB2312" w:eastAsia="仿宋_GB2312"/>
          <w:color w:val="000000"/>
          <w:sz w:val="28"/>
          <w:szCs w:val="28"/>
        </w:rPr>
        <w:t>万元、</w:t>
      </w:r>
      <w:r>
        <w:rPr>
          <w:rFonts w:ascii="仿宋_GB2312" w:eastAsia="仿宋_GB2312"/>
          <w:color w:val="000000"/>
          <w:sz w:val="28"/>
          <w:szCs w:val="28"/>
        </w:rPr>
        <w:t>其他资金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0.00</w:t>
      </w:r>
      <w:r>
        <w:rPr>
          <w:rFonts w:hint="eastAsia" w:ascii="仿宋_GB2312" w:eastAsia="仿宋_GB2312"/>
          <w:color w:val="000000"/>
          <w:sz w:val="28"/>
          <w:szCs w:val="28"/>
        </w:rPr>
        <w:t>万元。本项目全年共支出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3950.08</w:t>
      </w:r>
      <w:r>
        <w:rPr>
          <w:rFonts w:hint="eastAsia" w:ascii="仿宋_GB2312" w:eastAsia="仿宋_GB2312"/>
          <w:color w:val="000000"/>
          <w:sz w:val="28"/>
          <w:szCs w:val="28"/>
        </w:rPr>
        <w:t>万元，其中：区级财政资金支出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3950.08</w:t>
      </w:r>
      <w:r>
        <w:rPr>
          <w:rFonts w:hint="eastAsia" w:ascii="仿宋_GB2312" w:eastAsia="仿宋_GB2312"/>
          <w:color w:val="000000"/>
          <w:sz w:val="28"/>
          <w:szCs w:val="28"/>
        </w:rPr>
        <w:t>万元、</w:t>
      </w:r>
      <w:r>
        <w:rPr>
          <w:rFonts w:ascii="仿宋_GB2312" w:eastAsia="仿宋_GB2312"/>
          <w:color w:val="000000"/>
          <w:sz w:val="28"/>
          <w:szCs w:val="28"/>
        </w:rPr>
        <w:t>其他资金</w:t>
      </w:r>
      <w:r>
        <w:rPr>
          <w:rFonts w:hint="eastAsia" w:ascii="仿宋_GB2312" w:eastAsia="仿宋_GB2312"/>
          <w:color w:val="000000"/>
          <w:sz w:val="28"/>
          <w:szCs w:val="28"/>
        </w:rPr>
        <w:t>支出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0.00</w:t>
      </w:r>
      <w:r>
        <w:rPr>
          <w:rFonts w:hint="eastAsia" w:ascii="仿宋_GB2312" w:eastAsia="仿宋_GB2312"/>
          <w:color w:val="000000"/>
          <w:sz w:val="28"/>
          <w:szCs w:val="28"/>
        </w:rPr>
        <w:t>万元。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该项目</w:t>
      </w:r>
      <w:r>
        <w:rPr>
          <w:rFonts w:hint="eastAsia" w:ascii="仿宋_GB2312" w:eastAsia="仿宋_GB2312"/>
          <w:color w:val="000000"/>
          <w:sz w:val="28"/>
          <w:szCs w:val="28"/>
        </w:rPr>
        <w:t>按要求持续推进市政道路建设工程。</w:t>
      </w:r>
    </w:p>
    <w:p w14:paraId="41320D85">
      <w:pPr>
        <w:spacing w:line="560" w:lineRule="exact"/>
        <w:ind w:firstLine="640" w:firstLineChars="200"/>
        <w:outlineLvl w:val="0"/>
        <w:rPr>
          <w:rFonts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（三）项目资金管理情况分析</w:t>
      </w:r>
    </w:p>
    <w:p w14:paraId="5078B900">
      <w:pPr>
        <w:spacing w:line="520" w:lineRule="exact"/>
        <w:ind w:firstLine="560" w:firstLineChars="200"/>
        <w:outlineLvl w:val="0"/>
        <w:rPr>
          <w:rFonts w:ascii="仿宋_GB2312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为规范土地储备管理行为，加强土地储备资金的监督管理，确保土地储备资金专款专用，提高土地储备资金的使用效益，严格按照《门头沟区土地储备项目专项资金管理办法》中涉及的财务、收支管理、财务监督检查等规定执行。</w:t>
      </w:r>
    </w:p>
    <w:p w14:paraId="3752ABD0">
      <w:pPr>
        <w:spacing w:line="560" w:lineRule="exact"/>
        <w:ind w:firstLine="640" w:firstLineChars="200"/>
        <w:outlineLvl w:val="0"/>
        <w:rPr>
          <w:rFonts w:ascii="CESI黑体-GB2312" w:hAnsi="CESI黑体-GB2312" w:eastAsia="CESI黑体-GB2312" w:cs="CESI黑体-GB2312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sz w:val="32"/>
          <w:szCs w:val="32"/>
        </w:rPr>
        <w:t>二、绩效自评结论</w:t>
      </w:r>
    </w:p>
    <w:p w14:paraId="770E4D78">
      <w:pPr>
        <w:spacing w:line="520" w:lineRule="exact"/>
        <w:ind w:firstLine="560" w:firstLineChars="200"/>
        <w:rPr>
          <w:rFonts w:ascii="仿宋_GB2312" w:hAnsi="黑体" w:eastAsia="仿宋_GB2312" w:cs="黑体"/>
          <w:bCs/>
          <w:sz w:val="28"/>
          <w:szCs w:val="28"/>
        </w:rPr>
      </w:pPr>
      <w:r>
        <w:rPr>
          <w:rFonts w:hint="eastAsia" w:ascii="仿宋_GB2312" w:hAnsi="黑体" w:eastAsia="仿宋_GB2312" w:cs="黑体"/>
          <w:bCs/>
          <w:sz w:val="28"/>
          <w:szCs w:val="28"/>
        </w:rPr>
        <w:t>绩效自评总分：</w:t>
      </w:r>
      <w:r>
        <w:rPr>
          <w:rFonts w:hint="eastAsia" w:ascii="仿宋_GB2312" w:hAnsi="黑体" w:eastAsia="仿宋_GB2312" w:cs="黑体"/>
          <w:bCs/>
          <w:sz w:val="28"/>
          <w:szCs w:val="28"/>
          <w:lang w:val="en-US" w:eastAsia="zh-CN"/>
        </w:rPr>
        <w:t>100</w:t>
      </w:r>
      <w:r>
        <w:rPr>
          <w:rFonts w:hint="eastAsia" w:ascii="仿宋_GB2312" w:hAnsi="黑体" w:eastAsia="仿宋_GB2312" w:cs="黑体"/>
          <w:bCs/>
          <w:sz w:val="28"/>
          <w:szCs w:val="28"/>
        </w:rPr>
        <w:t>分</w:t>
      </w:r>
    </w:p>
    <w:p w14:paraId="31A597F6">
      <w:pPr>
        <w:spacing w:line="520" w:lineRule="exact"/>
        <w:ind w:firstLine="560" w:firstLineChars="200"/>
        <w:rPr>
          <w:rFonts w:hint="eastAsia" w:ascii="仿宋_GB2312" w:hAnsi="黑体" w:eastAsia="仿宋_GB2312" w:cs="黑体"/>
          <w:bCs/>
          <w:sz w:val="28"/>
          <w:szCs w:val="28"/>
          <w:lang w:eastAsia="zh-CN"/>
        </w:rPr>
      </w:pPr>
      <w:r>
        <w:rPr>
          <w:rFonts w:hint="eastAsia" w:ascii="仿宋_GB2312" w:hAnsi="黑体" w:eastAsia="仿宋_GB2312" w:cs="黑体"/>
          <w:bCs/>
          <w:sz w:val="28"/>
          <w:szCs w:val="28"/>
        </w:rPr>
        <w:t>绩效自评等级：优秀</w:t>
      </w:r>
    </w:p>
    <w:p w14:paraId="274DFCC2">
      <w:pPr>
        <w:spacing w:line="560" w:lineRule="exact"/>
        <w:ind w:firstLine="640" w:firstLineChars="200"/>
        <w:outlineLvl w:val="0"/>
        <w:rPr>
          <w:rFonts w:ascii="CESI黑体-GB2312" w:hAnsi="CESI黑体-GB2312" w:eastAsia="CESI黑体-GB2312" w:cs="CESI黑体-GB2312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sz w:val="32"/>
          <w:szCs w:val="32"/>
        </w:rPr>
        <w:t>三、绩效目标完成情况分析</w:t>
      </w:r>
    </w:p>
    <w:p w14:paraId="7D592E5B">
      <w:pPr>
        <w:spacing w:line="560" w:lineRule="exact"/>
        <w:ind w:firstLine="640" w:firstLineChars="200"/>
        <w:outlineLvl w:val="0"/>
        <w:rPr>
          <w:rFonts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（一）项目绩效目标、绩效指标设定情况</w:t>
      </w:r>
    </w:p>
    <w:p w14:paraId="5A27EEBC">
      <w:pPr>
        <w:spacing w:line="520" w:lineRule="exact"/>
        <w:ind w:firstLine="560" w:firstLineChars="200"/>
        <w:outlineLvl w:val="0"/>
        <w:rPr>
          <w:rFonts w:hint="eastAsia" w:ascii="仿宋_GB2312" w:eastAsia="仿宋_GB2312"/>
          <w:color w:val="000000"/>
          <w:sz w:val="28"/>
          <w:szCs w:val="28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总体绩效目标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完成市政道路工程及其他一级开发收尾工作；绩效指标设定情况分为产出指标、成本指标、效益指标、满意度指标。</w:t>
      </w:r>
    </w:p>
    <w:p w14:paraId="07EB61CD">
      <w:pPr>
        <w:spacing w:line="560" w:lineRule="exact"/>
        <w:ind w:firstLine="640" w:firstLineChars="200"/>
        <w:outlineLvl w:val="0"/>
        <w:rPr>
          <w:rFonts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（二）总体绩效目标完成情况分析</w:t>
      </w:r>
    </w:p>
    <w:p w14:paraId="6A96C8F2">
      <w:pPr>
        <w:spacing w:line="520" w:lineRule="exact"/>
        <w:ind w:firstLine="560" w:firstLineChars="200"/>
        <w:outlineLvl w:val="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总体绩效目标完成市政道路工程及其他一级开发收尾工作。</w:t>
      </w:r>
    </w:p>
    <w:p w14:paraId="524D0C5D">
      <w:pPr>
        <w:spacing w:line="560" w:lineRule="exact"/>
        <w:ind w:firstLine="640" w:firstLineChars="200"/>
        <w:outlineLvl w:val="0"/>
        <w:rPr>
          <w:rFonts w:ascii="仿宋_GB2312" w:hAnsi="黑体" w:eastAsia="仿宋_GB2312" w:cs="黑体"/>
          <w:bCs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（三）项目绩效指标完成情况分析</w:t>
      </w:r>
    </w:p>
    <w:p w14:paraId="4F89DD14">
      <w:pPr>
        <w:spacing w:line="520" w:lineRule="exact"/>
        <w:ind w:firstLine="560" w:firstLineChars="200"/>
        <w:rPr>
          <w:rFonts w:ascii="仿宋_GB2312" w:hAnsi="黑体" w:eastAsia="仿宋_GB2312" w:cs="黑体"/>
          <w:bCs/>
          <w:sz w:val="28"/>
          <w:szCs w:val="28"/>
        </w:rPr>
      </w:pPr>
      <w:r>
        <w:rPr>
          <w:rFonts w:hint="eastAsia" w:ascii="仿宋_GB2312" w:hAnsi="黑体" w:eastAsia="仿宋_GB2312" w:cs="黑体"/>
          <w:bCs/>
          <w:sz w:val="28"/>
          <w:szCs w:val="28"/>
        </w:rPr>
        <w:t>1.产出指标完成情况分析。</w:t>
      </w:r>
    </w:p>
    <w:p w14:paraId="673338B6">
      <w:pPr>
        <w:spacing w:line="520" w:lineRule="exact"/>
        <w:ind w:firstLine="560" w:firstLineChars="200"/>
        <w:rPr>
          <w:rFonts w:hint="eastAsia" w:ascii="仿宋_GB2312" w:hAnsi="黑体" w:eastAsia="仿宋_GB2312" w:cs="黑体"/>
          <w:bCs/>
          <w:sz w:val="28"/>
          <w:szCs w:val="28"/>
        </w:rPr>
      </w:pPr>
      <w:r>
        <w:rPr>
          <w:rFonts w:hint="eastAsia" w:ascii="仿宋_GB2312" w:hAnsi="黑体" w:eastAsia="仿宋_GB2312" w:cs="黑体"/>
          <w:bCs/>
          <w:sz w:val="28"/>
          <w:szCs w:val="28"/>
        </w:rPr>
        <w:t>（1）数量指标。</w:t>
      </w:r>
    </w:p>
    <w:p w14:paraId="78CA59B8">
      <w:pPr>
        <w:spacing w:line="520" w:lineRule="exact"/>
        <w:ind w:firstLine="560" w:firstLineChars="200"/>
        <w:rPr>
          <w:rFonts w:hint="eastAsia" w:ascii="仿宋_GB2312" w:hAnsi="黑体" w:eastAsia="仿宋_GB2312" w:cs="黑体"/>
          <w:bCs/>
          <w:sz w:val="28"/>
          <w:szCs w:val="28"/>
          <w:lang w:val="en-US" w:eastAsia="zh-CN"/>
        </w:rPr>
      </w:pPr>
      <w:r>
        <w:rPr>
          <w:rFonts w:hint="eastAsia" w:ascii="仿宋_GB2312" w:hAnsi="黑体" w:eastAsia="仿宋_GB2312" w:cs="黑体"/>
          <w:bCs/>
          <w:sz w:val="28"/>
          <w:szCs w:val="28"/>
          <w:lang w:eastAsia="zh-CN"/>
        </w:rPr>
        <w:t>完成</w:t>
      </w:r>
      <w:r>
        <w:rPr>
          <w:rFonts w:hint="eastAsia" w:ascii="仿宋_GB2312" w:hAnsi="黑体" w:eastAsia="仿宋_GB2312" w:cs="黑体"/>
          <w:bCs/>
          <w:sz w:val="28"/>
          <w:szCs w:val="28"/>
        </w:rPr>
        <w:t>现场巡查</w:t>
      </w:r>
      <w:r>
        <w:rPr>
          <w:rFonts w:hint="eastAsia" w:ascii="仿宋_GB2312" w:hAnsi="黑体" w:eastAsia="仿宋_GB2312" w:cs="黑体"/>
          <w:bCs/>
          <w:color w:val="auto"/>
          <w:sz w:val="28"/>
          <w:szCs w:val="28"/>
          <w:lang w:val="en-US" w:eastAsia="zh-CN"/>
        </w:rPr>
        <w:t>13</w:t>
      </w:r>
      <w:r>
        <w:rPr>
          <w:rFonts w:hint="eastAsia" w:ascii="仿宋_GB2312" w:hAnsi="黑体" w:eastAsia="仿宋_GB2312" w:cs="黑体"/>
          <w:bCs/>
          <w:sz w:val="28"/>
          <w:szCs w:val="28"/>
        </w:rPr>
        <w:t>次</w:t>
      </w:r>
      <w:r>
        <w:rPr>
          <w:rFonts w:hint="eastAsia" w:ascii="仿宋_GB2312" w:hAnsi="黑体" w:eastAsia="仿宋_GB2312" w:cs="黑体"/>
          <w:bCs/>
          <w:sz w:val="28"/>
          <w:szCs w:val="28"/>
          <w:lang w:eastAsia="zh-CN"/>
        </w:rPr>
        <w:t>；现场保安到岗</w:t>
      </w:r>
      <w:r>
        <w:rPr>
          <w:rFonts w:hint="eastAsia" w:ascii="仿宋_GB2312" w:hAnsi="黑体" w:eastAsia="仿宋_GB2312" w:cs="黑体"/>
          <w:bCs/>
          <w:sz w:val="28"/>
          <w:szCs w:val="28"/>
          <w:lang w:val="en-US" w:eastAsia="zh-CN"/>
        </w:rPr>
        <w:t>365天。</w:t>
      </w:r>
    </w:p>
    <w:p w14:paraId="13E3BE3D">
      <w:pPr>
        <w:numPr>
          <w:ilvl w:val="0"/>
          <w:numId w:val="1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质量指标。</w:t>
      </w:r>
    </w:p>
    <w:p w14:paraId="75DDE1A9">
      <w:pPr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市政工程按协议约定的质量要求完成</w:t>
      </w:r>
      <w:r>
        <w:rPr>
          <w:rFonts w:hint="eastAsia" w:ascii="仿宋_GB2312" w:eastAsia="仿宋_GB2312"/>
          <w:sz w:val="28"/>
          <w:szCs w:val="28"/>
          <w:lang w:eastAsia="zh-CN"/>
        </w:rPr>
        <w:t>；项目资金报审资料完整通过率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100%。</w:t>
      </w:r>
    </w:p>
    <w:p w14:paraId="4E8894ED">
      <w:pPr>
        <w:numPr>
          <w:ilvl w:val="0"/>
          <w:numId w:val="1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时效</w:t>
      </w:r>
      <w:r>
        <w:rPr>
          <w:rFonts w:hint="eastAsia" w:ascii="仿宋_GB2312" w:eastAsia="仿宋_GB2312"/>
          <w:sz w:val="28"/>
          <w:szCs w:val="28"/>
        </w:rPr>
        <w:t>指标。</w:t>
      </w:r>
    </w:p>
    <w:p w14:paraId="5133CEEA">
      <w:pPr>
        <w:numPr>
          <w:ilvl w:val="0"/>
          <w:numId w:val="0"/>
        </w:num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按季度支付保安服务费执行率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100%；根据进度支付市政工程进度款100%。</w:t>
      </w:r>
    </w:p>
    <w:p w14:paraId="3468F30F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2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hint="eastAsia" w:ascii="仿宋_GB2312" w:eastAsia="仿宋_GB2312"/>
          <w:sz w:val="28"/>
          <w:szCs w:val="28"/>
        </w:rPr>
        <w:t>成本指标。</w:t>
      </w:r>
    </w:p>
    <w:p w14:paraId="003175B3">
      <w:pPr>
        <w:spacing w:line="520" w:lineRule="exact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（1）经济成本指标。</w:t>
      </w:r>
    </w:p>
    <w:p w14:paraId="1E944BAE">
      <w:pPr>
        <w:numPr>
          <w:ilvl w:val="0"/>
          <w:numId w:val="0"/>
        </w:num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项目总成本</w:t>
      </w:r>
      <w:r>
        <w:rPr>
          <w:rFonts w:hint="eastAsia" w:ascii="仿宋_GB2312" w:eastAsia="仿宋_GB2312"/>
          <w:color w:val="000000"/>
          <w:sz w:val="28"/>
          <w:szCs w:val="28"/>
        </w:rPr>
        <w:t>2931.28万元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。</w:t>
      </w:r>
    </w:p>
    <w:p w14:paraId="71DE06BF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.效益指标完成情况分析。</w:t>
      </w:r>
    </w:p>
    <w:p w14:paraId="211E011D">
      <w:p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（1）经济效益。</w:t>
      </w:r>
    </w:p>
    <w:p w14:paraId="67F4E431">
      <w:p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拉动区域经济增长，加快土地入市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 w14:paraId="47926C75">
      <w:pPr>
        <w:numPr>
          <w:ilvl w:val="0"/>
          <w:numId w:val="2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社会效益。</w:t>
      </w:r>
    </w:p>
    <w:p w14:paraId="2F4074E5">
      <w:pPr>
        <w:numPr>
          <w:ilvl w:val="0"/>
          <w:numId w:val="0"/>
        </w:numPr>
        <w:spacing w:line="520" w:lineRule="exac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改善周边市政道路情况、提高居民居住条件。</w:t>
      </w:r>
    </w:p>
    <w:p w14:paraId="3836DF1F">
      <w:pPr>
        <w:numPr>
          <w:ilvl w:val="0"/>
          <w:numId w:val="2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生态效益。</w:t>
      </w:r>
    </w:p>
    <w:p w14:paraId="2CCF51CD">
      <w:pPr>
        <w:numPr>
          <w:ilvl w:val="0"/>
          <w:numId w:val="0"/>
        </w:numPr>
        <w:spacing w:line="520" w:lineRule="exac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重视环境保护，强化生态管控。</w:t>
      </w:r>
    </w:p>
    <w:p w14:paraId="04788857">
      <w:pPr>
        <w:numPr>
          <w:ilvl w:val="0"/>
          <w:numId w:val="2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可持续影响。</w:t>
      </w:r>
    </w:p>
    <w:p w14:paraId="76560B46">
      <w:pPr>
        <w:numPr>
          <w:ilvl w:val="0"/>
          <w:numId w:val="0"/>
        </w:numPr>
        <w:spacing w:line="52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提高农民生活水平、促进区域经济社会发展。</w:t>
      </w:r>
    </w:p>
    <w:p w14:paraId="7C236EDC">
      <w:pPr>
        <w:numPr>
          <w:ilvl w:val="0"/>
          <w:numId w:val="3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满意度指标完成情况分析。</w:t>
      </w:r>
    </w:p>
    <w:p w14:paraId="6EBE6A42">
      <w:pPr>
        <w:numPr>
          <w:ilvl w:val="0"/>
          <w:numId w:val="0"/>
        </w:numPr>
        <w:spacing w:line="52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实施主体满意度97%以上。</w:t>
      </w:r>
    </w:p>
    <w:p w14:paraId="25FC3FD4">
      <w:pPr>
        <w:spacing w:line="560" w:lineRule="exact"/>
        <w:ind w:firstLine="640" w:firstLineChars="200"/>
        <w:outlineLvl w:val="0"/>
        <w:rPr>
          <w:rFonts w:ascii="CESI黑体-GB2312" w:hAnsi="CESI黑体-GB2312" w:eastAsia="CESI黑体-GB2312" w:cs="CESI黑体-GB2312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sz w:val="32"/>
          <w:szCs w:val="32"/>
        </w:rPr>
        <w:t>四、发现的主要问题和改进措施</w:t>
      </w:r>
    </w:p>
    <w:p w14:paraId="789C252F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无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044B67FF">
      <w:pPr>
        <w:spacing w:line="560" w:lineRule="exact"/>
        <w:ind w:firstLine="640" w:firstLineChars="200"/>
        <w:outlineLvl w:val="0"/>
        <w:rPr>
          <w:rFonts w:ascii="CESI黑体-GB2312" w:hAnsi="CESI黑体-GB2312" w:eastAsia="CESI黑体-GB2312" w:cs="CESI黑体-GB2312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sz w:val="32"/>
          <w:szCs w:val="32"/>
        </w:rPr>
        <w:t>五、有关</w:t>
      </w:r>
      <w:r>
        <w:rPr>
          <w:rFonts w:ascii="CESI黑体-GB2312" w:hAnsi="CESI黑体-GB2312" w:eastAsia="CESI黑体-GB2312" w:cs="CESI黑体-GB2312"/>
          <w:sz w:val="32"/>
          <w:szCs w:val="32"/>
        </w:rPr>
        <w:t>建议及</w:t>
      </w:r>
      <w:r>
        <w:rPr>
          <w:rFonts w:hint="eastAsia" w:ascii="CESI黑体-GB2312" w:hAnsi="CESI黑体-GB2312" w:eastAsia="CESI黑体-GB2312" w:cs="CESI黑体-GB2312"/>
          <w:sz w:val="32"/>
          <w:szCs w:val="32"/>
        </w:rPr>
        <w:t>其他需要说明的情况</w:t>
      </w:r>
    </w:p>
    <w:p w14:paraId="304002AB">
      <w:pPr>
        <w:spacing w:line="520" w:lineRule="exact"/>
        <w:ind w:firstLine="560" w:firstLineChars="200"/>
        <w:rPr>
          <w:rFonts w:hint="eastAsia" w:ascii="仿宋_GB2312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无。</w:t>
      </w:r>
    </w:p>
    <w:p w14:paraId="44F0719C"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471540D5">
      <w:pPr>
        <w:spacing w:line="520" w:lineRule="exact"/>
        <w:ind w:left="420" w:leftChars="200" w:firstLine="64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28"/>
          <w:szCs w:val="28"/>
        </w:rPr>
        <w:t xml:space="preserve">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eastAsia="仿宋_GB2312"/>
          <w:sz w:val="28"/>
          <w:szCs w:val="28"/>
          <w:lang w:eastAsia="zh-CN"/>
        </w:rPr>
        <w:t>北京市门头沟区土地储备事务中心</w:t>
      </w:r>
      <w:r>
        <w:rPr>
          <w:rFonts w:hint="eastAsia" w:ascii="仿宋_GB2312" w:eastAsia="仿宋_GB2312"/>
          <w:sz w:val="28"/>
          <w:szCs w:val="28"/>
        </w:rPr>
        <w:t xml:space="preserve"> </w:t>
      </w:r>
    </w:p>
    <w:p w14:paraId="61DDDF05">
      <w:pPr>
        <w:spacing w:line="520" w:lineRule="exact"/>
        <w:ind w:left="420" w:leftChars="200" w:firstLine="56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2026年4月28日</w: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         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5043A3"/>
    <w:multiLevelType w:val="singleLevel"/>
    <w:tmpl w:val="665043A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66504508"/>
    <w:multiLevelType w:val="singleLevel"/>
    <w:tmpl w:val="66504508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79FEB962"/>
    <w:multiLevelType w:val="singleLevel"/>
    <w:tmpl w:val="79FEB96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B17"/>
    <w:rsid w:val="00013E3D"/>
    <w:rsid w:val="0002025A"/>
    <w:rsid w:val="00022E11"/>
    <w:rsid w:val="000269DC"/>
    <w:rsid w:val="00047DC0"/>
    <w:rsid w:val="00096808"/>
    <w:rsid w:val="000A1062"/>
    <w:rsid w:val="000A23F6"/>
    <w:rsid w:val="000C3ADA"/>
    <w:rsid w:val="00101019"/>
    <w:rsid w:val="001451E0"/>
    <w:rsid w:val="001E0ECA"/>
    <w:rsid w:val="001F4635"/>
    <w:rsid w:val="00203391"/>
    <w:rsid w:val="00205468"/>
    <w:rsid w:val="00210B4C"/>
    <w:rsid w:val="002140C0"/>
    <w:rsid w:val="00215248"/>
    <w:rsid w:val="002269C5"/>
    <w:rsid w:val="002E58C9"/>
    <w:rsid w:val="0031524F"/>
    <w:rsid w:val="00330537"/>
    <w:rsid w:val="00367048"/>
    <w:rsid w:val="003727E8"/>
    <w:rsid w:val="00377BDC"/>
    <w:rsid w:val="00392D09"/>
    <w:rsid w:val="003A2E58"/>
    <w:rsid w:val="003B3B58"/>
    <w:rsid w:val="003C42FF"/>
    <w:rsid w:val="004015F7"/>
    <w:rsid w:val="004503E3"/>
    <w:rsid w:val="004561D4"/>
    <w:rsid w:val="004B7FE1"/>
    <w:rsid w:val="004F49B9"/>
    <w:rsid w:val="004F7834"/>
    <w:rsid w:val="00504BA3"/>
    <w:rsid w:val="00543B65"/>
    <w:rsid w:val="0054688F"/>
    <w:rsid w:val="00554136"/>
    <w:rsid w:val="005610FD"/>
    <w:rsid w:val="00565DE2"/>
    <w:rsid w:val="005D4ED9"/>
    <w:rsid w:val="005E6415"/>
    <w:rsid w:val="00611E84"/>
    <w:rsid w:val="006305D3"/>
    <w:rsid w:val="00634BA6"/>
    <w:rsid w:val="0064412D"/>
    <w:rsid w:val="00676705"/>
    <w:rsid w:val="006D4D7E"/>
    <w:rsid w:val="006D6351"/>
    <w:rsid w:val="006E113E"/>
    <w:rsid w:val="006E4B81"/>
    <w:rsid w:val="006F376B"/>
    <w:rsid w:val="007242C1"/>
    <w:rsid w:val="00795987"/>
    <w:rsid w:val="007C3E7C"/>
    <w:rsid w:val="007D661E"/>
    <w:rsid w:val="007F46A7"/>
    <w:rsid w:val="00821DDE"/>
    <w:rsid w:val="00835A6F"/>
    <w:rsid w:val="00845359"/>
    <w:rsid w:val="00851994"/>
    <w:rsid w:val="008651F7"/>
    <w:rsid w:val="008728BA"/>
    <w:rsid w:val="00880D15"/>
    <w:rsid w:val="009127C3"/>
    <w:rsid w:val="00917FE5"/>
    <w:rsid w:val="00923051"/>
    <w:rsid w:val="009976F0"/>
    <w:rsid w:val="009B27A6"/>
    <w:rsid w:val="009D700F"/>
    <w:rsid w:val="00A02654"/>
    <w:rsid w:val="00A127E4"/>
    <w:rsid w:val="00A4171D"/>
    <w:rsid w:val="00A5212E"/>
    <w:rsid w:val="00A52489"/>
    <w:rsid w:val="00A61FC1"/>
    <w:rsid w:val="00A962BF"/>
    <w:rsid w:val="00AD7689"/>
    <w:rsid w:val="00AE0078"/>
    <w:rsid w:val="00AE698C"/>
    <w:rsid w:val="00B2165C"/>
    <w:rsid w:val="00B6357B"/>
    <w:rsid w:val="00B83292"/>
    <w:rsid w:val="00B83A7C"/>
    <w:rsid w:val="00BF6BCD"/>
    <w:rsid w:val="00C01D2B"/>
    <w:rsid w:val="00C531AA"/>
    <w:rsid w:val="00C75ABE"/>
    <w:rsid w:val="00C8361D"/>
    <w:rsid w:val="00CA72AB"/>
    <w:rsid w:val="00CC168C"/>
    <w:rsid w:val="00CD1D34"/>
    <w:rsid w:val="00D21CD8"/>
    <w:rsid w:val="00D22818"/>
    <w:rsid w:val="00D36848"/>
    <w:rsid w:val="00D374F7"/>
    <w:rsid w:val="00D50DEF"/>
    <w:rsid w:val="00D60B17"/>
    <w:rsid w:val="00D66A17"/>
    <w:rsid w:val="00D8000B"/>
    <w:rsid w:val="00D85CD5"/>
    <w:rsid w:val="00D860F4"/>
    <w:rsid w:val="00D91ABE"/>
    <w:rsid w:val="00DC020E"/>
    <w:rsid w:val="00DC5B3A"/>
    <w:rsid w:val="00E11A96"/>
    <w:rsid w:val="00E37F80"/>
    <w:rsid w:val="00E67831"/>
    <w:rsid w:val="00EC6591"/>
    <w:rsid w:val="00EF109F"/>
    <w:rsid w:val="00F207A8"/>
    <w:rsid w:val="00F23525"/>
    <w:rsid w:val="00F24761"/>
    <w:rsid w:val="00F37EB3"/>
    <w:rsid w:val="00F533DD"/>
    <w:rsid w:val="00F922BE"/>
    <w:rsid w:val="00FB0C8F"/>
    <w:rsid w:val="00FF5545"/>
    <w:rsid w:val="6E6FDEC8"/>
    <w:rsid w:val="6F7B9C63"/>
    <w:rsid w:val="7EAF8C5C"/>
    <w:rsid w:val="7F1FFAEC"/>
    <w:rsid w:val="7FFBF69D"/>
    <w:rsid w:val="D3A7EE80"/>
    <w:rsid w:val="E7BF4EAE"/>
    <w:rsid w:val="FFBF8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135</Words>
  <Characters>774</Characters>
  <Lines>6</Lines>
  <Paragraphs>1</Paragraphs>
  <TotalTime>35</TotalTime>
  <ScaleCrop>false</ScaleCrop>
  <LinksUpToDate>false</LinksUpToDate>
  <CharactersWithSpaces>908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2026-04-25T06:59:00Z</dcterms:created>
  <dc:creator>井文胜</dc:creator>
  <cp:lastModifiedBy>user</cp:lastModifiedBy>
  <cp:lastPrinted>2026-08-20T11:30:24Z</cp:lastPrinted>
  <dcterms:modified xsi:type="dcterms:W3CDTF">2026-08-20T11:30:29Z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8FBD92D60F4C14C34571F069FBBCFA90_42</vt:lpwstr>
  </property>
</Properties>
</file>