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3476E0">
      <w:pPr>
        <w:jc w:val="center"/>
        <w:rPr>
          <w:rFonts w:ascii="仿宋_GB2312" w:eastAsia="仿宋_GB2312"/>
          <w:b/>
          <w:sz w:val="32"/>
          <w:szCs w:val="32"/>
        </w:rPr>
      </w:pPr>
    </w:p>
    <w:p w14:paraId="4FD6AF57">
      <w:pPr>
        <w:jc w:val="center"/>
        <w:rPr>
          <w:rFonts w:ascii="黑体" w:eastAsia="黑体"/>
          <w:sz w:val="72"/>
          <w:szCs w:val="72"/>
        </w:rPr>
      </w:pPr>
    </w:p>
    <w:p w14:paraId="790915D0">
      <w:pPr>
        <w:jc w:val="center"/>
        <w:rPr>
          <w:rFonts w:ascii="黑体" w:eastAsia="黑体"/>
          <w:sz w:val="72"/>
          <w:szCs w:val="72"/>
        </w:rPr>
      </w:pPr>
    </w:p>
    <w:p w14:paraId="0277BE22">
      <w:pPr>
        <w:jc w:val="center"/>
        <w:rPr>
          <w:rFonts w:ascii="黑体" w:eastAsia="黑体"/>
          <w:sz w:val="72"/>
          <w:szCs w:val="72"/>
        </w:rPr>
      </w:pPr>
    </w:p>
    <w:p w14:paraId="089C7671">
      <w:pPr>
        <w:jc w:val="center"/>
        <w:rPr>
          <w:rFonts w:ascii="黑体" w:eastAsia="黑体"/>
          <w:sz w:val="72"/>
          <w:szCs w:val="72"/>
        </w:rPr>
      </w:pPr>
    </w:p>
    <w:p w14:paraId="105E818A">
      <w:pPr>
        <w:jc w:val="both"/>
        <w:rPr>
          <w:rFonts w:hint="eastAsia" w:ascii="黑体" w:eastAsia="黑体"/>
          <w:sz w:val="72"/>
          <w:szCs w:val="72"/>
          <w:lang w:eastAsia="zh-CN"/>
        </w:rPr>
      </w:pPr>
      <w:r>
        <w:rPr>
          <w:rFonts w:hint="eastAsia" w:ascii="黑体" w:eastAsia="黑体"/>
          <w:sz w:val="72"/>
          <w:szCs w:val="72"/>
        </w:rPr>
        <w:t>2025年度</w:t>
      </w:r>
      <w:r>
        <w:rPr>
          <w:rFonts w:hint="eastAsia" w:ascii="黑体" w:eastAsia="黑体"/>
          <w:sz w:val="72"/>
          <w:szCs w:val="72"/>
          <w:lang w:eastAsia="zh-CN"/>
        </w:rPr>
        <w:t>北京市门头沟区土地储备事务中心</w:t>
      </w:r>
    </w:p>
    <w:p w14:paraId="0FC053B7">
      <w:pPr>
        <w:ind w:firstLine="1440" w:firstLineChars="200"/>
        <w:jc w:val="center"/>
        <w:rPr>
          <w:rFonts w:ascii="黑体" w:eastAsia="黑体"/>
          <w:sz w:val="72"/>
          <w:szCs w:val="72"/>
        </w:rPr>
      </w:pPr>
      <w:r>
        <w:rPr>
          <w:rFonts w:hint="eastAsia" w:ascii="黑体" w:eastAsia="黑体"/>
          <w:sz w:val="72"/>
          <w:szCs w:val="72"/>
        </w:rPr>
        <w:t>部门决算（公开</w:t>
      </w:r>
      <w:r>
        <w:rPr>
          <w:rFonts w:ascii="黑体" w:eastAsia="黑体"/>
          <w:sz w:val="72"/>
          <w:szCs w:val="72"/>
        </w:rPr>
        <w:t>）</w:t>
      </w:r>
    </w:p>
    <w:p w14:paraId="187FBEF9">
      <w:pPr>
        <w:jc w:val="center"/>
        <w:rPr>
          <w:rFonts w:ascii="黑体" w:eastAsia="黑体"/>
          <w:sz w:val="52"/>
          <w:szCs w:val="52"/>
        </w:rPr>
      </w:pPr>
    </w:p>
    <w:p w14:paraId="39BBD083">
      <w:pPr>
        <w:jc w:val="center"/>
        <w:rPr>
          <w:rFonts w:ascii="黑体" w:eastAsia="黑体"/>
          <w:sz w:val="52"/>
          <w:szCs w:val="52"/>
        </w:rPr>
      </w:pPr>
    </w:p>
    <w:p w14:paraId="54DB191C">
      <w:pPr>
        <w:jc w:val="both"/>
        <w:rPr>
          <w:rFonts w:ascii="黑体" w:eastAsia="黑体"/>
          <w:sz w:val="52"/>
          <w:szCs w:val="52"/>
        </w:rPr>
      </w:pPr>
    </w:p>
    <w:p w14:paraId="2BE271BB">
      <w:pPr>
        <w:jc w:val="center"/>
        <w:rPr>
          <w:rFonts w:ascii="黑体" w:eastAsia="黑体"/>
          <w:sz w:val="32"/>
          <w:szCs w:val="32"/>
        </w:rPr>
      </w:pPr>
    </w:p>
    <w:p w14:paraId="2877CCC3">
      <w:pPr>
        <w:spacing w:line="500" w:lineRule="exact"/>
        <w:ind w:firstLine="880" w:firstLineChars="200"/>
        <w:jc w:val="center"/>
        <w:rPr>
          <w:rFonts w:ascii="宋体" w:hAnsi="宋体" w:cs="宋体"/>
          <w:b/>
          <w:bCs/>
          <w:kern w:val="0"/>
          <w:sz w:val="44"/>
          <w:szCs w:val="36"/>
        </w:rPr>
      </w:pPr>
      <w:r>
        <w:rPr>
          <w:rFonts w:hint="eastAsia" w:ascii="宋体" w:hAnsi="宋体" w:cs="宋体"/>
          <w:b/>
          <w:bCs/>
          <w:kern w:val="0"/>
          <w:sz w:val="44"/>
          <w:szCs w:val="36"/>
        </w:rPr>
        <w:t>目    录</w:t>
      </w:r>
    </w:p>
    <w:p w14:paraId="3CBD984B">
      <w:pPr>
        <w:spacing w:line="500" w:lineRule="exact"/>
        <w:ind w:firstLine="645"/>
        <w:jc w:val="center"/>
        <w:rPr>
          <w:rFonts w:ascii="宋体" w:hAnsi="宋体" w:cs="宋体"/>
          <w:b/>
          <w:bCs/>
          <w:kern w:val="0"/>
          <w:sz w:val="36"/>
          <w:szCs w:val="36"/>
        </w:rPr>
      </w:pPr>
    </w:p>
    <w:p w14:paraId="4B4B4953">
      <w:pPr>
        <w:tabs>
          <w:tab w:val="center" w:pos="6979"/>
        </w:tabs>
        <w:spacing w:line="500" w:lineRule="exact"/>
        <w:ind w:firstLine="800" w:firstLineChars="200"/>
        <w:jc w:val="left"/>
        <w:rPr>
          <w:rFonts w:ascii="宋体" w:hAnsi="宋体" w:cs="宋体"/>
          <w:bCs/>
          <w:spacing w:val="40"/>
          <w:kern w:val="0"/>
          <w:sz w:val="32"/>
          <w:szCs w:val="32"/>
        </w:rPr>
      </w:pPr>
      <w:r>
        <w:rPr>
          <w:rFonts w:hint="eastAsia" w:ascii="宋体" w:hAnsi="宋体" w:cs="宋体"/>
          <w:bCs/>
          <w:spacing w:val="40"/>
          <w:kern w:val="0"/>
          <w:sz w:val="32"/>
          <w:szCs w:val="32"/>
        </w:rPr>
        <w:t>第一部分 2025年度部门决算报表</w:t>
      </w:r>
    </w:p>
    <w:p w14:paraId="7A0467E9">
      <w:pPr>
        <w:tabs>
          <w:tab w:val="center" w:pos="6979"/>
        </w:tabs>
        <w:spacing w:line="500" w:lineRule="exact"/>
        <w:ind w:firstLine="800" w:firstLineChars="200"/>
        <w:jc w:val="left"/>
        <w:rPr>
          <w:rFonts w:ascii="仿宋_GB2312" w:hAnsi="仿宋" w:eastAsia="仿宋_GB2312"/>
          <w:spacing w:val="40"/>
          <w:sz w:val="32"/>
          <w:szCs w:val="32"/>
        </w:rPr>
      </w:pPr>
      <w:r>
        <w:rPr>
          <w:rFonts w:hint="eastAsia" w:ascii="仿宋_GB2312" w:hAnsi="仿宋" w:eastAsia="仿宋_GB2312" w:cs="宋体"/>
          <w:bCs/>
          <w:spacing w:val="40"/>
          <w:kern w:val="0"/>
          <w:sz w:val="32"/>
          <w:szCs w:val="32"/>
        </w:rPr>
        <w:t>一、收入支出决算总表</w:t>
      </w:r>
    </w:p>
    <w:p w14:paraId="3E25FDF1">
      <w:pPr>
        <w:tabs>
          <w:tab w:val="center" w:pos="6979"/>
        </w:tabs>
        <w:spacing w:line="500" w:lineRule="exact"/>
        <w:ind w:firstLine="800" w:firstLineChars="2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二、收入决算表</w:t>
      </w:r>
    </w:p>
    <w:p w14:paraId="73E48835">
      <w:pPr>
        <w:tabs>
          <w:tab w:val="center" w:pos="6979"/>
        </w:tabs>
        <w:spacing w:line="500" w:lineRule="exact"/>
        <w:ind w:firstLine="800" w:firstLineChars="2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三、支出决算表</w:t>
      </w:r>
    </w:p>
    <w:p w14:paraId="779D656A">
      <w:pPr>
        <w:tabs>
          <w:tab w:val="center" w:pos="6979"/>
        </w:tabs>
        <w:spacing w:line="500" w:lineRule="exact"/>
        <w:ind w:firstLine="800" w:firstLineChars="2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四、财政拨款收入支出决算总表</w:t>
      </w:r>
    </w:p>
    <w:p w14:paraId="2B10584C">
      <w:pPr>
        <w:tabs>
          <w:tab w:val="center" w:pos="6979"/>
        </w:tabs>
        <w:spacing w:line="500" w:lineRule="exact"/>
        <w:ind w:firstLine="800" w:firstLineChars="2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五、一般公共预算财政拨款支出决算表</w:t>
      </w:r>
    </w:p>
    <w:p w14:paraId="5B0C92FD">
      <w:pPr>
        <w:tabs>
          <w:tab w:val="center" w:pos="6979"/>
        </w:tabs>
        <w:spacing w:line="500" w:lineRule="exact"/>
        <w:ind w:firstLine="800" w:firstLineChars="2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六、一般公共预算财政拨款</w:t>
      </w:r>
      <w:r>
        <w:rPr>
          <w:rFonts w:ascii="仿宋_GB2312" w:hAnsi="仿宋" w:eastAsia="仿宋_GB2312" w:cs="宋体"/>
          <w:bCs/>
          <w:spacing w:val="40"/>
          <w:kern w:val="0"/>
          <w:sz w:val="32"/>
          <w:szCs w:val="32"/>
        </w:rPr>
        <w:t>基本支出决算表</w:t>
      </w:r>
    </w:p>
    <w:p w14:paraId="4A74028E">
      <w:pPr>
        <w:tabs>
          <w:tab w:val="center" w:pos="6979"/>
        </w:tabs>
        <w:spacing w:line="500" w:lineRule="exact"/>
        <w:ind w:firstLine="800" w:firstLineChars="2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七</w:t>
      </w:r>
      <w:r>
        <w:rPr>
          <w:rFonts w:ascii="仿宋_GB2312" w:hAnsi="仿宋" w:eastAsia="仿宋_GB2312" w:cs="宋体"/>
          <w:bCs/>
          <w:spacing w:val="40"/>
          <w:kern w:val="0"/>
          <w:sz w:val="32"/>
          <w:szCs w:val="32"/>
        </w:rPr>
        <w:t>、</w:t>
      </w:r>
      <w:r>
        <w:rPr>
          <w:rFonts w:hint="eastAsia" w:ascii="仿宋_GB2312" w:hAnsi="仿宋" w:eastAsia="仿宋_GB2312" w:cs="宋体"/>
          <w:bCs/>
          <w:spacing w:val="40"/>
          <w:kern w:val="0"/>
          <w:sz w:val="32"/>
          <w:szCs w:val="32"/>
        </w:rPr>
        <w:t>政府性基金预算财政拨款收入支出决算表</w:t>
      </w:r>
    </w:p>
    <w:p w14:paraId="0CBC0A1C">
      <w:pPr>
        <w:tabs>
          <w:tab w:val="center" w:pos="6979"/>
        </w:tabs>
        <w:spacing w:line="500" w:lineRule="exact"/>
        <w:ind w:firstLine="800" w:firstLineChars="2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八、</w:t>
      </w:r>
      <w:r>
        <w:rPr>
          <w:rFonts w:ascii="仿宋_GB2312" w:hAnsi="仿宋" w:eastAsia="仿宋_GB2312" w:cs="宋体"/>
          <w:bCs/>
          <w:spacing w:val="40"/>
          <w:kern w:val="0"/>
          <w:sz w:val="32"/>
          <w:szCs w:val="32"/>
        </w:rPr>
        <w:t>政府性基金</w:t>
      </w:r>
      <w:r>
        <w:rPr>
          <w:rFonts w:hint="eastAsia" w:ascii="仿宋_GB2312" w:hAnsi="仿宋" w:eastAsia="仿宋_GB2312" w:cs="宋体"/>
          <w:bCs/>
          <w:spacing w:val="40"/>
          <w:kern w:val="0"/>
          <w:sz w:val="32"/>
          <w:szCs w:val="32"/>
        </w:rPr>
        <w:t>预算</w:t>
      </w:r>
      <w:r>
        <w:rPr>
          <w:rFonts w:ascii="仿宋_GB2312" w:hAnsi="仿宋" w:eastAsia="仿宋_GB2312" w:cs="宋体"/>
          <w:bCs/>
          <w:spacing w:val="40"/>
          <w:kern w:val="0"/>
          <w:sz w:val="32"/>
          <w:szCs w:val="32"/>
        </w:rPr>
        <w:t>财政拨款基本支出决算表</w:t>
      </w:r>
    </w:p>
    <w:p w14:paraId="7182E33D">
      <w:pPr>
        <w:tabs>
          <w:tab w:val="center" w:pos="6979"/>
        </w:tabs>
        <w:spacing w:line="500" w:lineRule="exact"/>
        <w:ind w:firstLine="800" w:firstLineChars="2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九、国有资本经营预算财政拨款支出决算表</w:t>
      </w:r>
    </w:p>
    <w:p w14:paraId="05A93AD3">
      <w:pPr>
        <w:tabs>
          <w:tab w:val="center" w:pos="6979"/>
        </w:tabs>
        <w:spacing w:line="500" w:lineRule="exact"/>
        <w:ind w:firstLine="800" w:firstLineChars="2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十、财政拨款“三公”经费支出决算表</w:t>
      </w:r>
    </w:p>
    <w:p w14:paraId="13F611E5">
      <w:pPr>
        <w:tabs>
          <w:tab w:val="center" w:pos="6979"/>
        </w:tabs>
        <w:spacing w:line="500" w:lineRule="exact"/>
        <w:ind w:firstLine="800" w:firstLineChars="2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十一、政府采购情况表</w:t>
      </w:r>
    </w:p>
    <w:p w14:paraId="3BD9C263">
      <w:pPr>
        <w:tabs>
          <w:tab w:val="center" w:pos="6979"/>
        </w:tabs>
        <w:spacing w:line="500" w:lineRule="exact"/>
        <w:ind w:firstLine="800" w:firstLineChars="200"/>
        <w:jc w:val="left"/>
        <w:rPr>
          <w:rFonts w:ascii="宋体" w:hAnsi="宋体" w:cs="宋体"/>
          <w:bCs/>
          <w:spacing w:val="40"/>
          <w:kern w:val="0"/>
          <w:sz w:val="32"/>
          <w:szCs w:val="32"/>
        </w:rPr>
      </w:pPr>
      <w:r>
        <w:rPr>
          <w:rFonts w:hint="eastAsia" w:ascii="宋体" w:hAnsi="宋体" w:cs="宋体"/>
          <w:bCs/>
          <w:spacing w:val="40"/>
          <w:kern w:val="0"/>
          <w:sz w:val="32"/>
          <w:szCs w:val="32"/>
        </w:rPr>
        <w:t xml:space="preserve">第二部分 </w:t>
      </w:r>
      <w:r>
        <w:rPr>
          <w:rFonts w:hint="eastAsia" w:ascii="宋体" w:hAnsi="宋体"/>
          <w:spacing w:val="40"/>
          <w:sz w:val="32"/>
          <w:szCs w:val="32"/>
        </w:rPr>
        <w:t>2025年度部门决算说明</w:t>
      </w:r>
    </w:p>
    <w:p w14:paraId="0F2E22C9">
      <w:pPr>
        <w:tabs>
          <w:tab w:val="center" w:pos="6979"/>
        </w:tabs>
        <w:spacing w:line="500" w:lineRule="exact"/>
        <w:ind w:firstLine="800" w:firstLineChars="200"/>
        <w:jc w:val="left"/>
        <w:rPr>
          <w:rFonts w:ascii="宋体" w:hAnsi="宋体" w:cs="宋体"/>
          <w:spacing w:val="40"/>
          <w:kern w:val="0"/>
          <w:sz w:val="32"/>
          <w:szCs w:val="32"/>
        </w:rPr>
      </w:pPr>
      <w:r>
        <w:rPr>
          <w:rFonts w:hint="eastAsia" w:ascii="宋体" w:hAnsi="宋体" w:cs="宋体"/>
          <w:bCs/>
          <w:spacing w:val="40"/>
          <w:kern w:val="0"/>
          <w:sz w:val="32"/>
          <w:szCs w:val="32"/>
        </w:rPr>
        <w:t xml:space="preserve">第三部分 </w:t>
      </w:r>
      <w:r>
        <w:rPr>
          <w:rFonts w:hint="eastAsia" w:ascii="宋体" w:hAnsi="宋体"/>
          <w:spacing w:val="40"/>
          <w:sz w:val="32"/>
          <w:szCs w:val="32"/>
        </w:rPr>
        <w:t>2025年度</w:t>
      </w:r>
      <w:r>
        <w:rPr>
          <w:rFonts w:hint="eastAsia" w:ascii="宋体" w:hAnsi="宋体" w:cs="宋体"/>
          <w:spacing w:val="40"/>
          <w:kern w:val="0"/>
          <w:sz w:val="32"/>
          <w:szCs w:val="32"/>
        </w:rPr>
        <w:t>其他重要事项的情况说明</w:t>
      </w:r>
    </w:p>
    <w:p w14:paraId="0EEA3ED6">
      <w:pPr>
        <w:tabs>
          <w:tab w:val="center" w:pos="6979"/>
        </w:tabs>
        <w:spacing w:line="500" w:lineRule="exact"/>
        <w:ind w:firstLine="800" w:firstLineChars="200"/>
        <w:jc w:val="left"/>
        <w:rPr>
          <w:rFonts w:ascii="宋体" w:hAnsi="宋体" w:cs="宋体"/>
          <w:spacing w:val="40"/>
          <w:kern w:val="0"/>
          <w:sz w:val="36"/>
          <w:szCs w:val="32"/>
        </w:rPr>
      </w:pPr>
      <w:r>
        <w:rPr>
          <w:rFonts w:hint="eastAsia" w:ascii="宋体" w:hAnsi="宋体" w:cs="宋体"/>
          <w:spacing w:val="40"/>
          <w:kern w:val="0"/>
          <w:sz w:val="32"/>
          <w:szCs w:val="32"/>
        </w:rPr>
        <w:t>第四部分 2025年度部门绩效评价情况</w:t>
      </w:r>
    </w:p>
    <w:p w14:paraId="2394357A">
      <w:pPr>
        <w:tabs>
          <w:tab w:val="center" w:pos="6979"/>
        </w:tabs>
        <w:spacing w:before="156" w:beforeLines="50" w:after="156" w:afterLines="50"/>
        <w:jc w:val="center"/>
        <w:rPr>
          <w:rFonts w:ascii="宋体" w:hAnsi="宋体" w:cs="宋体"/>
          <w:b/>
          <w:bCs/>
          <w:spacing w:val="40"/>
          <w:kern w:val="0"/>
          <w:sz w:val="32"/>
          <w:szCs w:val="32"/>
        </w:rPr>
      </w:pPr>
    </w:p>
    <w:p w14:paraId="652A0599">
      <w:pPr>
        <w:tabs>
          <w:tab w:val="center" w:pos="6979"/>
        </w:tabs>
        <w:spacing w:before="156" w:beforeLines="50" w:after="156" w:afterLines="50"/>
        <w:jc w:val="center"/>
        <w:rPr>
          <w:rFonts w:ascii="宋体" w:hAnsi="宋体" w:cs="宋体"/>
          <w:b/>
          <w:bCs/>
          <w:spacing w:val="40"/>
          <w:kern w:val="0"/>
          <w:sz w:val="32"/>
          <w:szCs w:val="32"/>
        </w:rPr>
      </w:pPr>
    </w:p>
    <w:p w14:paraId="7C7EDE23">
      <w:pPr>
        <w:tabs>
          <w:tab w:val="center" w:pos="6979"/>
        </w:tabs>
        <w:spacing w:before="156" w:beforeLines="50" w:after="156" w:afterLines="50"/>
        <w:jc w:val="both"/>
        <w:rPr>
          <w:rFonts w:ascii="宋体" w:hAnsi="宋体" w:cs="宋体"/>
          <w:b/>
          <w:bCs/>
          <w:spacing w:val="40"/>
          <w:kern w:val="0"/>
          <w:sz w:val="32"/>
          <w:szCs w:val="32"/>
        </w:rPr>
      </w:pPr>
    </w:p>
    <w:p w14:paraId="379BF6E8">
      <w:pPr>
        <w:tabs>
          <w:tab w:val="center" w:pos="6979"/>
        </w:tabs>
        <w:spacing w:before="156" w:beforeLines="50" w:after="156" w:afterLines="50"/>
        <w:ind w:firstLine="1040" w:firstLineChars="200"/>
        <w:jc w:val="center"/>
        <w:rPr>
          <w:rFonts w:ascii="宋体" w:hAnsi="宋体" w:cs="宋体"/>
          <w:b/>
          <w:bCs/>
          <w:spacing w:val="40"/>
          <w:kern w:val="0"/>
          <w:sz w:val="32"/>
          <w:szCs w:val="32"/>
        </w:rPr>
      </w:pPr>
      <w:r>
        <w:rPr>
          <w:rFonts w:hint="eastAsia" w:ascii="宋体" w:hAnsi="宋体" w:cs="宋体"/>
          <w:b/>
          <w:bCs/>
          <w:spacing w:val="40"/>
          <w:kern w:val="0"/>
          <w:sz w:val="44"/>
          <w:szCs w:val="44"/>
        </w:rPr>
        <w:t>第一部分 2025年度部门决算报表</w:t>
      </w:r>
    </w:p>
    <w:p w14:paraId="0978D47C">
      <w:pPr>
        <w:pStyle w:val="2"/>
        <w:ind w:firstLine="560" w:firstLineChars="200"/>
        <w:rPr>
          <w:b w:val="0"/>
          <w:bCs w:val="0"/>
        </w:rPr>
        <w:sectPr>
          <w:footerReference r:id="rId3" w:type="default"/>
          <w:pgSz w:w="16838" w:h="11906" w:orient="landscape"/>
          <w:pgMar w:top="1134" w:right="1134" w:bottom="1134" w:left="1134" w:header="851" w:footer="992" w:gutter="0"/>
          <w:cols w:space="720" w:num="1"/>
          <w:docGrid w:type="linesAndChars" w:linePitch="312" w:charSpace="0"/>
        </w:sectPr>
      </w:pPr>
      <w:r>
        <w:rPr>
          <w:rFonts w:hint="eastAsia" w:ascii="仿宋_GB2312" w:eastAsia="仿宋_GB2312"/>
          <w:sz w:val="28"/>
          <w:szCs w:val="28"/>
        </w:rPr>
        <w:t xml:space="preserve">   </w:t>
      </w:r>
      <w:r>
        <w:rPr>
          <w:rFonts w:hint="eastAsia" w:ascii="仿宋_GB2312" w:eastAsia="仿宋_GB2312"/>
          <w:b w:val="0"/>
          <w:bCs w:val="0"/>
          <w:sz w:val="28"/>
          <w:szCs w:val="28"/>
        </w:rPr>
        <w:t>报表详见附件。</w:t>
      </w:r>
    </w:p>
    <w:p w14:paraId="2B2CFE07">
      <w:pPr>
        <w:tabs>
          <w:tab w:val="center" w:pos="6979"/>
        </w:tabs>
        <w:spacing w:before="156" w:beforeLines="50" w:after="156" w:afterLines="50"/>
        <w:ind w:firstLine="800" w:firstLineChars="200"/>
        <w:jc w:val="center"/>
        <w:rPr>
          <w:rFonts w:ascii="宋体" w:hAnsi="宋体"/>
          <w:b/>
          <w:sz w:val="32"/>
          <w:szCs w:val="32"/>
        </w:rPr>
      </w:pPr>
      <w:r>
        <w:rPr>
          <w:rFonts w:hint="eastAsia" w:ascii="宋体" w:hAnsi="宋体" w:cs="宋体"/>
          <w:b/>
          <w:bCs/>
          <w:spacing w:val="40"/>
          <w:kern w:val="0"/>
          <w:sz w:val="32"/>
          <w:szCs w:val="32"/>
        </w:rPr>
        <w:t xml:space="preserve">第二部分 </w:t>
      </w:r>
      <w:r>
        <w:rPr>
          <w:rFonts w:hint="eastAsia" w:ascii="宋体" w:hAnsi="宋体"/>
          <w:b/>
          <w:spacing w:val="40"/>
          <w:sz w:val="32"/>
          <w:szCs w:val="32"/>
        </w:rPr>
        <w:t>2025年度部门决算说明</w:t>
      </w:r>
    </w:p>
    <w:p w14:paraId="56B73965">
      <w:pPr>
        <w:tabs>
          <w:tab w:val="center" w:pos="6979"/>
        </w:tabs>
        <w:spacing w:line="580" w:lineRule="exact"/>
        <w:ind w:firstLine="560" w:firstLineChars="200"/>
        <w:rPr>
          <w:rFonts w:ascii="黑体" w:eastAsia="黑体"/>
          <w:b/>
          <w:sz w:val="28"/>
          <w:szCs w:val="28"/>
        </w:rPr>
      </w:pPr>
      <w:r>
        <w:rPr>
          <w:rFonts w:hint="eastAsia" w:ascii="黑体" w:eastAsia="黑体"/>
          <w:b/>
          <w:sz w:val="28"/>
          <w:szCs w:val="28"/>
        </w:rPr>
        <w:t>一、部门基本情况</w:t>
      </w:r>
    </w:p>
    <w:p w14:paraId="4B853699">
      <w:pPr>
        <w:tabs>
          <w:tab w:val="center" w:pos="6979"/>
        </w:tabs>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（一</w:t>
      </w:r>
      <w:r>
        <w:rPr>
          <w:rFonts w:ascii="仿宋_GB2312" w:eastAsia="仿宋_GB2312"/>
          <w:sz w:val="28"/>
          <w:szCs w:val="28"/>
        </w:rPr>
        <w:t>）</w:t>
      </w:r>
      <w:r>
        <w:rPr>
          <w:rFonts w:hint="eastAsia" w:ascii="仿宋_GB2312" w:eastAsia="仿宋_GB2312"/>
          <w:sz w:val="28"/>
          <w:szCs w:val="28"/>
        </w:rPr>
        <w:t>本部门职责情况</w:t>
      </w:r>
    </w:p>
    <w:p w14:paraId="6D278091">
      <w:pPr>
        <w:keepNext w:val="0"/>
        <w:keepLines w:val="0"/>
        <w:pageBreakBefore w:val="0"/>
        <w:widowControl/>
        <w:kinsoku/>
        <w:wordWrap/>
        <w:overflowPunct/>
        <w:topLinePunct w:val="0"/>
        <w:autoSpaceDE/>
        <w:autoSpaceDN/>
        <w:bidi w:val="0"/>
        <w:adjustRightInd/>
        <w:snapToGrid/>
        <w:spacing w:line="640" w:lineRule="exact"/>
        <w:ind w:left="0" w:leftChars="0" w:right="0" w:rightChars="0" w:firstLine="560" w:firstLineChars="200"/>
        <w:jc w:val="both"/>
        <w:textAlignment w:val="auto"/>
        <w:outlineLvl w:val="9"/>
      </w:pPr>
      <w:r>
        <w:rPr>
          <w:rFonts w:hint="eastAsia" w:ascii="仿宋_GB2312" w:hAnsi="仿宋_GB2312" w:eastAsia="仿宋_GB2312" w:cs="仿宋_GB2312"/>
          <w:kern w:val="0"/>
          <w:sz w:val="28"/>
          <w:szCs w:val="28"/>
          <w:lang w:val="en-US" w:eastAsia="zh-CN"/>
        </w:rPr>
        <w:t>按照管理权限，负责辖区内土地储备资源的调查、统计和分析，承担土地开发整理和土地开发复垦方面的事务性工作。</w:t>
      </w:r>
    </w:p>
    <w:p w14:paraId="0A973324">
      <w:pPr>
        <w:numPr>
          <w:ilvl w:val="0"/>
          <w:numId w:val="1"/>
        </w:numPr>
        <w:tabs>
          <w:tab w:val="center" w:pos="6979"/>
        </w:tabs>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机构</w:t>
      </w:r>
      <w:r>
        <w:rPr>
          <w:rFonts w:ascii="仿宋_GB2312" w:eastAsia="仿宋_GB2312"/>
          <w:sz w:val="28"/>
          <w:szCs w:val="28"/>
        </w:rPr>
        <w:t>设置</w:t>
      </w:r>
      <w:r>
        <w:rPr>
          <w:rFonts w:hint="eastAsia" w:ascii="仿宋_GB2312" w:eastAsia="仿宋_GB2312"/>
          <w:sz w:val="28"/>
          <w:szCs w:val="28"/>
        </w:rPr>
        <w:t>情况</w:t>
      </w:r>
    </w:p>
    <w:p w14:paraId="3A582971">
      <w:pPr>
        <w:keepNext w:val="0"/>
        <w:keepLines w:val="0"/>
        <w:pageBreakBefore w:val="0"/>
        <w:widowControl/>
        <w:kinsoku/>
        <w:wordWrap/>
        <w:overflowPunct/>
        <w:topLinePunct w:val="0"/>
        <w:autoSpaceDE/>
        <w:autoSpaceDN/>
        <w:bidi w:val="0"/>
        <w:adjustRightInd/>
        <w:snapToGrid/>
        <w:spacing w:line="64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hAnsi="仿宋_GB2312" w:eastAsia="仿宋_GB2312" w:cs="仿宋_GB2312"/>
          <w:kern w:val="0"/>
          <w:sz w:val="28"/>
          <w:szCs w:val="28"/>
        </w:rPr>
        <w:t>本部门共设</w:t>
      </w:r>
      <w:r>
        <w:rPr>
          <w:rFonts w:hint="eastAsia" w:ascii="仿宋_GB2312" w:hAnsi="仿宋_GB2312" w:eastAsia="仿宋_GB2312" w:cs="仿宋_GB2312"/>
          <w:kern w:val="0"/>
          <w:sz w:val="28"/>
          <w:szCs w:val="28"/>
          <w:lang w:val="en-US" w:eastAsia="zh-CN"/>
        </w:rPr>
        <w:t>1</w:t>
      </w:r>
      <w:r>
        <w:rPr>
          <w:rFonts w:hint="eastAsia" w:ascii="仿宋_GB2312" w:hAnsi="仿宋_GB2312" w:eastAsia="仿宋_GB2312" w:cs="仿宋_GB2312"/>
          <w:kern w:val="0"/>
          <w:sz w:val="28"/>
          <w:szCs w:val="28"/>
        </w:rPr>
        <w:t>个内设机构，下设</w:t>
      </w:r>
      <w:r>
        <w:rPr>
          <w:rFonts w:hint="eastAsia" w:ascii="仿宋_GB2312" w:hAnsi="仿宋_GB2312" w:eastAsia="仿宋_GB2312" w:cs="仿宋_GB2312"/>
          <w:kern w:val="0"/>
          <w:sz w:val="28"/>
          <w:szCs w:val="28"/>
          <w:lang w:val="en-US" w:eastAsia="zh-CN"/>
        </w:rPr>
        <w:t>0</w:t>
      </w:r>
      <w:r>
        <w:rPr>
          <w:rFonts w:hint="eastAsia" w:ascii="仿宋_GB2312" w:hAnsi="仿宋_GB2312" w:eastAsia="仿宋_GB2312" w:cs="仿宋_GB2312"/>
          <w:kern w:val="0"/>
          <w:sz w:val="28"/>
          <w:szCs w:val="28"/>
        </w:rPr>
        <w:t>个事业单位。行政编制</w:t>
      </w:r>
      <w:r>
        <w:rPr>
          <w:rFonts w:hint="eastAsia" w:ascii="仿宋_GB2312" w:hAnsi="仿宋_GB2312" w:eastAsia="仿宋_GB2312" w:cs="仿宋_GB2312"/>
          <w:kern w:val="0"/>
          <w:sz w:val="28"/>
          <w:szCs w:val="28"/>
          <w:lang w:val="en-US" w:eastAsia="zh-CN"/>
        </w:rPr>
        <w:t>0</w:t>
      </w:r>
      <w:r>
        <w:rPr>
          <w:rFonts w:hint="eastAsia" w:ascii="仿宋_GB2312" w:hAnsi="仿宋_GB2312" w:eastAsia="仿宋_GB2312" w:cs="仿宋_GB2312"/>
          <w:kern w:val="0"/>
          <w:sz w:val="28"/>
          <w:szCs w:val="28"/>
        </w:rPr>
        <w:t>名，实际</w:t>
      </w:r>
      <w:r>
        <w:rPr>
          <w:rFonts w:hint="eastAsia" w:ascii="仿宋_GB2312" w:hAnsi="仿宋_GB2312" w:eastAsia="仿宋_GB2312" w:cs="仿宋_GB2312"/>
          <w:kern w:val="0"/>
          <w:sz w:val="28"/>
          <w:szCs w:val="28"/>
          <w:lang w:val="en-US" w:eastAsia="zh-CN"/>
        </w:rPr>
        <w:t>0</w:t>
      </w:r>
      <w:r>
        <w:rPr>
          <w:rFonts w:hint="eastAsia" w:ascii="仿宋_GB2312" w:hAnsi="仿宋_GB2312" w:eastAsia="仿宋_GB2312" w:cs="仿宋_GB2312"/>
          <w:kern w:val="0"/>
          <w:sz w:val="28"/>
          <w:szCs w:val="28"/>
        </w:rPr>
        <w:t>人；事业编制</w:t>
      </w:r>
      <w:r>
        <w:rPr>
          <w:rFonts w:hint="eastAsia" w:ascii="仿宋_GB2312" w:hAnsi="仿宋_GB2312" w:eastAsia="仿宋_GB2312" w:cs="仿宋_GB2312"/>
          <w:kern w:val="0"/>
          <w:sz w:val="28"/>
          <w:szCs w:val="28"/>
          <w:lang w:val="en-US" w:eastAsia="zh-CN"/>
        </w:rPr>
        <w:t>8</w:t>
      </w:r>
      <w:r>
        <w:rPr>
          <w:rFonts w:hint="eastAsia" w:ascii="仿宋_GB2312" w:hAnsi="仿宋_GB2312" w:eastAsia="仿宋_GB2312" w:cs="仿宋_GB2312"/>
          <w:kern w:val="0"/>
          <w:sz w:val="28"/>
          <w:szCs w:val="28"/>
        </w:rPr>
        <w:t>名，实际</w:t>
      </w:r>
      <w:r>
        <w:rPr>
          <w:rFonts w:hint="eastAsia" w:ascii="仿宋_GB2312" w:hAnsi="仿宋_GB2312" w:eastAsia="仿宋_GB2312" w:cs="仿宋_GB2312"/>
          <w:kern w:val="0"/>
          <w:sz w:val="28"/>
          <w:szCs w:val="28"/>
          <w:lang w:val="en-US" w:eastAsia="zh-CN"/>
        </w:rPr>
        <w:t>8</w:t>
      </w:r>
      <w:r>
        <w:rPr>
          <w:rFonts w:hint="eastAsia" w:ascii="仿宋_GB2312" w:hAnsi="仿宋_GB2312" w:eastAsia="仿宋_GB2312" w:cs="仿宋_GB2312"/>
          <w:kern w:val="0"/>
          <w:sz w:val="28"/>
          <w:szCs w:val="28"/>
        </w:rPr>
        <w:t>人；离退休人员</w:t>
      </w:r>
      <w:r>
        <w:rPr>
          <w:rFonts w:hint="eastAsia" w:ascii="仿宋_GB2312" w:hAnsi="仿宋_GB2312" w:eastAsia="仿宋_GB2312" w:cs="仿宋_GB2312"/>
          <w:kern w:val="0"/>
          <w:sz w:val="28"/>
          <w:szCs w:val="28"/>
          <w:lang w:val="en-US" w:eastAsia="zh-CN"/>
        </w:rPr>
        <w:t>0</w:t>
      </w:r>
      <w:r>
        <w:rPr>
          <w:rFonts w:hint="eastAsia" w:ascii="仿宋_GB2312" w:hAnsi="仿宋_GB2312" w:eastAsia="仿宋_GB2312" w:cs="仿宋_GB2312"/>
          <w:kern w:val="0"/>
          <w:sz w:val="28"/>
          <w:szCs w:val="28"/>
        </w:rPr>
        <w:t>人，其中：离休</w:t>
      </w:r>
      <w:r>
        <w:rPr>
          <w:rFonts w:hint="eastAsia" w:ascii="仿宋_GB2312" w:hAnsi="仿宋_GB2312" w:eastAsia="仿宋_GB2312" w:cs="仿宋_GB2312"/>
          <w:kern w:val="0"/>
          <w:sz w:val="28"/>
          <w:szCs w:val="28"/>
          <w:lang w:val="en-US" w:eastAsia="zh-CN"/>
        </w:rPr>
        <w:t>0</w:t>
      </w:r>
      <w:r>
        <w:rPr>
          <w:rFonts w:hint="eastAsia" w:ascii="仿宋_GB2312" w:hAnsi="仿宋_GB2312" w:eastAsia="仿宋_GB2312" w:cs="仿宋_GB2312"/>
          <w:kern w:val="0"/>
          <w:sz w:val="28"/>
          <w:szCs w:val="28"/>
        </w:rPr>
        <w:t>人，行政退休</w:t>
      </w:r>
      <w:r>
        <w:rPr>
          <w:rFonts w:hint="eastAsia" w:ascii="仿宋_GB2312" w:hAnsi="仿宋_GB2312" w:eastAsia="仿宋_GB2312" w:cs="仿宋_GB2312"/>
          <w:kern w:val="0"/>
          <w:sz w:val="28"/>
          <w:szCs w:val="28"/>
          <w:lang w:val="en-US" w:eastAsia="zh-CN"/>
        </w:rPr>
        <w:t>0</w:t>
      </w:r>
      <w:r>
        <w:rPr>
          <w:rFonts w:hint="eastAsia" w:ascii="仿宋_GB2312" w:hAnsi="仿宋_GB2312" w:eastAsia="仿宋_GB2312" w:cs="仿宋_GB2312"/>
          <w:kern w:val="0"/>
          <w:sz w:val="28"/>
          <w:szCs w:val="28"/>
        </w:rPr>
        <w:t>人，事业退休</w:t>
      </w:r>
      <w:r>
        <w:rPr>
          <w:rFonts w:hint="eastAsia" w:ascii="仿宋_GB2312" w:hAnsi="仿宋_GB2312" w:eastAsia="仿宋_GB2312" w:cs="仿宋_GB2312"/>
          <w:kern w:val="0"/>
          <w:sz w:val="28"/>
          <w:szCs w:val="28"/>
          <w:lang w:val="en-US" w:eastAsia="zh-CN"/>
        </w:rPr>
        <w:t>0</w:t>
      </w:r>
      <w:r>
        <w:rPr>
          <w:rFonts w:hint="eastAsia" w:ascii="仿宋_GB2312" w:hAnsi="仿宋_GB2312" w:eastAsia="仿宋_GB2312" w:cs="仿宋_GB2312"/>
          <w:kern w:val="0"/>
          <w:sz w:val="28"/>
          <w:szCs w:val="28"/>
        </w:rPr>
        <w:t>人；其他人员</w:t>
      </w:r>
      <w:r>
        <w:rPr>
          <w:rFonts w:hint="eastAsia" w:ascii="仿宋_GB2312" w:hAnsi="仿宋_GB2312" w:eastAsia="仿宋_GB2312" w:cs="仿宋_GB2312"/>
          <w:kern w:val="0"/>
          <w:sz w:val="28"/>
          <w:szCs w:val="28"/>
          <w:lang w:val="en-US" w:eastAsia="zh-CN"/>
        </w:rPr>
        <w:t>0</w:t>
      </w:r>
      <w:r>
        <w:rPr>
          <w:rFonts w:hint="eastAsia" w:ascii="仿宋_GB2312" w:hAnsi="仿宋_GB2312" w:eastAsia="仿宋_GB2312" w:cs="仿宋_GB2312"/>
          <w:kern w:val="0"/>
          <w:sz w:val="28"/>
          <w:szCs w:val="28"/>
        </w:rPr>
        <w:t>人，其中：社会化用工</w:t>
      </w:r>
      <w:r>
        <w:rPr>
          <w:rFonts w:hint="eastAsia" w:ascii="仿宋_GB2312" w:hAnsi="仿宋_GB2312" w:eastAsia="仿宋_GB2312" w:cs="仿宋_GB2312"/>
          <w:kern w:val="0"/>
          <w:sz w:val="28"/>
          <w:szCs w:val="28"/>
          <w:lang w:val="en-US" w:eastAsia="zh-CN"/>
        </w:rPr>
        <w:t>0</w:t>
      </w:r>
      <w:r>
        <w:rPr>
          <w:rFonts w:hint="eastAsia" w:ascii="仿宋_GB2312" w:hAnsi="仿宋_GB2312" w:eastAsia="仿宋_GB2312" w:cs="仿宋_GB2312"/>
          <w:kern w:val="0"/>
          <w:sz w:val="28"/>
          <w:szCs w:val="28"/>
        </w:rPr>
        <w:t>人。</w:t>
      </w:r>
    </w:p>
    <w:p w14:paraId="01386B5C">
      <w:pPr>
        <w:tabs>
          <w:tab w:val="center" w:pos="6979"/>
        </w:tabs>
        <w:spacing w:line="580" w:lineRule="exact"/>
        <w:ind w:firstLine="640" w:firstLineChars="200"/>
        <w:rPr>
          <w:rFonts w:ascii="黑体" w:eastAsia="黑体"/>
          <w:b/>
          <w:sz w:val="28"/>
          <w:szCs w:val="28"/>
        </w:rPr>
      </w:pPr>
      <w:r>
        <w:rPr>
          <w:rFonts w:hint="eastAsia" w:ascii="仿宋_GB2312" w:eastAsia="仿宋_GB2312"/>
          <w:b/>
          <w:sz w:val="32"/>
          <w:szCs w:val="32"/>
        </w:rPr>
        <w:t xml:space="preserve">   </w:t>
      </w:r>
      <w:r>
        <w:rPr>
          <w:rFonts w:hint="eastAsia" w:ascii="黑体" w:eastAsia="黑体"/>
          <w:b/>
          <w:sz w:val="28"/>
          <w:szCs w:val="28"/>
        </w:rPr>
        <w:t>二、收入支出决算总体情况说明</w:t>
      </w:r>
    </w:p>
    <w:p w14:paraId="1A664CD8">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2025年度收、</w:t>
      </w:r>
      <w:r>
        <w:rPr>
          <w:rFonts w:ascii="仿宋_GB2312" w:eastAsia="仿宋_GB2312"/>
          <w:sz w:val="28"/>
          <w:szCs w:val="28"/>
        </w:rPr>
        <w:t>支</w:t>
      </w:r>
      <w:r>
        <w:rPr>
          <w:rFonts w:hint="eastAsia" w:ascii="仿宋_GB2312" w:eastAsia="仿宋_GB2312"/>
          <w:sz w:val="28"/>
          <w:szCs w:val="28"/>
        </w:rPr>
        <w:t>总计</w:t>
      </w:r>
      <w:r>
        <w:rPr>
          <w:rFonts w:ascii="仿宋_GB2312" w:eastAsia="仿宋_GB2312"/>
          <w:sz w:val="28"/>
          <w:szCs w:val="28"/>
        </w:rPr>
        <w:t>130</w:t>
      </w:r>
      <w:r>
        <w:rPr>
          <w:rFonts w:hint="default" w:ascii="仿宋_GB2312" w:eastAsia="仿宋_GB2312"/>
          <w:sz w:val="28"/>
          <w:szCs w:val="28"/>
          <w:lang w:val="en-US"/>
        </w:rPr>
        <w:t>,</w:t>
      </w:r>
      <w:r>
        <w:rPr>
          <w:rFonts w:ascii="仿宋_GB2312" w:eastAsia="仿宋_GB2312"/>
          <w:sz w:val="28"/>
          <w:szCs w:val="28"/>
        </w:rPr>
        <w:t>566</w:t>
      </w:r>
      <w:r>
        <w:rPr>
          <w:rFonts w:hint="default" w:ascii="仿宋_GB2312" w:eastAsia="仿宋_GB2312"/>
          <w:sz w:val="28"/>
          <w:szCs w:val="28"/>
          <w:lang w:val="en-US"/>
        </w:rPr>
        <w:t>,</w:t>
      </w:r>
      <w:r>
        <w:rPr>
          <w:rFonts w:ascii="仿宋_GB2312" w:eastAsia="仿宋_GB2312"/>
          <w:sz w:val="28"/>
          <w:szCs w:val="28"/>
        </w:rPr>
        <w:t>701.03</w:t>
      </w:r>
      <w:r>
        <w:rPr>
          <w:rFonts w:hint="eastAsia" w:ascii="仿宋_GB2312" w:eastAsia="仿宋_GB2312"/>
          <w:sz w:val="28"/>
          <w:szCs w:val="28"/>
        </w:rPr>
        <w:t>元，</w:t>
      </w:r>
      <w:r>
        <w:rPr>
          <w:rFonts w:ascii="仿宋_GB2312" w:eastAsia="仿宋_GB2312"/>
          <w:sz w:val="28"/>
          <w:szCs w:val="28"/>
        </w:rPr>
        <w:t>比上年</w:t>
      </w:r>
      <w:r>
        <w:rPr>
          <w:rFonts w:hint="eastAsia" w:ascii="仿宋_GB2312" w:eastAsia="仿宋_GB2312"/>
          <w:sz w:val="28"/>
          <w:szCs w:val="28"/>
        </w:rPr>
        <w:t>减少134</w:t>
      </w:r>
      <w:r>
        <w:rPr>
          <w:rFonts w:hint="default" w:ascii="仿宋_GB2312" w:eastAsia="仿宋_GB2312"/>
          <w:sz w:val="28"/>
          <w:szCs w:val="28"/>
          <w:lang w:val="en-US"/>
        </w:rPr>
        <w:t>,</w:t>
      </w:r>
      <w:r>
        <w:rPr>
          <w:rFonts w:hint="eastAsia" w:ascii="仿宋_GB2312" w:eastAsia="仿宋_GB2312"/>
          <w:sz w:val="28"/>
          <w:szCs w:val="28"/>
        </w:rPr>
        <w:t>685</w:t>
      </w:r>
      <w:r>
        <w:rPr>
          <w:rFonts w:hint="default" w:ascii="仿宋_GB2312" w:eastAsia="仿宋_GB2312"/>
          <w:sz w:val="28"/>
          <w:szCs w:val="28"/>
          <w:lang w:val="en-US"/>
        </w:rPr>
        <w:t>,</w:t>
      </w:r>
      <w:r>
        <w:rPr>
          <w:rFonts w:hint="eastAsia" w:ascii="仿宋_GB2312" w:eastAsia="仿宋_GB2312"/>
          <w:sz w:val="28"/>
          <w:szCs w:val="28"/>
        </w:rPr>
        <w:t>743.88元，下降</w:t>
      </w:r>
      <w:r>
        <w:rPr>
          <w:rFonts w:hint="default" w:ascii="仿宋_GB2312" w:eastAsia="仿宋_GB2312"/>
          <w:sz w:val="28"/>
          <w:szCs w:val="28"/>
          <w:lang w:val="en-US"/>
        </w:rPr>
        <w:t>50.8</w:t>
      </w:r>
      <w:r>
        <w:rPr>
          <w:rFonts w:hint="eastAsia" w:ascii="仿宋_GB2312" w:eastAsia="仿宋_GB2312"/>
          <w:sz w:val="28"/>
          <w:szCs w:val="28"/>
        </w:rPr>
        <w:t>%。</w:t>
      </w:r>
    </w:p>
    <w:p w14:paraId="50D55484">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（一</w:t>
      </w:r>
      <w:r>
        <w:rPr>
          <w:rFonts w:ascii="仿宋_GB2312" w:eastAsia="仿宋_GB2312"/>
          <w:sz w:val="28"/>
          <w:szCs w:val="28"/>
        </w:rPr>
        <w:t>）</w:t>
      </w:r>
      <w:r>
        <w:rPr>
          <w:rFonts w:hint="eastAsia" w:ascii="仿宋_GB2312" w:eastAsia="仿宋_GB2312"/>
          <w:sz w:val="28"/>
          <w:szCs w:val="28"/>
        </w:rPr>
        <w:t>收入决算</w:t>
      </w:r>
      <w:r>
        <w:rPr>
          <w:rFonts w:ascii="仿宋_GB2312" w:eastAsia="仿宋_GB2312"/>
          <w:sz w:val="28"/>
          <w:szCs w:val="28"/>
        </w:rPr>
        <w:t>说明</w:t>
      </w:r>
    </w:p>
    <w:p w14:paraId="41D36231">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2025年度本年收入合计</w:t>
      </w:r>
      <w:r>
        <w:rPr>
          <w:rFonts w:ascii="仿宋_GB2312" w:eastAsia="仿宋_GB2312"/>
          <w:sz w:val="28"/>
          <w:szCs w:val="28"/>
        </w:rPr>
        <w:t>130</w:t>
      </w:r>
      <w:r>
        <w:rPr>
          <w:rFonts w:hint="default" w:ascii="仿宋_GB2312" w:eastAsia="仿宋_GB2312"/>
          <w:sz w:val="28"/>
          <w:szCs w:val="28"/>
          <w:lang w:val="en-US"/>
        </w:rPr>
        <w:t>,</w:t>
      </w:r>
      <w:r>
        <w:rPr>
          <w:rFonts w:ascii="仿宋_GB2312" w:eastAsia="仿宋_GB2312"/>
          <w:sz w:val="28"/>
          <w:szCs w:val="28"/>
        </w:rPr>
        <w:t>566</w:t>
      </w:r>
      <w:r>
        <w:rPr>
          <w:rFonts w:hint="default" w:ascii="仿宋_GB2312" w:eastAsia="仿宋_GB2312"/>
          <w:sz w:val="28"/>
          <w:szCs w:val="28"/>
          <w:lang w:val="en-US"/>
        </w:rPr>
        <w:t>,</w:t>
      </w:r>
      <w:r>
        <w:rPr>
          <w:rFonts w:ascii="仿宋_GB2312" w:eastAsia="仿宋_GB2312"/>
          <w:sz w:val="28"/>
          <w:szCs w:val="28"/>
        </w:rPr>
        <w:t>701.03</w:t>
      </w:r>
      <w:r>
        <w:rPr>
          <w:rFonts w:hint="eastAsia" w:ascii="仿宋_GB2312" w:eastAsia="仿宋_GB2312"/>
          <w:sz w:val="28"/>
          <w:szCs w:val="28"/>
        </w:rPr>
        <w:t>元，</w:t>
      </w:r>
      <w:r>
        <w:rPr>
          <w:rFonts w:ascii="仿宋_GB2312" w:eastAsia="仿宋_GB2312"/>
          <w:sz w:val="28"/>
          <w:szCs w:val="28"/>
        </w:rPr>
        <w:t>比上年</w:t>
      </w:r>
      <w:r>
        <w:rPr>
          <w:rFonts w:hint="eastAsia" w:ascii="仿宋_GB2312" w:eastAsia="仿宋_GB2312"/>
          <w:sz w:val="28"/>
          <w:szCs w:val="28"/>
        </w:rPr>
        <w:t>减少134</w:t>
      </w:r>
      <w:r>
        <w:rPr>
          <w:rFonts w:hint="default" w:ascii="仿宋_GB2312" w:eastAsia="仿宋_GB2312"/>
          <w:sz w:val="28"/>
          <w:szCs w:val="28"/>
          <w:lang w:val="en-US"/>
        </w:rPr>
        <w:t>,</w:t>
      </w:r>
      <w:r>
        <w:rPr>
          <w:rFonts w:hint="eastAsia" w:ascii="仿宋_GB2312" w:eastAsia="仿宋_GB2312"/>
          <w:sz w:val="28"/>
          <w:szCs w:val="28"/>
        </w:rPr>
        <w:t>685</w:t>
      </w:r>
      <w:r>
        <w:rPr>
          <w:rFonts w:hint="default" w:ascii="仿宋_GB2312" w:eastAsia="仿宋_GB2312"/>
          <w:sz w:val="28"/>
          <w:szCs w:val="28"/>
          <w:lang w:val="en-US"/>
        </w:rPr>
        <w:t>,</w:t>
      </w:r>
      <w:r>
        <w:rPr>
          <w:rFonts w:hint="eastAsia" w:ascii="仿宋_GB2312" w:eastAsia="仿宋_GB2312"/>
          <w:sz w:val="28"/>
          <w:szCs w:val="28"/>
        </w:rPr>
        <w:t>743.88元，下降</w:t>
      </w:r>
      <w:r>
        <w:rPr>
          <w:rFonts w:hint="default" w:ascii="仿宋_GB2312" w:eastAsia="仿宋_GB2312"/>
          <w:sz w:val="28"/>
          <w:szCs w:val="28"/>
          <w:lang w:val="en-US"/>
        </w:rPr>
        <w:t>50.8</w:t>
      </w:r>
      <w:r>
        <w:rPr>
          <w:rFonts w:hint="eastAsia" w:ascii="仿宋_GB2312" w:eastAsia="仿宋_GB2312"/>
          <w:sz w:val="28"/>
          <w:szCs w:val="28"/>
        </w:rPr>
        <w:t>%。</w:t>
      </w:r>
    </w:p>
    <w:p w14:paraId="2ADF10FD">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1.财政拨款收入</w:t>
      </w:r>
      <w:r>
        <w:rPr>
          <w:rFonts w:ascii="仿宋_GB2312" w:eastAsia="仿宋_GB2312"/>
          <w:sz w:val="28"/>
          <w:szCs w:val="28"/>
        </w:rPr>
        <w:t>130</w:t>
      </w:r>
      <w:r>
        <w:rPr>
          <w:rFonts w:hint="default" w:ascii="仿宋_GB2312" w:eastAsia="仿宋_GB2312"/>
          <w:sz w:val="28"/>
          <w:szCs w:val="28"/>
          <w:lang w:val="en-US"/>
        </w:rPr>
        <w:t>,</w:t>
      </w:r>
      <w:r>
        <w:rPr>
          <w:rFonts w:ascii="仿宋_GB2312" w:eastAsia="仿宋_GB2312"/>
          <w:sz w:val="28"/>
          <w:szCs w:val="28"/>
        </w:rPr>
        <w:t>566</w:t>
      </w:r>
      <w:r>
        <w:rPr>
          <w:rFonts w:hint="default" w:ascii="仿宋_GB2312" w:eastAsia="仿宋_GB2312"/>
          <w:sz w:val="28"/>
          <w:szCs w:val="28"/>
          <w:lang w:val="en-US"/>
        </w:rPr>
        <w:t>,</w:t>
      </w:r>
      <w:r>
        <w:rPr>
          <w:rFonts w:ascii="仿宋_GB2312" w:eastAsia="仿宋_GB2312"/>
          <w:sz w:val="28"/>
          <w:szCs w:val="28"/>
        </w:rPr>
        <w:t>701.03</w:t>
      </w:r>
      <w:r>
        <w:rPr>
          <w:rFonts w:hint="eastAsia" w:ascii="仿宋_GB2312" w:eastAsia="仿宋_GB2312"/>
          <w:sz w:val="28"/>
          <w:szCs w:val="28"/>
        </w:rPr>
        <w:t>元，占收入合计的100</w:t>
      </w:r>
      <w:r>
        <w:rPr>
          <w:rFonts w:hint="default" w:ascii="仿宋_GB2312" w:eastAsia="仿宋_GB2312"/>
          <w:sz w:val="28"/>
          <w:szCs w:val="28"/>
          <w:lang w:val="en-US"/>
        </w:rPr>
        <w:t>.0</w:t>
      </w:r>
      <w:r>
        <w:rPr>
          <w:rFonts w:hint="eastAsia" w:ascii="仿宋_GB2312" w:eastAsia="仿宋_GB2312"/>
          <w:sz w:val="28"/>
          <w:szCs w:val="28"/>
        </w:rPr>
        <w:t>%。其中：一般公共预算</w:t>
      </w:r>
      <w:bookmarkStart w:id="4" w:name="_GoBack"/>
      <w:bookmarkEnd w:id="4"/>
      <w:r>
        <w:rPr>
          <w:rFonts w:hint="eastAsia" w:ascii="仿宋_GB2312" w:eastAsia="仿宋_GB2312"/>
          <w:sz w:val="28"/>
          <w:szCs w:val="28"/>
        </w:rPr>
        <w:t>财政拨款收入</w:t>
      </w:r>
      <w:r>
        <w:rPr>
          <w:rFonts w:ascii="仿宋_GB2312" w:eastAsia="仿宋_GB2312"/>
          <w:sz w:val="28"/>
          <w:szCs w:val="28"/>
        </w:rPr>
        <w:t>3</w:t>
      </w:r>
      <w:r>
        <w:rPr>
          <w:rFonts w:hint="default" w:ascii="仿宋_GB2312" w:eastAsia="仿宋_GB2312"/>
          <w:sz w:val="28"/>
          <w:szCs w:val="28"/>
          <w:lang w:val="en-US"/>
        </w:rPr>
        <w:t>,</w:t>
      </w:r>
      <w:r>
        <w:rPr>
          <w:rFonts w:ascii="仿宋_GB2312" w:eastAsia="仿宋_GB2312"/>
          <w:sz w:val="28"/>
          <w:szCs w:val="28"/>
        </w:rPr>
        <w:t>386</w:t>
      </w:r>
      <w:r>
        <w:rPr>
          <w:rFonts w:hint="default" w:ascii="仿宋_GB2312" w:eastAsia="仿宋_GB2312"/>
          <w:sz w:val="28"/>
          <w:szCs w:val="28"/>
          <w:lang w:val="en-US"/>
        </w:rPr>
        <w:t>,</w:t>
      </w:r>
      <w:r>
        <w:rPr>
          <w:rFonts w:ascii="仿宋_GB2312" w:eastAsia="仿宋_GB2312"/>
          <w:sz w:val="28"/>
          <w:szCs w:val="28"/>
        </w:rPr>
        <w:t>131.22</w:t>
      </w:r>
      <w:r>
        <w:rPr>
          <w:rFonts w:hint="eastAsia" w:ascii="仿宋_GB2312" w:eastAsia="仿宋_GB2312"/>
          <w:sz w:val="28"/>
          <w:szCs w:val="28"/>
        </w:rPr>
        <w:t>元，占收入合计的2.</w:t>
      </w:r>
      <w:r>
        <w:rPr>
          <w:rFonts w:hint="default" w:ascii="仿宋_GB2312" w:eastAsia="仿宋_GB2312"/>
          <w:sz w:val="28"/>
          <w:szCs w:val="28"/>
          <w:lang w:val="en-US"/>
        </w:rPr>
        <w:t>6</w:t>
      </w:r>
      <w:r>
        <w:rPr>
          <w:rFonts w:hint="eastAsia" w:ascii="仿宋_GB2312" w:eastAsia="仿宋_GB2312"/>
          <w:sz w:val="28"/>
          <w:szCs w:val="28"/>
        </w:rPr>
        <w:t>%；政府性基金预算财政拨款收入</w:t>
      </w:r>
      <w:r>
        <w:rPr>
          <w:rFonts w:ascii="仿宋_GB2312" w:eastAsia="仿宋_GB2312"/>
          <w:sz w:val="28"/>
          <w:szCs w:val="28"/>
        </w:rPr>
        <w:t>127</w:t>
      </w:r>
      <w:r>
        <w:rPr>
          <w:rFonts w:hint="default" w:ascii="仿宋_GB2312" w:eastAsia="仿宋_GB2312"/>
          <w:sz w:val="28"/>
          <w:szCs w:val="28"/>
          <w:lang w:val="en-US"/>
        </w:rPr>
        <w:t>,</w:t>
      </w:r>
      <w:r>
        <w:rPr>
          <w:rFonts w:ascii="仿宋_GB2312" w:eastAsia="仿宋_GB2312"/>
          <w:sz w:val="28"/>
          <w:szCs w:val="28"/>
        </w:rPr>
        <w:t>180</w:t>
      </w:r>
      <w:r>
        <w:rPr>
          <w:rFonts w:hint="default" w:ascii="仿宋_GB2312" w:eastAsia="仿宋_GB2312"/>
          <w:sz w:val="28"/>
          <w:szCs w:val="28"/>
          <w:lang w:val="en-US"/>
        </w:rPr>
        <w:t>,</w:t>
      </w:r>
      <w:r>
        <w:rPr>
          <w:rFonts w:ascii="仿宋_GB2312" w:eastAsia="仿宋_GB2312"/>
          <w:sz w:val="28"/>
          <w:szCs w:val="28"/>
        </w:rPr>
        <w:t>569.81</w:t>
      </w:r>
      <w:r>
        <w:rPr>
          <w:rFonts w:hint="eastAsia" w:ascii="仿宋_GB2312" w:eastAsia="仿宋_GB2312"/>
          <w:sz w:val="28"/>
          <w:szCs w:val="28"/>
        </w:rPr>
        <w:t>元，占收入合计的97.4%；国有资本经营预算财政拨款收入</w:t>
      </w:r>
      <w:r>
        <w:rPr>
          <w:rFonts w:ascii="仿宋_GB2312" w:eastAsia="仿宋_GB2312"/>
          <w:sz w:val="28"/>
          <w:szCs w:val="28"/>
        </w:rPr>
        <w:t>0</w:t>
      </w:r>
      <w:r>
        <w:rPr>
          <w:rFonts w:hint="eastAsia" w:ascii="仿宋_GB2312" w:eastAsia="仿宋_GB2312"/>
          <w:sz w:val="28"/>
          <w:szCs w:val="28"/>
        </w:rPr>
        <w:t>元，占收入合计的0%；</w:t>
      </w:r>
    </w:p>
    <w:p w14:paraId="6E3C9B47">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2.上级补助收入</w:t>
      </w:r>
      <w:r>
        <w:rPr>
          <w:rFonts w:ascii="仿宋_GB2312" w:eastAsia="仿宋_GB2312"/>
          <w:sz w:val="28"/>
          <w:szCs w:val="28"/>
        </w:rPr>
        <w:t>0</w:t>
      </w:r>
      <w:r>
        <w:rPr>
          <w:rFonts w:hint="eastAsia" w:ascii="仿宋_GB2312" w:eastAsia="仿宋_GB2312"/>
          <w:sz w:val="28"/>
          <w:szCs w:val="28"/>
        </w:rPr>
        <w:t>元，占收入合计的0%；</w:t>
      </w:r>
    </w:p>
    <w:p w14:paraId="5C5B9571">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3.事业收入</w:t>
      </w:r>
      <w:r>
        <w:rPr>
          <w:rFonts w:ascii="仿宋_GB2312" w:eastAsia="仿宋_GB2312"/>
          <w:sz w:val="28"/>
          <w:szCs w:val="28"/>
        </w:rPr>
        <w:t>0</w:t>
      </w:r>
      <w:r>
        <w:rPr>
          <w:rFonts w:hint="eastAsia" w:ascii="仿宋_GB2312" w:eastAsia="仿宋_GB2312"/>
          <w:sz w:val="28"/>
          <w:szCs w:val="28"/>
        </w:rPr>
        <w:t>元，占收入合计的0%；</w:t>
      </w:r>
    </w:p>
    <w:p w14:paraId="58D85292">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4.经营收入</w:t>
      </w:r>
      <w:r>
        <w:rPr>
          <w:rFonts w:ascii="仿宋_GB2312" w:eastAsia="仿宋_GB2312"/>
          <w:sz w:val="28"/>
          <w:szCs w:val="28"/>
        </w:rPr>
        <w:t>0</w:t>
      </w:r>
      <w:r>
        <w:rPr>
          <w:rFonts w:hint="eastAsia" w:ascii="仿宋_GB2312" w:eastAsia="仿宋_GB2312"/>
          <w:sz w:val="28"/>
          <w:szCs w:val="28"/>
        </w:rPr>
        <w:t>元，占收入合计的0%；</w:t>
      </w:r>
    </w:p>
    <w:p w14:paraId="136C0322">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5.附属单位上缴收入</w:t>
      </w:r>
      <w:r>
        <w:rPr>
          <w:rFonts w:ascii="仿宋_GB2312" w:eastAsia="仿宋_GB2312"/>
          <w:sz w:val="28"/>
          <w:szCs w:val="28"/>
        </w:rPr>
        <w:t>0</w:t>
      </w:r>
      <w:r>
        <w:rPr>
          <w:rFonts w:hint="eastAsia" w:ascii="仿宋_GB2312" w:eastAsia="仿宋_GB2312"/>
          <w:sz w:val="28"/>
          <w:szCs w:val="28"/>
        </w:rPr>
        <w:t>元，占收入合计的0%；</w:t>
      </w:r>
    </w:p>
    <w:p w14:paraId="2239DDE1">
      <w:pPr>
        <w:tabs>
          <w:tab w:val="center" w:pos="6979"/>
        </w:tabs>
        <w:spacing w:line="580" w:lineRule="exact"/>
        <w:ind w:firstLine="560" w:firstLineChars="200"/>
        <w:rPr>
          <w:rFonts w:ascii="仿宋_GB2312" w:eastAsia="仿宋_GB2312" w:cs="Droid Sans"/>
          <w:color w:val="000000"/>
          <w:sz w:val="32"/>
          <w:szCs w:val="32"/>
        </w:rPr>
      </w:pPr>
      <w:r>
        <w:rPr>
          <w:rFonts w:hint="eastAsia" w:ascii="仿宋_GB2312" w:eastAsia="仿宋_GB2312"/>
          <w:sz w:val="28"/>
          <w:szCs w:val="28"/>
        </w:rPr>
        <w:t>6.其他收入</w:t>
      </w:r>
      <w:r>
        <w:rPr>
          <w:rFonts w:ascii="仿宋_GB2312" w:eastAsia="仿宋_GB2312"/>
          <w:sz w:val="28"/>
          <w:szCs w:val="28"/>
        </w:rPr>
        <w:t>0</w:t>
      </w:r>
      <w:r>
        <w:rPr>
          <w:rFonts w:hint="eastAsia" w:ascii="仿宋_GB2312" w:eastAsia="仿宋_GB2312"/>
          <w:sz w:val="28"/>
          <w:szCs w:val="28"/>
        </w:rPr>
        <w:t>元，占收入合计的0%。</w:t>
      </w:r>
    </w:p>
    <w:p w14:paraId="1219B5BB">
      <w:pPr>
        <w:pStyle w:val="2"/>
        <w:ind w:firstLine="640" w:firstLineChars="200"/>
        <w:jc w:val="center"/>
      </w:pPr>
      <w:r>
        <w:rPr>
          <w:rFonts w:hint="eastAsia" w:ascii="仿宋_GB2312" w:eastAsia="仿宋_GB2312"/>
          <w:color w:val="000000"/>
          <w:sz w:val="32"/>
        </w:rPr>
        <w:t>图1：收入决算</w:t>
      </w:r>
    </w:p>
    <w:p w14:paraId="18DECE58">
      <w:pPr>
        <w:pStyle w:val="3"/>
        <w:ind w:firstLine="420" w:firstLineChars="200"/>
        <w:jc w:val="center"/>
      </w:pPr>
      <w:r>
        <w:drawing>
          <wp:inline distT="0" distB="0" distL="0" distR="0">
            <wp:extent cx="4036695" cy="2328545"/>
            <wp:effectExtent l="4445" t="4445" r="16510" b="10160"/>
            <wp:docPr id="3" name="图表 3" title="{{pieChar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5415047">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（二</w:t>
      </w:r>
      <w:r>
        <w:rPr>
          <w:rFonts w:ascii="仿宋_GB2312" w:eastAsia="仿宋_GB2312"/>
          <w:sz w:val="28"/>
          <w:szCs w:val="28"/>
        </w:rPr>
        <w:t>）</w:t>
      </w:r>
      <w:r>
        <w:rPr>
          <w:rFonts w:hint="eastAsia" w:ascii="仿宋_GB2312" w:eastAsia="仿宋_GB2312"/>
          <w:sz w:val="28"/>
          <w:szCs w:val="28"/>
        </w:rPr>
        <w:t>支出决算</w:t>
      </w:r>
      <w:r>
        <w:rPr>
          <w:rFonts w:ascii="仿宋_GB2312" w:eastAsia="仿宋_GB2312"/>
          <w:sz w:val="28"/>
          <w:szCs w:val="28"/>
        </w:rPr>
        <w:t>说明</w:t>
      </w:r>
    </w:p>
    <w:p w14:paraId="7B3E9A57">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2025年度本年支出合计</w:t>
      </w:r>
      <w:r>
        <w:rPr>
          <w:rFonts w:ascii="仿宋_GB2312" w:eastAsia="仿宋_GB2312"/>
          <w:sz w:val="28"/>
          <w:szCs w:val="28"/>
        </w:rPr>
        <w:t>130</w:t>
      </w:r>
      <w:r>
        <w:rPr>
          <w:rFonts w:hint="default" w:ascii="仿宋_GB2312" w:eastAsia="仿宋_GB2312"/>
          <w:sz w:val="28"/>
          <w:szCs w:val="28"/>
          <w:lang w:val="en-US"/>
        </w:rPr>
        <w:t>,</w:t>
      </w:r>
      <w:r>
        <w:rPr>
          <w:rFonts w:ascii="仿宋_GB2312" w:eastAsia="仿宋_GB2312"/>
          <w:sz w:val="28"/>
          <w:szCs w:val="28"/>
        </w:rPr>
        <w:t>566</w:t>
      </w:r>
      <w:r>
        <w:rPr>
          <w:rFonts w:hint="default" w:ascii="仿宋_GB2312" w:eastAsia="仿宋_GB2312"/>
          <w:sz w:val="28"/>
          <w:szCs w:val="28"/>
          <w:lang w:val="en-US"/>
        </w:rPr>
        <w:t>,</w:t>
      </w:r>
      <w:r>
        <w:rPr>
          <w:rFonts w:ascii="仿宋_GB2312" w:eastAsia="仿宋_GB2312"/>
          <w:sz w:val="28"/>
          <w:szCs w:val="28"/>
        </w:rPr>
        <w:t>701.03</w:t>
      </w:r>
      <w:r>
        <w:rPr>
          <w:rFonts w:hint="eastAsia" w:ascii="仿宋_GB2312" w:eastAsia="仿宋_GB2312"/>
          <w:sz w:val="28"/>
          <w:szCs w:val="28"/>
        </w:rPr>
        <w:t>元，</w:t>
      </w:r>
      <w:r>
        <w:rPr>
          <w:rFonts w:ascii="仿宋_GB2312" w:eastAsia="仿宋_GB2312"/>
          <w:sz w:val="28"/>
          <w:szCs w:val="28"/>
        </w:rPr>
        <w:t>比上年</w:t>
      </w:r>
      <w:r>
        <w:rPr>
          <w:rFonts w:hint="eastAsia" w:ascii="仿宋_GB2312" w:eastAsia="仿宋_GB2312"/>
          <w:sz w:val="28"/>
          <w:szCs w:val="28"/>
        </w:rPr>
        <w:t>减少134</w:t>
      </w:r>
      <w:r>
        <w:rPr>
          <w:rFonts w:hint="default" w:ascii="仿宋_GB2312" w:eastAsia="仿宋_GB2312"/>
          <w:sz w:val="28"/>
          <w:szCs w:val="28"/>
          <w:lang w:val="en-US"/>
        </w:rPr>
        <w:t>,</w:t>
      </w:r>
      <w:r>
        <w:rPr>
          <w:rFonts w:hint="eastAsia" w:ascii="仿宋_GB2312" w:eastAsia="仿宋_GB2312"/>
          <w:sz w:val="28"/>
          <w:szCs w:val="28"/>
        </w:rPr>
        <w:t>685</w:t>
      </w:r>
      <w:r>
        <w:rPr>
          <w:rFonts w:hint="default" w:ascii="仿宋_GB2312" w:eastAsia="仿宋_GB2312"/>
          <w:sz w:val="28"/>
          <w:szCs w:val="28"/>
          <w:lang w:val="en-US"/>
        </w:rPr>
        <w:t>,</w:t>
      </w:r>
      <w:r>
        <w:rPr>
          <w:rFonts w:hint="eastAsia" w:ascii="仿宋_GB2312" w:eastAsia="仿宋_GB2312"/>
          <w:sz w:val="28"/>
          <w:szCs w:val="28"/>
        </w:rPr>
        <w:t>743.88元，下降</w:t>
      </w:r>
      <w:r>
        <w:rPr>
          <w:rFonts w:hint="default" w:ascii="仿宋_GB2312" w:eastAsia="仿宋_GB2312"/>
          <w:sz w:val="28"/>
          <w:szCs w:val="28"/>
          <w:lang w:val="en-US"/>
        </w:rPr>
        <w:t>50.8</w:t>
      </w:r>
      <w:r>
        <w:rPr>
          <w:rFonts w:hint="eastAsia" w:ascii="仿宋_GB2312" w:eastAsia="仿宋_GB2312"/>
          <w:sz w:val="28"/>
          <w:szCs w:val="28"/>
        </w:rPr>
        <w:t>%，其中：基本支出</w:t>
      </w:r>
      <w:r>
        <w:rPr>
          <w:rFonts w:ascii="仿宋_GB2312" w:eastAsia="仿宋_GB2312"/>
          <w:sz w:val="28"/>
          <w:szCs w:val="28"/>
        </w:rPr>
        <w:t>2</w:t>
      </w:r>
      <w:r>
        <w:rPr>
          <w:rFonts w:hint="default" w:ascii="仿宋_GB2312" w:eastAsia="仿宋_GB2312"/>
          <w:sz w:val="28"/>
          <w:szCs w:val="28"/>
          <w:lang w:val="en-US"/>
        </w:rPr>
        <w:t>,</w:t>
      </w:r>
      <w:r>
        <w:rPr>
          <w:rFonts w:ascii="仿宋_GB2312" w:eastAsia="仿宋_GB2312"/>
          <w:sz w:val="28"/>
          <w:szCs w:val="28"/>
        </w:rPr>
        <w:t>519</w:t>
      </w:r>
      <w:r>
        <w:rPr>
          <w:rFonts w:hint="default" w:ascii="仿宋_GB2312" w:eastAsia="仿宋_GB2312"/>
          <w:sz w:val="28"/>
          <w:szCs w:val="28"/>
          <w:lang w:val="en-US"/>
        </w:rPr>
        <w:t>,</w:t>
      </w:r>
      <w:r>
        <w:rPr>
          <w:rFonts w:ascii="仿宋_GB2312" w:eastAsia="仿宋_GB2312"/>
          <w:sz w:val="28"/>
          <w:szCs w:val="28"/>
        </w:rPr>
        <w:t>131.22</w:t>
      </w:r>
      <w:r>
        <w:rPr>
          <w:rFonts w:hint="eastAsia" w:ascii="仿宋_GB2312" w:eastAsia="仿宋_GB2312"/>
          <w:sz w:val="28"/>
          <w:szCs w:val="28"/>
        </w:rPr>
        <w:t>元，占支出合计的</w:t>
      </w:r>
      <w:r>
        <w:rPr>
          <w:rFonts w:hint="default" w:ascii="仿宋_GB2312" w:eastAsia="仿宋_GB2312"/>
          <w:sz w:val="28"/>
          <w:szCs w:val="28"/>
          <w:lang w:val="en-US"/>
        </w:rPr>
        <w:t>2.0</w:t>
      </w:r>
      <w:r>
        <w:rPr>
          <w:rFonts w:hint="eastAsia" w:ascii="仿宋_GB2312" w:eastAsia="仿宋_GB2312"/>
          <w:sz w:val="28"/>
          <w:szCs w:val="28"/>
        </w:rPr>
        <w:t>%；项目支出</w:t>
      </w:r>
      <w:r>
        <w:rPr>
          <w:rFonts w:ascii="仿宋_GB2312" w:eastAsia="仿宋_GB2312"/>
          <w:sz w:val="28"/>
          <w:szCs w:val="28"/>
        </w:rPr>
        <w:t>128</w:t>
      </w:r>
      <w:r>
        <w:rPr>
          <w:rFonts w:hint="default" w:ascii="仿宋_GB2312" w:eastAsia="仿宋_GB2312"/>
          <w:sz w:val="28"/>
          <w:szCs w:val="28"/>
          <w:lang w:val="en-US"/>
        </w:rPr>
        <w:t>,</w:t>
      </w:r>
      <w:r>
        <w:rPr>
          <w:rFonts w:ascii="仿宋_GB2312" w:eastAsia="仿宋_GB2312"/>
          <w:sz w:val="28"/>
          <w:szCs w:val="28"/>
        </w:rPr>
        <w:t>047</w:t>
      </w:r>
      <w:r>
        <w:rPr>
          <w:rFonts w:hint="default" w:ascii="仿宋_GB2312" w:eastAsia="仿宋_GB2312"/>
          <w:sz w:val="28"/>
          <w:szCs w:val="28"/>
          <w:lang w:val="en-US"/>
        </w:rPr>
        <w:t>,</w:t>
      </w:r>
      <w:r>
        <w:rPr>
          <w:rFonts w:ascii="仿宋_GB2312" w:eastAsia="仿宋_GB2312"/>
          <w:sz w:val="28"/>
          <w:szCs w:val="28"/>
        </w:rPr>
        <w:t>569.81</w:t>
      </w:r>
      <w:r>
        <w:rPr>
          <w:rFonts w:hint="eastAsia" w:ascii="仿宋_GB2312" w:eastAsia="仿宋_GB2312"/>
          <w:sz w:val="28"/>
          <w:szCs w:val="28"/>
        </w:rPr>
        <w:t>元，占支出合计的98.</w:t>
      </w:r>
      <w:r>
        <w:rPr>
          <w:rFonts w:hint="default" w:ascii="仿宋_GB2312" w:eastAsia="仿宋_GB2312"/>
          <w:sz w:val="28"/>
          <w:szCs w:val="28"/>
          <w:lang w:val="en-US"/>
        </w:rPr>
        <w:t>0</w:t>
      </w:r>
      <w:r>
        <w:rPr>
          <w:rFonts w:hint="eastAsia" w:ascii="仿宋_GB2312" w:eastAsia="仿宋_GB2312"/>
          <w:sz w:val="28"/>
          <w:szCs w:val="28"/>
        </w:rPr>
        <w:t>%;上缴上级支出</w:t>
      </w:r>
      <w:r>
        <w:rPr>
          <w:rFonts w:ascii="仿宋_GB2312" w:eastAsia="仿宋_GB2312"/>
          <w:sz w:val="28"/>
          <w:szCs w:val="28"/>
        </w:rPr>
        <w:t>0</w:t>
      </w:r>
      <w:r>
        <w:rPr>
          <w:rFonts w:hint="eastAsia" w:ascii="仿宋_GB2312" w:eastAsia="仿宋_GB2312"/>
          <w:sz w:val="28"/>
          <w:szCs w:val="28"/>
        </w:rPr>
        <w:t>元，占支出合计的0%；经营支出</w:t>
      </w:r>
      <w:r>
        <w:rPr>
          <w:rFonts w:ascii="仿宋_GB2312" w:eastAsia="仿宋_GB2312"/>
          <w:sz w:val="28"/>
          <w:szCs w:val="28"/>
        </w:rPr>
        <w:t>0</w:t>
      </w:r>
      <w:r>
        <w:rPr>
          <w:rFonts w:hint="eastAsia" w:ascii="仿宋_GB2312" w:eastAsia="仿宋_GB2312"/>
          <w:sz w:val="28"/>
          <w:szCs w:val="28"/>
        </w:rPr>
        <w:t>元，占支出合计的0%；对附属单位补助支出</w:t>
      </w:r>
      <w:r>
        <w:rPr>
          <w:rFonts w:ascii="仿宋_GB2312" w:eastAsia="仿宋_GB2312"/>
          <w:sz w:val="28"/>
          <w:szCs w:val="28"/>
        </w:rPr>
        <w:t>0</w:t>
      </w:r>
      <w:r>
        <w:rPr>
          <w:rFonts w:hint="eastAsia" w:ascii="仿宋_GB2312" w:eastAsia="仿宋_GB2312"/>
          <w:sz w:val="28"/>
          <w:szCs w:val="28"/>
        </w:rPr>
        <w:t>元，占支出合计的0%。</w:t>
      </w:r>
    </w:p>
    <w:p w14:paraId="6C4CD530">
      <w:pPr>
        <w:pStyle w:val="2"/>
        <w:ind w:firstLine="640" w:firstLineChars="200"/>
        <w:rPr>
          <w:rFonts w:ascii="仿宋_GB2312" w:eastAsia="仿宋_GB2312"/>
          <w:color w:val="000000"/>
          <w:sz w:val="32"/>
        </w:rPr>
      </w:pPr>
      <w:r>
        <w:rPr>
          <w:rFonts w:hint="eastAsia" w:ascii="仿宋_GB2312" w:eastAsia="仿宋_GB2312"/>
          <w:color w:val="000000"/>
          <w:sz w:val="32"/>
        </w:rPr>
        <w:t>图2：支出决算</w:t>
      </w:r>
    </w:p>
    <w:p w14:paraId="79F964F4">
      <w:pPr>
        <w:ind w:firstLine="420" w:firstLineChars="200"/>
        <w:jc w:val="center"/>
        <w:rPr>
          <w:rFonts w:ascii="黑体" w:eastAsia="黑体"/>
          <w:b/>
          <w:sz w:val="28"/>
          <w:szCs w:val="28"/>
        </w:rPr>
      </w:pPr>
      <w:r>
        <w:drawing>
          <wp:inline distT="0" distB="0" distL="114300" distR="114300">
            <wp:extent cx="4572000" cy="2743200"/>
            <wp:effectExtent l="4445" t="4445" r="14605" b="14605"/>
            <wp:docPr id="1" name="图表 3" title="{{pieChart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1D50BFA">
      <w:pPr>
        <w:tabs>
          <w:tab w:val="center" w:pos="6979"/>
        </w:tabs>
        <w:spacing w:line="580" w:lineRule="exact"/>
        <w:ind w:firstLine="560" w:firstLineChars="200"/>
        <w:rPr>
          <w:rFonts w:ascii="黑体" w:eastAsia="黑体"/>
          <w:b/>
          <w:sz w:val="28"/>
          <w:szCs w:val="28"/>
        </w:rPr>
      </w:pPr>
      <w:r>
        <w:rPr>
          <w:rFonts w:hint="eastAsia" w:ascii="黑体" w:eastAsia="黑体"/>
          <w:b/>
          <w:sz w:val="28"/>
          <w:szCs w:val="28"/>
        </w:rPr>
        <w:t>三</w:t>
      </w:r>
      <w:r>
        <w:rPr>
          <w:rFonts w:ascii="黑体" w:eastAsia="黑体"/>
          <w:b/>
          <w:sz w:val="28"/>
          <w:szCs w:val="28"/>
        </w:rPr>
        <w:t>、财政拨款</w:t>
      </w:r>
      <w:r>
        <w:rPr>
          <w:rFonts w:hint="eastAsia" w:ascii="黑体" w:eastAsia="黑体"/>
          <w:b/>
          <w:sz w:val="28"/>
          <w:szCs w:val="28"/>
        </w:rPr>
        <w:t>收入支出决算</w:t>
      </w:r>
      <w:r>
        <w:rPr>
          <w:rFonts w:ascii="黑体" w:eastAsia="黑体"/>
          <w:b/>
          <w:sz w:val="28"/>
          <w:szCs w:val="28"/>
        </w:rPr>
        <w:t>总体情况说明</w:t>
      </w:r>
    </w:p>
    <w:p w14:paraId="020EC037">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2025年度财政拨款收、</w:t>
      </w:r>
      <w:r>
        <w:rPr>
          <w:rFonts w:ascii="仿宋_GB2312" w:eastAsia="仿宋_GB2312"/>
          <w:sz w:val="28"/>
          <w:szCs w:val="28"/>
        </w:rPr>
        <w:t>支</w:t>
      </w:r>
      <w:r>
        <w:rPr>
          <w:rFonts w:hint="eastAsia" w:ascii="仿宋_GB2312" w:eastAsia="仿宋_GB2312"/>
          <w:sz w:val="28"/>
          <w:szCs w:val="28"/>
        </w:rPr>
        <w:t>总计</w:t>
      </w:r>
      <w:r>
        <w:rPr>
          <w:rFonts w:ascii="仿宋_GB2312" w:eastAsia="仿宋_GB2312"/>
          <w:sz w:val="28"/>
          <w:szCs w:val="28"/>
        </w:rPr>
        <w:t>130</w:t>
      </w:r>
      <w:r>
        <w:rPr>
          <w:rFonts w:hint="default" w:ascii="仿宋_GB2312" w:eastAsia="仿宋_GB2312"/>
          <w:sz w:val="28"/>
          <w:szCs w:val="28"/>
          <w:lang w:val="en-US"/>
        </w:rPr>
        <w:t>,</w:t>
      </w:r>
      <w:r>
        <w:rPr>
          <w:rFonts w:ascii="仿宋_GB2312" w:eastAsia="仿宋_GB2312"/>
          <w:sz w:val="28"/>
          <w:szCs w:val="28"/>
        </w:rPr>
        <w:t>566</w:t>
      </w:r>
      <w:r>
        <w:rPr>
          <w:rFonts w:hint="default" w:ascii="仿宋_GB2312" w:eastAsia="仿宋_GB2312"/>
          <w:sz w:val="28"/>
          <w:szCs w:val="28"/>
          <w:lang w:val="en-US"/>
        </w:rPr>
        <w:t>,</w:t>
      </w:r>
      <w:r>
        <w:rPr>
          <w:rFonts w:ascii="仿宋_GB2312" w:eastAsia="仿宋_GB2312"/>
          <w:sz w:val="28"/>
          <w:szCs w:val="28"/>
        </w:rPr>
        <w:t>701.03</w:t>
      </w:r>
      <w:r>
        <w:rPr>
          <w:rFonts w:hint="eastAsia" w:ascii="仿宋_GB2312" w:eastAsia="仿宋_GB2312"/>
          <w:sz w:val="28"/>
          <w:szCs w:val="28"/>
        </w:rPr>
        <w:t>元，</w:t>
      </w:r>
      <w:r>
        <w:rPr>
          <w:rFonts w:ascii="仿宋_GB2312" w:eastAsia="仿宋_GB2312"/>
          <w:sz w:val="28"/>
          <w:szCs w:val="28"/>
        </w:rPr>
        <w:t>比上年</w:t>
      </w:r>
      <w:r>
        <w:rPr>
          <w:rFonts w:hint="eastAsia" w:ascii="仿宋_GB2312" w:eastAsia="仿宋_GB2312"/>
          <w:sz w:val="28"/>
          <w:szCs w:val="28"/>
        </w:rPr>
        <w:t>减少134</w:t>
      </w:r>
      <w:r>
        <w:rPr>
          <w:rFonts w:hint="default" w:ascii="仿宋_GB2312" w:eastAsia="仿宋_GB2312"/>
          <w:sz w:val="28"/>
          <w:szCs w:val="28"/>
          <w:lang w:val="en-US"/>
        </w:rPr>
        <w:t>,</w:t>
      </w:r>
      <w:r>
        <w:rPr>
          <w:rFonts w:hint="eastAsia" w:ascii="仿宋_GB2312" w:eastAsia="仿宋_GB2312"/>
          <w:sz w:val="28"/>
          <w:szCs w:val="28"/>
        </w:rPr>
        <w:t>685</w:t>
      </w:r>
      <w:r>
        <w:rPr>
          <w:rFonts w:hint="default" w:ascii="仿宋_GB2312" w:eastAsia="仿宋_GB2312"/>
          <w:sz w:val="28"/>
          <w:szCs w:val="28"/>
          <w:lang w:val="en-US"/>
        </w:rPr>
        <w:t>,</w:t>
      </w:r>
      <w:r>
        <w:rPr>
          <w:rFonts w:hint="eastAsia" w:ascii="仿宋_GB2312" w:eastAsia="仿宋_GB2312"/>
          <w:sz w:val="28"/>
          <w:szCs w:val="28"/>
        </w:rPr>
        <w:t>743.88元，下降</w:t>
      </w:r>
      <w:r>
        <w:rPr>
          <w:rFonts w:hint="default" w:ascii="仿宋_GB2312" w:eastAsia="仿宋_GB2312"/>
          <w:sz w:val="28"/>
          <w:szCs w:val="28"/>
          <w:lang w:val="en-US"/>
        </w:rPr>
        <w:t>50.8</w:t>
      </w:r>
      <w:r>
        <w:rPr>
          <w:rFonts w:hint="eastAsia" w:ascii="仿宋_GB2312" w:eastAsia="仿宋_GB2312"/>
          <w:sz w:val="28"/>
          <w:szCs w:val="28"/>
        </w:rPr>
        <w:t>%。主要原因：曹各庄、桥户营村土地一级开发项目</w:t>
      </w:r>
      <w:r>
        <w:rPr>
          <w:rFonts w:hint="eastAsia" w:ascii="仿宋_GB2312" w:eastAsia="仿宋_GB2312"/>
          <w:sz w:val="28"/>
          <w:szCs w:val="28"/>
          <w:lang w:eastAsia="zh-CN"/>
        </w:rPr>
        <w:t>、</w:t>
      </w:r>
      <w:r>
        <w:rPr>
          <w:rFonts w:hint="eastAsia" w:ascii="仿宋_GB2312" w:eastAsia="仿宋_GB2312"/>
          <w:sz w:val="28"/>
          <w:szCs w:val="28"/>
        </w:rPr>
        <w:t>门头沟区石龙高新技术产业用地土地一级开发项目款减少。</w:t>
      </w:r>
    </w:p>
    <w:p w14:paraId="50F53E49">
      <w:pPr>
        <w:tabs>
          <w:tab w:val="center" w:pos="6979"/>
        </w:tabs>
        <w:spacing w:line="580" w:lineRule="exact"/>
        <w:ind w:firstLine="560" w:firstLineChars="200"/>
        <w:rPr>
          <w:rFonts w:ascii="黑体" w:eastAsia="黑体"/>
          <w:b/>
          <w:sz w:val="28"/>
          <w:szCs w:val="28"/>
        </w:rPr>
      </w:pPr>
      <w:r>
        <w:rPr>
          <w:rFonts w:hint="eastAsia" w:ascii="黑体" w:eastAsia="黑体"/>
          <w:b/>
          <w:sz w:val="28"/>
          <w:szCs w:val="28"/>
        </w:rPr>
        <w:t>四、一般公共预算财政拨款支出决算情况说明</w:t>
      </w:r>
    </w:p>
    <w:p w14:paraId="35635C37">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（一）一般公共预算财政拨款支出决算总体情况</w:t>
      </w:r>
    </w:p>
    <w:p w14:paraId="2E685F86">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2025年度一般公共预算财政拨款支出</w:t>
      </w:r>
      <w:r>
        <w:rPr>
          <w:rFonts w:ascii="仿宋_GB2312" w:eastAsia="仿宋_GB2312"/>
          <w:sz w:val="28"/>
          <w:szCs w:val="28"/>
        </w:rPr>
        <w:t>3</w:t>
      </w:r>
      <w:r>
        <w:rPr>
          <w:rFonts w:hint="eastAsia" w:ascii="仿宋_GB2312" w:eastAsia="仿宋_GB2312"/>
          <w:sz w:val="28"/>
          <w:szCs w:val="28"/>
          <w:lang w:val="en-US" w:eastAsia="zh-CN"/>
        </w:rPr>
        <w:t>,</w:t>
      </w:r>
      <w:r>
        <w:rPr>
          <w:rFonts w:ascii="仿宋_GB2312" w:eastAsia="仿宋_GB2312"/>
          <w:sz w:val="28"/>
          <w:szCs w:val="28"/>
        </w:rPr>
        <w:t>386</w:t>
      </w:r>
      <w:r>
        <w:rPr>
          <w:rFonts w:hint="eastAsia" w:ascii="仿宋_GB2312" w:eastAsia="仿宋_GB2312"/>
          <w:sz w:val="28"/>
          <w:szCs w:val="28"/>
          <w:lang w:val="en-US" w:eastAsia="zh-CN"/>
        </w:rPr>
        <w:t>,</w:t>
      </w:r>
      <w:r>
        <w:rPr>
          <w:rFonts w:ascii="仿宋_GB2312" w:eastAsia="仿宋_GB2312"/>
          <w:sz w:val="28"/>
          <w:szCs w:val="28"/>
        </w:rPr>
        <w:t>131.22</w:t>
      </w:r>
      <w:r>
        <w:rPr>
          <w:rFonts w:hint="eastAsia" w:ascii="仿宋_GB2312" w:eastAsia="仿宋_GB2312"/>
          <w:sz w:val="28"/>
          <w:szCs w:val="28"/>
        </w:rPr>
        <w:t>元，主要用于以下方面（按大类）：自然资源海洋气象等支出</w:t>
      </w:r>
      <w:r>
        <w:rPr>
          <w:rFonts w:ascii="仿宋_GB2312" w:eastAsia="仿宋_GB2312"/>
          <w:sz w:val="28"/>
          <w:szCs w:val="28"/>
        </w:rPr>
        <w:t>3</w:t>
      </w:r>
      <w:r>
        <w:rPr>
          <w:rFonts w:hint="eastAsia" w:ascii="仿宋_GB2312" w:eastAsia="仿宋_GB2312"/>
          <w:sz w:val="28"/>
          <w:szCs w:val="28"/>
          <w:lang w:val="en-US" w:eastAsia="zh-CN"/>
        </w:rPr>
        <w:t>,</w:t>
      </w:r>
      <w:r>
        <w:rPr>
          <w:rFonts w:ascii="仿宋_GB2312" w:eastAsia="仿宋_GB2312"/>
          <w:sz w:val="28"/>
          <w:szCs w:val="28"/>
        </w:rPr>
        <w:t>386</w:t>
      </w:r>
      <w:r>
        <w:rPr>
          <w:rFonts w:hint="eastAsia" w:ascii="仿宋_GB2312" w:eastAsia="仿宋_GB2312"/>
          <w:sz w:val="28"/>
          <w:szCs w:val="28"/>
          <w:lang w:val="en-US" w:eastAsia="zh-CN"/>
        </w:rPr>
        <w:t>,</w:t>
      </w:r>
      <w:r>
        <w:rPr>
          <w:rFonts w:ascii="仿宋_GB2312" w:eastAsia="仿宋_GB2312"/>
          <w:sz w:val="28"/>
          <w:szCs w:val="28"/>
        </w:rPr>
        <w:t>131.22</w:t>
      </w:r>
      <w:r>
        <w:rPr>
          <w:rFonts w:hint="eastAsia" w:ascii="仿宋_GB2312" w:eastAsia="仿宋_GB2312"/>
          <w:sz w:val="28"/>
          <w:szCs w:val="28"/>
        </w:rPr>
        <w:t>元，占本年财政拨款支出</w:t>
      </w:r>
      <w:r>
        <w:rPr>
          <w:rFonts w:hint="eastAsia" w:ascii="仿宋_GB2312" w:eastAsia="仿宋_GB2312"/>
          <w:sz w:val="28"/>
          <w:szCs w:val="28"/>
          <w:lang w:val="en-US" w:eastAsia="zh-CN"/>
        </w:rPr>
        <w:t>100.0</w:t>
      </w:r>
      <w:r>
        <w:rPr>
          <w:rFonts w:hint="eastAsia" w:ascii="仿宋_GB2312" w:eastAsia="仿宋_GB2312"/>
          <w:sz w:val="28"/>
          <w:szCs w:val="28"/>
        </w:rPr>
        <w:t>%。</w:t>
      </w:r>
    </w:p>
    <w:p w14:paraId="7550B724">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（二）一般公共预算财政拨款支出决算具体情况</w:t>
      </w:r>
    </w:p>
    <w:p w14:paraId="7B02EB11">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1、“自然资源海洋气象等支出”（类）2025年度年初预算</w:t>
      </w:r>
      <w:r>
        <w:rPr>
          <w:rFonts w:hint="eastAsia" w:ascii="仿宋_GB2312" w:eastAsia="仿宋_GB2312"/>
          <w:sz w:val="28"/>
          <w:szCs w:val="28"/>
          <w:lang w:val="en-US" w:eastAsia="zh-CN"/>
        </w:rPr>
        <w:t>3,496,996.48</w:t>
      </w:r>
      <w:r>
        <w:rPr>
          <w:rFonts w:hint="eastAsia" w:ascii="仿宋_GB2312" w:eastAsia="仿宋_GB2312"/>
          <w:sz w:val="28"/>
          <w:szCs w:val="28"/>
        </w:rPr>
        <w:t>元，2025年度决算</w:t>
      </w:r>
      <w:r>
        <w:rPr>
          <w:rFonts w:hint="eastAsia" w:ascii="仿宋_GB2312" w:eastAsia="仿宋_GB2312"/>
          <w:sz w:val="28"/>
          <w:szCs w:val="28"/>
          <w:lang w:val="en-US" w:eastAsia="zh-CN"/>
        </w:rPr>
        <w:t>3,386,131.22</w:t>
      </w:r>
      <w:r>
        <w:rPr>
          <w:rFonts w:hint="eastAsia" w:ascii="仿宋_GB2312" w:eastAsia="仿宋_GB2312"/>
          <w:sz w:val="28"/>
          <w:szCs w:val="28"/>
        </w:rPr>
        <w:t>元，完成年初预算的</w:t>
      </w:r>
      <w:r>
        <w:rPr>
          <w:rFonts w:hint="eastAsia" w:ascii="仿宋_GB2312" w:eastAsia="仿宋_GB2312"/>
          <w:sz w:val="28"/>
          <w:szCs w:val="28"/>
          <w:lang w:val="en-US" w:eastAsia="zh-CN"/>
        </w:rPr>
        <w:t>96.8</w:t>
      </w:r>
      <w:r>
        <w:rPr>
          <w:rFonts w:hint="eastAsia" w:ascii="仿宋_GB2312" w:eastAsia="仿宋_GB2312"/>
          <w:sz w:val="28"/>
          <w:szCs w:val="28"/>
        </w:rPr>
        <w:t>%。</w:t>
      </w:r>
    </w:p>
    <w:p w14:paraId="62188B39">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其中：</w:t>
      </w:r>
    </w:p>
    <w:p w14:paraId="30C87A4E">
      <w:pPr>
        <w:spacing w:line="580" w:lineRule="exact"/>
        <w:ind w:firstLine="560" w:firstLineChars="200"/>
        <w:rPr>
          <w:rFonts w:ascii="仿宋_GB2312" w:eastAsia="仿宋_GB2312"/>
          <w:sz w:val="28"/>
          <w:szCs w:val="28"/>
        </w:rPr>
      </w:pPr>
      <w:r>
        <w:rPr>
          <w:rFonts w:hint="eastAsia" w:ascii="仿宋_GB2312" w:eastAsia="仿宋_GB2312"/>
          <w:sz w:val="28"/>
          <w:szCs w:val="28"/>
        </w:rPr>
        <w:t>“自然资源事务”（款，下同）2025年度年初预算预算</w:t>
      </w:r>
      <w:r>
        <w:rPr>
          <w:rFonts w:hint="eastAsia" w:ascii="仿宋_GB2312" w:eastAsia="仿宋_GB2312"/>
          <w:sz w:val="28"/>
          <w:szCs w:val="28"/>
          <w:lang w:val="en-US" w:eastAsia="zh-CN"/>
        </w:rPr>
        <w:t>3,496,996.48</w:t>
      </w:r>
      <w:r>
        <w:rPr>
          <w:rFonts w:hint="eastAsia" w:ascii="仿宋_GB2312" w:eastAsia="仿宋_GB2312"/>
          <w:sz w:val="28"/>
          <w:szCs w:val="28"/>
        </w:rPr>
        <w:t>元，2025年度决算</w:t>
      </w:r>
      <w:r>
        <w:rPr>
          <w:rFonts w:hint="eastAsia" w:ascii="仿宋_GB2312" w:eastAsia="仿宋_GB2312"/>
          <w:sz w:val="28"/>
          <w:szCs w:val="28"/>
          <w:lang w:val="en-US" w:eastAsia="zh-CN"/>
        </w:rPr>
        <w:t>3,386,131.22</w:t>
      </w:r>
      <w:r>
        <w:rPr>
          <w:rFonts w:hint="eastAsia" w:ascii="仿宋_GB2312" w:eastAsia="仿宋_GB2312"/>
          <w:sz w:val="28"/>
          <w:szCs w:val="28"/>
        </w:rPr>
        <w:t>元，完成年初预算的</w:t>
      </w:r>
      <w:r>
        <w:rPr>
          <w:rFonts w:hint="eastAsia" w:ascii="仿宋_GB2312" w:eastAsia="仿宋_GB2312"/>
          <w:sz w:val="28"/>
          <w:szCs w:val="28"/>
          <w:lang w:val="en-US" w:eastAsia="zh-CN"/>
        </w:rPr>
        <w:t>96.8</w:t>
      </w:r>
      <w:r>
        <w:rPr>
          <w:rFonts w:hint="eastAsia" w:ascii="仿宋_GB2312" w:eastAsia="仿宋_GB2312"/>
          <w:sz w:val="28"/>
          <w:szCs w:val="28"/>
        </w:rPr>
        <w:t>%。主要原因：</w:t>
      </w:r>
      <w:r>
        <w:rPr>
          <w:rFonts w:hint="eastAsia" w:ascii="仿宋_GB2312" w:eastAsia="仿宋_GB2312"/>
          <w:sz w:val="28"/>
          <w:szCs w:val="28"/>
          <w:lang w:eastAsia="zh-CN"/>
        </w:rPr>
        <w:t>人员经费、公用经费支出减少</w:t>
      </w:r>
      <w:r>
        <w:rPr>
          <w:rFonts w:hint="eastAsia" w:ascii="仿宋_GB2312" w:eastAsia="仿宋_GB2312"/>
          <w:sz w:val="28"/>
          <w:szCs w:val="28"/>
        </w:rPr>
        <w:t>。</w:t>
      </w:r>
    </w:p>
    <w:p w14:paraId="100B7287">
      <w:pPr>
        <w:spacing w:line="580" w:lineRule="exact"/>
        <w:ind w:firstLine="560" w:firstLineChars="200"/>
        <w:rPr>
          <w:rFonts w:ascii="仿宋_GB2312" w:eastAsia="仿宋_GB2312"/>
          <w:sz w:val="28"/>
          <w:szCs w:val="28"/>
        </w:rPr>
      </w:pPr>
      <w:r>
        <w:rPr>
          <w:rFonts w:hint="eastAsia" w:ascii="黑体" w:eastAsia="黑体"/>
          <w:b/>
          <w:sz w:val="28"/>
          <w:szCs w:val="28"/>
        </w:rPr>
        <w:t>五、政府性基金预算财政拨款支出决算情况说明</w:t>
      </w:r>
    </w:p>
    <w:p w14:paraId="7003EB33">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（一）政府性基金预算财政拨款支出决算总体情况</w:t>
      </w:r>
    </w:p>
    <w:p w14:paraId="732EB360">
      <w:pPr>
        <w:tabs>
          <w:tab w:val="center" w:pos="6979"/>
        </w:tabs>
        <w:spacing w:line="580" w:lineRule="exact"/>
        <w:ind w:firstLine="560" w:firstLineChars="200"/>
        <w:rPr>
          <w:rFonts w:hint="eastAsia" w:ascii="仿宋_GB2312" w:eastAsia="仿宋_GB2312"/>
          <w:sz w:val="28"/>
          <w:szCs w:val="28"/>
          <w:lang w:val="en-US" w:eastAsia="zh-CN"/>
        </w:rPr>
      </w:pPr>
      <w:r>
        <w:rPr>
          <w:rFonts w:hint="eastAsia" w:ascii="仿宋_GB2312" w:eastAsia="仿宋_GB2312"/>
          <w:sz w:val="28"/>
          <w:szCs w:val="28"/>
        </w:rPr>
        <w:t>2025年度政府性基金预算财政拨款支出</w:t>
      </w:r>
      <w:r>
        <w:rPr>
          <w:rFonts w:ascii="仿宋_GB2312" w:eastAsia="仿宋_GB2312"/>
          <w:sz w:val="28"/>
          <w:szCs w:val="28"/>
        </w:rPr>
        <w:t>127</w:t>
      </w:r>
      <w:r>
        <w:rPr>
          <w:rFonts w:hint="eastAsia" w:ascii="仿宋_GB2312" w:eastAsia="仿宋_GB2312"/>
          <w:sz w:val="28"/>
          <w:szCs w:val="28"/>
          <w:lang w:val="en-US" w:eastAsia="zh-CN"/>
        </w:rPr>
        <w:t>,</w:t>
      </w:r>
      <w:r>
        <w:rPr>
          <w:rFonts w:ascii="仿宋_GB2312" w:eastAsia="仿宋_GB2312"/>
          <w:sz w:val="28"/>
          <w:szCs w:val="28"/>
        </w:rPr>
        <w:t>180</w:t>
      </w:r>
      <w:r>
        <w:rPr>
          <w:rFonts w:hint="eastAsia" w:ascii="仿宋_GB2312" w:eastAsia="仿宋_GB2312"/>
          <w:sz w:val="28"/>
          <w:szCs w:val="28"/>
          <w:lang w:val="en-US" w:eastAsia="zh-CN"/>
        </w:rPr>
        <w:t>,</w:t>
      </w:r>
      <w:r>
        <w:rPr>
          <w:rFonts w:ascii="仿宋_GB2312" w:eastAsia="仿宋_GB2312"/>
          <w:sz w:val="28"/>
          <w:szCs w:val="28"/>
        </w:rPr>
        <w:t>569.81</w:t>
      </w:r>
      <w:r>
        <w:rPr>
          <w:rFonts w:hint="eastAsia" w:ascii="仿宋_GB2312" w:eastAsia="仿宋_GB2312"/>
          <w:sz w:val="28"/>
          <w:szCs w:val="28"/>
        </w:rPr>
        <w:t>元，主要用于以下方面（按大类）：城乡社区支出</w:t>
      </w:r>
      <w:r>
        <w:rPr>
          <w:rFonts w:ascii="仿宋_GB2312" w:eastAsia="仿宋_GB2312"/>
          <w:sz w:val="28"/>
          <w:szCs w:val="28"/>
        </w:rPr>
        <w:t>127</w:t>
      </w:r>
      <w:r>
        <w:rPr>
          <w:rFonts w:hint="eastAsia" w:ascii="仿宋_GB2312" w:eastAsia="仿宋_GB2312"/>
          <w:sz w:val="28"/>
          <w:szCs w:val="28"/>
          <w:lang w:val="en-US" w:eastAsia="zh-CN"/>
        </w:rPr>
        <w:t>,</w:t>
      </w:r>
      <w:r>
        <w:rPr>
          <w:rFonts w:ascii="仿宋_GB2312" w:eastAsia="仿宋_GB2312"/>
          <w:sz w:val="28"/>
          <w:szCs w:val="28"/>
        </w:rPr>
        <w:t>180</w:t>
      </w:r>
      <w:r>
        <w:rPr>
          <w:rFonts w:hint="eastAsia" w:ascii="仿宋_GB2312" w:eastAsia="仿宋_GB2312"/>
          <w:sz w:val="28"/>
          <w:szCs w:val="28"/>
          <w:lang w:val="en-US" w:eastAsia="zh-CN"/>
        </w:rPr>
        <w:t>,</w:t>
      </w:r>
      <w:r>
        <w:rPr>
          <w:rFonts w:ascii="仿宋_GB2312" w:eastAsia="仿宋_GB2312"/>
          <w:sz w:val="28"/>
          <w:szCs w:val="28"/>
        </w:rPr>
        <w:t>569.81</w:t>
      </w:r>
      <w:r>
        <w:rPr>
          <w:rFonts w:hint="eastAsia" w:ascii="仿宋_GB2312" w:eastAsia="仿宋_GB2312"/>
          <w:sz w:val="28"/>
          <w:szCs w:val="28"/>
        </w:rPr>
        <w:t>元，占本年财政拨款支出</w:t>
      </w:r>
      <w:r>
        <w:rPr>
          <w:rFonts w:hint="eastAsia" w:ascii="仿宋_GB2312" w:eastAsia="仿宋_GB2312"/>
          <w:sz w:val="28"/>
          <w:szCs w:val="28"/>
          <w:lang w:val="en-US" w:eastAsia="zh-CN"/>
        </w:rPr>
        <w:t>100.0</w:t>
      </w:r>
      <w:r>
        <w:rPr>
          <w:rFonts w:hint="eastAsia" w:ascii="仿宋_GB2312" w:eastAsia="仿宋_GB2312"/>
          <w:sz w:val="28"/>
          <w:szCs w:val="28"/>
        </w:rPr>
        <w:t>%</w:t>
      </w:r>
      <w:r>
        <w:rPr>
          <w:rFonts w:hint="eastAsia" w:ascii="仿宋_GB2312" w:eastAsia="仿宋_GB2312"/>
          <w:sz w:val="28"/>
          <w:szCs w:val="28"/>
          <w:lang w:eastAsia="zh-CN"/>
        </w:rPr>
        <w:t>。</w:t>
      </w:r>
    </w:p>
    <w:p w14:paraId="4A173975">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（二）政府性基金预算财政拨款支出决算具体情况</w:t>
      </w:r>
    </w:p>
    <w:p w14:paraId="1692C6F8">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1、“城乡社区支出”（类，下同）2025年度年初预算</w:t>
      </w:r>
      <w:r>
        <w:rPr>
          <w:rFonts w:hint="eastAsia" w:ascii="仿宋_GB2312" w:eastAsia="仿宋_GB2312"/>
          <w:sz w:val="28"/>
          <w:szCs w:val="28"/>
          <w:lang w:val="en-US" w:eastAsia="zh-CN"/>
        </w:rPr>
        <w:t>0.00</w:t>
      </w:r>
      <w:r>
        <w:rPr>
          <w:rFonts w:hint="eastAsia" w:ascii="仿宋_GB2312" w:eastAsia="仿宋_GB2312"/>
          <w:sz w:val="28"/>
          <w:szCs w:val="28"/>
        </w:rPr>
        <w:t>元，2025年度决算</w:t>
      </w:r>
      <w:r>
        <w:rPr>
          <w:rFonts w:ascii="仿宋_GB2312" w:eastAsia="仿宋_GB2312"/>
          <w:sz w:val="28"/>
          <w:szCs w:val="28"/>
        </w:rPr>
        <w:t>127</w:t>
      </w:r>
      <w:r>
        <w:rPr>
          <w:rFonts w:hint="eastAsia" w:ascii="仿宋_GB2312" w:eastAsia="仿宋_GB2312"/>
          <w:sz w:val="28"/>
          <w:szCs w:val="28"/>
          <w:lang w:val="en-US" w:eastAsia="zh-CN"/>
        </w:rPr>
        <w:t>,</w:t>
      </w:r>
      <w:r>
        <w:rPr>
          <w:rFonts w:ascii="仿宋_GB2312" w:eastAsia="仿宋_GB2312"/>
          <w:sz w:val="28"/>
          <w:szCs w:val="28"/>
        </w:rPr>
        <w:t>180</w:t>
      </w:r>
      <w:r>
        <w:rPr>
          <w:rFonts w:hint="eastAsia" w:ascii="仿宋_GB2312" w:eastAsia="仿宋_GB2312"/>
          <w:sz w:val="28"/>
          <w:szCs w:val="28"/>
          <w:lang w:val="en-US" w:eastAsia="zh-CN"/>
        </w:rPr>
        <w:t>,</w:t>
      </w:r>
      <w:r>
        <w:rPr>
          <w:rFonts w:ascii="仿宋_GB2312" w:eastAsia="仿宋_GB2312"/>
          <w:sz w:val="28"/>
          <w:szCs w:val="28"/>
        </w:rPr>
        <w:t>569.81</w:t>
      </w:r>
      <w:r>
        <w:rPr>
          <w:rFonts w:hint="eastAsia" w:ascii="仿宋_GB2312" w:eastAsia="仿宋_GB2312"/>
          <w:sz w:val="28"/>
          <w:szCs w:val="28"/>
        </w:rPr>
        <w:t>元，完成年初预算的</w:t>
      </w:r>
      <w:r>
        <w:rPr>
          <w:rFonts w:hint="eastAsia" w:ascii="仿宋_GB2312" w:eastAsia="仿宋_GB2312"/>
          <w:sz w:val="28"/>
          <w:szCs w:val="28"/>
          <w:lang w:val="en-US" w:eastAsia="zh-CN"/>
        </w:rPr>
        <w:t>100.0</w:t>
      </w:r>
      <w:r>
        <w:rPr>
          <w:rFonts w:hint="eastAsia" w:ascii="仿宋_GB2312" w:eastAsia="仿宋_GB2312"/>
          <w:sz w:val="28"/>
          <w:szCs w:val="28"/>
        </w:rPr>
        <w:t>%。其中：</w:t>
      </w:r>
    </w:p>
    <w:p w14:paraId="2F4CDF57">
      <w:pPr>
        <w:spacing w:line="580" w:lineRule="exact"/>
        <w:ind w:firstLine="560" w:firstLineChars="200"/>
        <w:rPr>
          <w:rFonts w:hint="eastAsia" w:ascii="仿宋_GB2312" w:eastAsia="仿宋_GB2312"/>
          <w:sz w:val="28"/>
          <w:szCs w:val="28"/>
        </w:rPr>
      </w:pPr>
    </w:p>
    <w:p w14:paraId="6497EE4E">
      <w:pPr>
        <w:spacing w:line="580" w:lineRule="exact"/>
        <w:ind w:firstLine="560" w:firstLineChars="200"/>
        <w:rPr>
          <w:rFonts w:ascii="仿宋_GB2312" w:eastAsia="仿宋_GB2312"/>
          <w:sz w:val="28"/>
          <w:szCs w:val="28"/>
        </w:rPr>
      </w:pPr>
      <w:r>
        <w:rPr>
          <w:rFonts w:hint="eastAsia" w:ascii="仿宋_GB2312" w:eastAsia="仿宋_GB2312"/>
          <w:sz w:val="28"/>
          <w:szCs w:val="28"/>
        </w:rPr>
        <w:t>“国有土地使用权出让收入安排的支出”（款，下同）2025年度年初预算</w:t>
      </w:r>
      <w:r>
        <w:rPr>
          <w:rFonts w:hint="eastAsia" w:ascii="仿宋_GB2312" w:eastAsia="仿宋_GB2312"/>
          <w:sz w:val="28"/>
          <w:szCs w:val="28"/>
          <w:lang w:val="en-US" w:eastAsia="zh-CN"/>
        </w:rPr>
        <w:t>0.00</w:t>
      </w:r>
      <w:r>
        <w:rPr>
          <w:rFonts w:hint="eastAsia" w:ascii="仿宋_GB2312" w:eastAsia="仿宋_GB2312"/>
          <w:sz w:val="28"/>
          <w:szCs w:val="28"/>
        </w:rPr>
        <w:t>元，2025年度决算</w:t>
      </w:r>
      <w:r>
        <w:rPr>
          <w:rFonts w:hint="eastAsia" w:ascii="仿宋_GB2312" w:eastAsia="仿宋_GB2312"/>
          <w:sz w:val="28"/>
          <w:szCs w:val="28"/>
          <w:lang w:val="en-US" w:eastAsia="zh-CN"/>
        </w:rPr>
        <w:t>24,364,895.15</w:t>
      </w:r>
      <w:r>
        <w:rPr>
          <w:rFonts w:hint="eastAsia" w:ascii="仿宋_GB2312" w:eastAsia="仿宋_GB2312"/>
          <w:sz w:val="28"/>
          <w:szCs w:val="28"/>
        </w:rPr>
        <w:t>元，完成年初预算的</w:t>
      </w:r>
      <w:r>
        <w:rPr>
          <w:rFonts w:hint="eastAsia" w:ascii="仿宋_GB2312" w:eastAsia="仿宋_GB2312"/>
          <w:sz w:val="28"/>
          <w:szCs w:val="28"/>
          <w:lang w:val="en-US" w:eastAsia="zh-CN"/>
        </w:rPr>
        <w:t>100.0</w:t>
      </w:r>
      <w:r>
        <w:rPr>
          <w:rFonts w:hint="eastAsia" w:ascii="仿宋_GB2312" w:eastAsia="仿宋_GB2312"/>
          <w:sz w:val="28"/>
          <w:szCs w:val="28"/>
        </w:rPr>
        <w:t>%。主要原因：</w:t>
      </w:r>
      <w:r>
        <w:rPr>
          <w:rFonts w:hint="eastAsia" w:ascii="仿宋_GB2312" w:eastAsia="仿宋_GB2312"/>
          <w:sz w:val="28"/>
          <w:szCs w:val="28"/>
          <w:lang w:eastAsia="zh-CN"/>
        </w:rPr>
        <w:t>年初预算不包含政府性基金预算财政拨款</w:t>
      </w:r>
      <w:r>
        <w:rPr>
          <w:rFonts w:hint="eastAsia" w:ascii="仿宋_GB2312" w:eastAsia="仿宋_GB2312"/>
          <w:sz w:val="28"/>
          <w:szCs w:val="28"/>
        </w:rPr>
        <w:t>。</w:t>
      </w:r>
    </w:p>
    <w:p w14:paraId="00072303">
      <w:pPr>
        <w:spacing w:line="580" w:lineRule="exact"/>
        <w:ind w:firstLine="560" w:firstLineChars="200"/>
        <w:rPr>
          <w:rFonts w:hint="eastAsia" w:ascii="仿宋_GB2312" w:eastAsia="仿宋_GB2312"/>
          <w:sz w:val="28"/>
          <w:szCs w:val="28"/>
        </w:rPr>
      </w:pPr>
      <w:r>
        <w:rPr>
          <w:rFonts w:hint="eastAsia" w:ascii="仿宋_GB2312" w:eastAsia="仿宋_GB2312"/>
          <w:sz w:val="28"/>
          <w:szCs w:val="28"/>
          <w:lang w:eastAsia="zh-CN"/>
        </w:rPr>
        <w:t>“国有土地收益基金安排的支出”</w:t>
      </w:r>
      <w:r>
        <w:rPr>
          <w:rFonts w:hint="eastAsia" w:ascii="仿宋_GB2312" w:eastAsia="仿宋_GB2312"/>
          <w:sz w:val="28"/>
          <w:szCs w:val="28"/>
        </w:rPr>
        <w:t>（款，下同）2025年度年初预算</w:t>
      </w:r>
      <w:r>
        <w:rPr>
          <w:rFonts w:hint="eastAsia" w:ascii="仿宋_GB2312" w:eastAsia="仿宋_GB2312"/>
          <w:sz w:val="28"/>
          <w:szCs w:val="28"/>
          <w:lang w:val="en-US" w:eastAsia="zh-CN"/>
        </w:rPr>
        <w:t>0.00</w:t>
      </w:r>
      <w:r>
        <w:rPr>
          <w:rFonts w:hint="eastAsia" w:ascii="仿宋_GB2312" w:eastAsia="仿宋_GB2312"/>
          <w:sz w:val="28"/>
          <w:szCs w:val="28"/>
        </w:rPr>
        <w:t>元，2025年度决算25,815,674.66</w:t>
      </w:r>
      <w:r>
        <w:rPr>
          <w:rFonts w:hint="eastAsia" w:ascii="仿宋_GB2312" w:eastAsia="仿宋_GB2312"/>
          <w:sz w:val="28"/>
          <w:szCs w:val="28"/>
          <w:lang w:eastAsia="zh-CN"/>
        </w:rPr>
        <w:t>元，</w:t>
      </w:r>
      <w:r>
        <w:rPr>
          <w:rFonts w:hint="eastAsia" w:ascii="仿宋_GB2312" w:eastAsia="仿宋_GB2312"/>
          <w:sz w:val="28"/>
          <w:szCs w:val="28"/>
        </w:rPr>
        <w:t>完成年初预算的</w:t>
      </w:r>
      <w:r>
        <w:rPr>
          <w:rFonts w:hint="eastAsia" w:ascii="仿宋_GB2312" w:eastAsia="仿宋_GB2312"/>
          <w:sz w:val="28"/>
          <w:szCs w:val="28"/>
          <w:lang w:val="en-US" w:eastAsia="zh-CN"/>
        </w:rPr>
        <w:t>100.0</w:t>
      </w:r>
      <w:r>
        <w:rPr>
          <w:rFonts w:hint="eastAsia" w:ascii="仿宋_GB2312" w:eastAsia="仿宋_GB2312"/>
          <w:sz w:val="28"/>
          <w:szCs w:val="28"/>
        </w:rPr>
        <w:t>%。主要原因：</w:t>
      </w:r>
      <w:r>
        <w:rPr>
          <w:rFonts w:hint="eastAsia" w:ascii="仿宋_GB2312" w:eastAsia="仿宋_GB2312"/>
          <w:sz w:val="28"/>
          <w:szCs w:val="28"/>
          <w:lang w:eastAsia="zh-CN"/>
        </w:rPr>
        <w:t>年初预算不包含达政府性基金预算财政拨款</w:t>
      </w:r>
      <w:r>
        <w:rPr>
          <w:rFonts w:hint="eastAsia" w:ascii="仿宋_GB2312" w:eastAsia="仿宋_GB2312"/>
          <w:sz w:val="28"/>
          <w:szCs w:val="28"/>
        </w:rPr>
        <w:t>。</w:t>
      </w:r>
    </w:p>
    <w:p w14:paraId="28BE94A2">
      <w:pPr>
        <w:spacing w:line="580" w:lineRule="exact"/>
        <w:ind w:firstLine="560" w:firstLineChars="200"/>
        <w:rPr>
          <w:rFonts w:hint="eastAsia" w:ascii="黑体" w:eastAsia="黑体"/>
          <w:b/>
          <w:sz w:val="28"/>
          <w:szCs w:val="28"/>
        </w:rPr>
      </w:pPr>
      <w:r>
        <w:rPr>
          <w:rFonts w:hint="eastAsia" w:ascii="仿宋_GB2312" w:eastAsia="仿宋_GB2312"/>
          <w:sz w:val="28"/>
          <w:szCs w:val="28"/>
          <w:lang w:eastAsia="zh-CN"/>
        </w:rPr>
        <w:t>“国有土地使用权出让收入对应专项债务收入安排的支出”</w:t>
      </w:r>
      <w:r>
        <w:rPr>
          <w:rFonts w:hint="eastAsia" w:ascii="仿宋_GB2312" w:eastAsia="仿宋_GB2312"/>
          <w:sz w:val="28"/>
          <w:szCs w:val="28"/>
        </w:rPr>
        <w:t>（款，下同）2025年度年初预算</w:t>
      </w:r>
      <w:r>
        <w:rPr>
          <w:rFonts w:hint="eastAsia" w:ascii="仿宋_GB2312" w:eastAsia="仿宋_GB2312"/>
          <w:sz w:val="28"/>
          <w:szCs w:val="28"/>
          <w:lang w:val="en-US" w:eastAsia="zh-CN"/>
        </w:rPr>
        <w:t>0.00</w:t>
      </w:r>
      <w:r>
        <w:rPr>
          <w:rFonts w:hint="eastAsia" w:ascii="仿宋_GB2312" w:eastAsia="仿宋_GB2312"/>
          <w:sz w:val="28"/>
          <w:szCs w:val="28"/>
        </w:rPr>
        <w:t>元，2025年度决算</w:t>
      </w:r>
      <w:r>
        <w:rPr>
          <w:rFonts w:hint="default" w:ascii="仿宋_GB2312" w:eastAsia="仿宋_GB2312"/>
          <w:sz w:val="28"/>
          <w:szCs w:val="28"/>
          <w:lang w:val="en-US" w:eastAsia="zh-CN"/>
        </w:rPr>
        <w:t>77,000,000.00</w:t>
      </w:r>
      <w:r>
        <w:rPr>
          <w:rFonts w:hint="eastAsia" w:ascii="仿宋_GB2312" w:eastAsia="仿宋_GB2312"/>
          <w:sz w:val="28"/>
          <w:szCs w:val="28"/>
          <w:lang w:eastAsia="zh-CN"/>
        </w:rPr>
        <w:t>元，</w:t>
      </w:r>
      <w:r>
        <w:rPr>
          <w:rFonts w:hint="eastAsia" w:ascii="仿宋_GB2312" w:eastAsia="仿宋_GB2312"/>
          <w:sz w:val="28"/>
          <w:szCs w:val="28"/>
        </w:rPr>
        <w:t>完成年初预算的</w:t>
      </w:r>
      <w:r>
        <w:rPr>
          <w:rFonts w:hint="eastAsia" w:ascii="仿宋_GB2312" w:eastAsia="仿宋_GB2312"/>
          <w:sz w:val="28"/>
          <w:szCs w:val="28"/>
          <w:lang w:val="en-US" w:eastAsia="zh-CN"/>
        </w:rPr>
        <w:t>100.0</w:t>
      </w:r>
      <w:r>
        <w:rPr>
          <w:rFonts w:hint="eastAsia" w:ascii="仿宋_GB2312" w:eastAsia="仿宋_GB2312"/>
          <w:sz w:val="28"/>
          <w:szCs w:val="28"/>
        </w:rPr>
        <w:t>%。主要原因：</w:t>
      </w:r>
      <w:r>
        <w:rPr>
          <w:rFonts w:hint="eastAsia" w:ascii="仿宋_GB2312" w:eastAsia="仿宋_GB2312"/>
          <w:sz w:val="28"/>
          <w:szCs w:val="28"/>
          <w:lang w:eastAsia="zh-CN"/>
        </w:rPr>
        <w:t>年初预算不包含下达政府性基金预算财政拨款</w:t>
      </w:r>
      <w:r>
        <w:rPr>
          <w:rFonts w:hint="eastAsia" w:ascii="仿宋_GB2312" w:eastAsia="仿宋_GB2312"/>
          <w:sz w:val="28"/>
          <w:szCs w:val="28"/>
        </w:rPr>
        <w:t>。</w:t>
      </w:r>
    </w:p>
    <w:p w14:paraId="18DDA5B2">
      <w:pPr>
        <w:spacing w:line="580" w:lineRule="exact"/>
        <w:ind w:firstLine="560" w:firstLineChars="200"/>
        <w:rPr>
          <w:rFonts w:ascii="黑体" w:eastAsia="黑体"/>
          <w:b/>
          <w:sz w:val="28"/>
          <w:szCs w:val="28"/>
        </w:rPr>
      </w:pPr>
      <w:r>
        <w:rPr>
          <w:rFonts w:hint="eastAsia" w:ascii="黑体" w:eastAsia="黑体"/>
          <w:b/>
          <w:sz w:val="28"/>
          <w:szCs w:val="28"/>
        </w:rPr>
        <w:t>六、国有资本经营预算财</w:t>
      </w:r>
      <w:r>
        <w:rPr>
          <w:rFonts w:ascii="黑体" w:eastAsia="黑体"/>
          <w:b/>
          <w:sz w:val="28"/>
          <w:szCs w:val="28"/>
        </w:rPr>
        <w:t>政拨款</w:t>
      </w:r>
      <w:r>
        <w:rPr>
          <w:rFonts w:hint="eastAsia" w:ascii="黑体" w:eastAsia="黑体"/>
          <w:b/>
          <w:sz w:val="28"/>
          <w:szCs w:val="28"/>
        </w:rPr>
        <w:t>收支情况</w:t>
      </w:r>
    </w:p>
    <w:p w14:paraId="5612E8BA">
      <w:pPr>
        <w:ind w:firstLine="560" w:firstLineChars="200"/>
        <w:rPr>
          <w:rFonts w:ascii="仿宋_GB2312" w:eastAsia="仿宋_GB2312"/>
          <w:sz w:val="28"/>
          <w:szCs w:val="28"/>
        </w:rPr>
      </w:pPr>
      <w:r>
        <w:rPr>
          <w:rFonts w:hint="eastAsia" w:ascii="仿宋_GB2312" w:eastAsia="仿宋_GB2312"/>
          <w:sz w:val="28"/>
          <w:szCs w:val="28"/>
        </w:rPr>
        <w:t>2025年度国有资本经营预算财政</w:t>
      </w:r>
      <w:r>
        <w:rPr>
          <w:rFonts w:ascii="仿宋_GB2312" w:eastAsia="仿宋_GB2312"/>
          <w:sz w:val="28"/>
          <w:szCs w:val="28"/>
        </w:rPr>
        <w:t>拨款</w:t>
      </w:r>
      <w:r>
        <w:rPr>
          <w:rFonts w:hint="eastAsia" w:ascii="仿宋_GB2312" w:eastAsia="仿宋_GB2312"/>
          <w:sz w:val="28"/>
          <w:szCs w:val="28"/>
        </w:rPr>
        <w:t>收入总</w:t>
      </w:r>
      <w:r>
        <w:rPr>
          <w:rFonts w:ascii="仿宋_GB2312" w:eastAsia="仿宋_GB2312"/>
          <w:sz w:val="28"/>
          <w:szCs w:val="28"/>
        </w:rPr>
        <w:t>计0</w:t>
      </w:r>
      <w:r>
        <w:rPr>
          <w:rFonts w:hint="eastAsia" w:ascii="仿宋_GB2312" w:eastAsia="仿宋_GB2312"/>
          <w:sz w:val="28"/>
          <w:szCs w:val="28"/>
        </w:rPr>
        <w:t>元，国有资本经营预算财政</w:t>
      </w:r>
      <w:r>
        <w:rPr>
          <w:rFonts w:ascii="仿宋_GB2312" w:eastAsia="仿宋_GB2312"/>
          <w:sz w:val="28"/>
          <w:szCs w:val="28"/>
        </w:rPr>
        <w:t>拨款</w:t>
      </w:r>
      <w:r>
        <w:rPr>
          <w:rFonts w:hint="eastAsia" w:ascii="仿宋_GB2312" w:eastAsia="仿宋_GB2312"/>
          <w:sz w:val="28"/>
          <w:szCs w:val="28"/>
        </w:rPr>
        <w:t>支出总</w:t>
      </w:r>
      <w:r>
        <w:rPr>
          <w:rFonts w:ascii="仿宋_GB2312" w:eastAsia="仿宋_GB2312"/>
          <w:sz w:val="28"/>
          <w:szCs w:val="28"/>
        </w:rPr>
        <w:t>计0</w:t>
      </w:r>
      <w:r>
        <w:rPr>
          <w:rFonts w:hint="eastAsia" w:ascii="仿宋_GB2312" w:eastAsia="仿宋_GB2312"/>
          <w:sz w:val="28"/>
          <w:szCs w:val="28"/>
        </w:rPr>
        <w:t>元。</w:t>
      </w:r>
    </w:p>
    <w:p w14:paraId="11F3D76E">
      <w:pPr>
        <w:spacing w:line="580" w:lineRule="exact"/>
        <w:ind w:firstLine="560" w:firstLineChars="200"/>
        <w:rPr>
          <w:rFonts w:ascii="黑体" w:eastAsia="黑体"/>
          <w:sz w:val="28"/>
          <w:szCs w:val="28"/>
        </w:rPr>
      </w:pPr>
      <w:r>
        <w:rPr>
          <w:rFonts w:hint="eastAsia" w:ascii="黑体" w:eastAsia="黑体"/>
          <w:b/>
          <w:sz w:val="28"/>
          <w:szCs w:val="28"/>
        </w:rPr>
        <w:t>七、财政拨款基本支出决算情况说明</w:t>
      </w:r>
    </w:p>
    <w:p w14:paraId="05E60039">
      <w:pPr>
        <w:tabs>
          <w:tab w:val="center" w:pos="6979"/>
        </w:tabs>
        <w:spacing w:line="580" w:lineRule="exact"/>
        <w:ind w:firstLine="560" w:firstLineChars="200"/>
        <w:rPr>
          <w:rFonts w:hint="eastAsia" w:ascii="宋体" w:hAnsi="宋体" w:cs="宋体"/>
          <w:b/>
          <w:bCs/>
          <w:spacing w:val="40"/>
          <w:kern w:val="0"/>
          <w:sz w:val="32"/>
          <w:szCs w:val="32"/>
        </w:rPr>
      </w:pPr>
      <w:r>
        <w:rPr>
          <w:rFonts w:hint="eastAsia" w:ascii="仿宋_GB2312" w:eastAsia="仿宋_GB2312"/>
          <w:sz w:val="28"/>
          <w:szCs w:val="28"/>
        </w:rPr>
        <w:t>2025年度使用一般公共预算财政拨款安排基本支出</w:t>
      </w:r>
      <w:r>
        <w:rPr>
          <w:rFonts w:ascii="仿宋_GB2312" w:eastAsia="仿宋_GB2312"/>
          <w:sz w:val="28"/>
          <w:szCs w:val="28"/>
        </w:rPr>
        <w:t>2</w:t>
      </w:r>
      <w:r>
        <w:rPr>
          <w:rFonts w:hint="eastAsia" w:ascii="仿宋_GB2312" w:eastAsia="仿宋_GB2312"/>
          <w:sz w:val="28"/>
          <w:szCs w:val="28"/>
          <w:lang w:val="en-US" w:eastAsia="zh-CN"/>
        </w:rPr>
        <w:t>,</w:t>
      </w:r>
      <w:r>
        <w:rPr>
          <w:rFonts w:ascii="仿宋_GB2312" w:eastAsia="仿宋_GB2312"/>
          <w:sz w:val="28"/>
          <w:szCs w:val="28"/>
        </w:rPr>
        <w:t>519</w:t>
      </w:r>
      <w:r>
        <w:rPr>
          <w:rFonts w:hint="eastAsia" w:ascii="仿宋_GB2312" w:eastAsia="仿宋_GB2312"/>
          <w:sz w:val="28"/>
          <w:szCs w:val="28"/>
          <w:lang w:val="en-US" w:eastAsia="zh-CN"/>
        </w:rPr>
        <w:t>,</w:t>
      </w:r>
      <w:r>
        <w:rPr>
          <w:rFonts w:ascii="仿宋_GB2312" w:eastAsia="仿宋_GB2312"/>
          <w:sz w:val="28"/>
          <w:szCs w:val="28"/>
        </w:rPr>
        <w:t>131.22</w:t>
      </w:r>
      <w:r>
        <w:rPr>
          <w:rFonts w:hint="eastAsia" w:ascii="仿宋_GB2312" w:eastAsia="仿宋_GB2312"/>
          <w:sz w:val="28"/>
          <w:szCs w:val="28"/>
        </w:rPr>
        <w:t>元，使用政府性基金财政拨款安排基本支出128,047,569.81元，（1）工资福利支出包括基本工资</w:t>
      </w:r>
      <w:r>
        <w:rPr>
          <w:rFonts w:ascii="仿宋_GB2312" w:eastAsia="仿宋_GB2312"/>
          <w:sz w:val="28"/>
          <w:szCs w:val="28"/>
        </w:rPr>
        <w:t>、津贴补贴、奖金、伙食补助费、绩效工资、</w:t>
      </w:r>
      <w:r>
        <w:rPr>
          <w:rFonts w:hint="eastAsia" w:ascii="仿宋_GB2312" w:eastAsia="仿宋_GB2312"/>
          <w:sz w:val="28"/>
          <w:szCs w:val="28"/>
        </w:rPr>
        <w:t>其他</w:t>
      </w:r>
      <w:r>
        <w:rPr>
          <w:rFonts w:ascii="仿宋_GB2312" w:eastAsia="仿宋_GB2312"/>
          <w:sz w:val="28"/>
          <w:szCs w:val="28"/>
        </w:rPr>
        <w:t>社会保障缴费、其他工资福利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；（2）商品和服务支出包括</w:t>
      </w:r>
      <w:r>
        <w:rPr>
          <w:rFonts w:ascii="仿宋_GB2312" w:eastAsia="仿宋_GB2312"/>
          <w:sz w:val="28"/>
          <w:szCs w:val="28"/>
        </w:rPr>
        <w:t>办公费、印刷费、手续费、水费、电费、邮电费、取暖费、物业管理费、差旅费、因公出国（境）费、维修（护）费、租赁费、会议费、培训费、公务接待费、专用材料费、劳务费、委托业务费、工会经费、福利费、公务用车运行维护费、其他交通费</w:t>
      </w:r>
      <w:r>
        <w:rPr>
          <w:rFonts w:hint="eastAsia" w:ascii="仿宋_GB2312" w:eastAsia="仿宋_GB2312"/>
          <w:sz w:val="28"/>
          <w:szCs w:val="28"/>
        </w:rPr>
        <w:t>用</w:t>
      </w:r>
      <w:r>
        <w:rPr>
          <w:rFonts w:ascii="仿宋_GB2312" w:eastAsia="仿宋_GB2312"/>
          <w:sz w:val="28"/>
          <w:szCs w:val="28"/>
        </w:rPr>
        <w:t>、其他商品和服务</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；（3）对个人和家庭补助支出包括</w:t>
      </w:r>
      <w:r>
        <w:rPr>
          <w:rFonts w:ascii="仿宋_GB2312" w:eastAsia="仿宋_GB2312"/>
          <w:sz w:val="28"/>
          <w:szCs w:val="28"/>
        </w:rPr>
        <w:t>离休费、退休费、抚恤金、生活补助、</w:t>
      </w:r>
      <w:r>
        <w:rPr>
          <w:rFonts w:hint="eastAsia" w:ascii="仿宋_GB2312" w:eastAsia="仿宋_GB2312"/>
          <w:sz w:val="28"/>
          <w:szCs w:val="28"/>
        </w:rPr>
        <w:t>救济费</w:t>
      </w:r>
      <w:r>
        <w:rPr>
          <w:rFonts w:ascii="仿宋_GB2312" w:eastAsia="仿宋_GB2312"/>
          <w:sz w:val="28"/>
          <w:szCs w:val="28"/>
        </w:rPr>
        <w:t>、医疗费</w:t>
      </w:r>
      <w:r>
        <w:rPr>
          <w:rFonts w:hint="eastAsia" w:ascii="仿宋_GB2312" w:eastAsia="仿宋_GB2312"/>
          <w:sz w:val="28"/>
          <w:szCs w:val="28"/>
        </w:rPr>
        <w:t>补助</w:t>
      </w:r>
      <w:r>
        <w:rPr>
          <w:rFonts w:ascii="仿宋_GB2312" w:eastAsia="仿宋_GB2312"/>
          <w:sz w:val="28"/>
          <w:szCs w:val="28"/>
        </w:rPr>
        <w:t>、助学金、奖励金</w:t>
      </w:r>
      <w:r>
        <w:rPr>
          <w:rFonts w:hint="eastAsia" w:ascii="仿宋_GB2312" w:eastAsia="仿宋_GB2312"/>
          <w:sz w:val="28"/>
          <w:szCs w:val="28"/>
        </w:rPr>
        <w:t>、</w:t>
      </w:r>
      <w:r>
        <w:rPr>
          <w:rFonts w:ascii="仿宋_GB2312" w:eastAsia="仿宋_GB2312"/>
          <w:sz w:val="28"/>
          <w:szCs w:val="28"/>
        </w:rPr>
        <w:t>其他对个人和家庭的补助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。（4）其他资本性支出包括</w:t>
      </w:r>
      <w:r>
        <w:rPr>
          <w:rFonts w:ascii="仿宋_GB2312" w:eastAsia="仿宋_GB2312"/>
          <w:sz w:val="28"/>
          <w:szCs w:val="28"/>
        </w:rPr>
        <w:t>办公设备购置、专用设备购置</w:t>
      </w:r>
      <w:r>
        <w:rPr>
          <w:rFonts w:hint="eastAsia" w:ascii="仿宋_GB2312" w:eastAsia="仿宋_GB2312"/>
          <w:sz w:val="28"/>
          <w:szCs w:val="28"/>
        </w:rPr>
        <w:t>等</w:t>
      </w:r>
      <w:r>
        <w:rPr>
          <w:rFonts w:ascii="仿宋_GB2312" w:eastAsia="仿宋_GB2312"/>
          <w:sz w:val="28"/>
          <w:szCs w:val="28"/>
        </w:rPr>
        <w:t>。</w:t>
      </w:r>
    </w:p>
    <w:p w14:paraId="5C48EE3C">
      <w:pPr>
        <w:tabs>
          <w:tab w:val="center" w:pos="6979"/>
        </w:tabs>
        <w:ind w:firstLine="800" w:firstLineChars="200"/>
        <w:jc w:val="center"/>
        <w:rPr>
          <w:rFonts w:ascii="宋体" w:hAnsi="宋体" w:cs="宋体"/>
          <w:b/>
          <w:spacing w:val="40"/>
          <w:kern w:val="0"/>
          <w:sz w:val="32"/>
          <w:szCs w:val="32"/>
        </w:rPr>
      </w:pPr>
      <w:r>
        <w:rPr>
          <w:rFonts w:hint="eastAsia" w:ascii="宋体" w:hAnsi="宋体" w:cs="宋体"/>
          <w:b/>
          <w:bCs/>
          <w:spacing w:val="40"/>
          <w:kern w:val="0"/>
          <w:sz w:val="32"/>
          <w:szCs w:val="32"/>
        </w:rPr>
        <w:t>第三部分</w:t>
      </w:r>
      <w:r>
        <w:rPr>
          <w:rFonts w:hint="eastAsia" w:ascii="宋体" w:hAnsi="宋体"/>
          <w:b/>
          <w:spacing w:val="40"/>
          <w:sz w:val="32"/>
          <w:szCs w:val="32"/>
        </w:rPr>
        <w:t>2025年度</w:t>
      </w:r>
      <w:r>
        <w:rPr>
          <w:rFonts w:hint="eastAsia" w:ascii="宋体" w:hAnsi="宋体" w:cs="宋体"/>
          <w:b/>
          <w:spacing w:val="40"/>
          <w:kern w:val="0"/>
          <w:sz w:val="32"/>
          <w:szCs w:val="32"/>
        </w:rPr>
        <w:t>其他重要事项的情况说明</w:t>
      </w:r>
    </w:p>
    <w:p w14:paraId="078475DD">
      <w:pPr>
        <w:spacing w:line="560" w:lineRule="exact"/>
        <w:ind w:firstLine="560" w:firstLineChars="200"/>
        <w:rPr>
          <w:rFonts w:ascii="黑体" w:eastAsia="黑体"/>
          <w:sz w:val="28"/>
          <w:szCs w:val="28"/>
        </w:rPr>
      </w:pPr>
      <w:r>
        <w:rPr>
          <w:rFonts w:hint="eastAsia" w:ascii="黑体" w:eastAsia="黑体"/>
          <w:sz w:val="28"/>
          <w:szCs w:val="28"/>
        </w:rPr>
        <w:t>一、“三公”经费财政拨款决算情况</w:t>
      </w:r>
    </w:p>
    <w:p w14:paraId="6839D6DD">
      <w:pPr>
        <w:spacing w:line="560" w:lineRule="exact"/>
        <w:ind w:firstLine="560" w:firstLineChars="200"/>
        <w:rPr>
          <w:rFonts w:ascii="仿宋_GB2312" w:eastAsia="仿宋_GB2312"/>
          <w:sz w:val="28"/>
          <w:szCs w:val="28"/>
        </w:rPr>
      </w:pPr>
      <w:r>
        <w:rPr>
          <w:rFonts w:hint="eastAsia" w:ascii="仿宋_GB2312" w:eastAsia="仿宋_GB2312"/>
          <w:sz w:val="28"/>
          <w:szCs w:val="28"/>
        </w:rPr>
        <w:t>2025年度“三公”经费财政拨款决算数</w:t>
      </w:r>
      <w:r>
        <w:rPr>
          <w:rFonts w:ascii="仿宋_GB2312" w:eastAsia="仿宋_GB2312"/>
          <w:sz w:val="28"/>
          <w:szCs w:val="28"/>
        </w:rPr>
        <w:t>17</w:t>
      </w:r>
      <w:r>
        <w:rPr>
          <w:rFonts w:hint="eastAsia" w:ascii="仿宋_GB2312" w:eastAsia="仿宋_GB2312"/>
          <w:sz w:val="28"/>
          <w:szCs w:val="28"/>
          <w:lang w:val="en-US" w:eastAsia="zh-CN"/>
        </w:rPr>
        <w:t>,</w:t>
      </w:r>
      <w:r>
        <w:rPr>
          <w:rFonts w:ascii="仿宋_GB2312" w:eastAsia="仿宋_GB2312"/>
          <w:sz w:val="28"/>
          <w:szCs w:val="28"/>
        </w:rPr>
        <w:t>866.54</w:t>
      </w:r>
      <w:r>
        <w:rPr>
          <w:rFonts w:hint="eastAsia" w:ascii="仿宋_GB2312" w:eastAsia="仿宋_GB2312"/>
          <w:sz w:val="28"/>
          <w:szCs w:val="28"/>
        </w:rPr>
        <w:t>元，比2025年度“三公”经费财政拨款年初预算</w:t>
      </w:r>
      <w:r>
        <w:rPr>
          <w:rFonts w:ascii="仿宋_GB2312" w:eastAsia="仿宋_GB2312"/>
          <w:sz w:val="28"/>
          <w:szCs w:val="28"/>
        </w:rPr>
        <w:t>18</w:t>
      </w:r>
      <w:r>
        <w:rPr>
          <w:rFonts w:hint="eastAsia" w:ascii="仿宋_GB2312" w:eastAsia="仿宋_GB2312"/>
          <w:sz w:val="28"/>
          <w:szCs w:val="28"/>
          <w:lang w:val="en-US" w:eastAsia="zh-CN"/>
        </w:rPr>
        <w:t>,</w:t>
      </w:r>
      <w:r>
        <w:rPr>
          <w:rFonts w:ascii="仿宋_GB2312" w:eastAsia="仿宋_GB2312"/>
          <w:sz w:val="28"/>
          <w:szCs w:val="28"/>
        </w:rPr>
        <w:t>290</w:t>
      </w:r>
      <w:r>
        <w:rPr>
          <w:rFonts w:hint="eastAsia" w:ascii="仿宋_GB2312" w:eastAsia="仿宋_GB2312"/>
          <w:sz w:val="28"/>
          <w:szCs w:val="28"/>
          <w:lang w:val="en-US" w:eastAsia="zh-CN"/>
        </w:rPr>
        <w:t>.00</w:t>
      </w:r>
      <w:r>
        <w:rPr>
          <w:rFonts w:hint="eastAsia" w:ascii="仿宋_GB2312" w:eastAsia="仿宋_GB2312"/>
          <w:sz w:val="28"/>
          <w:szCs w:val="28"/>
        </w:rPr>
        <w:t>元减少</w:t>
      </w:r>
      <w:r>
        <w:rPr>
          <w:rFonts w:ascii="仿宋_GB2312" w:eastAsia="仿宋_GB2312"/>
          <w:sz w:val="28"/>
          <w:szCs w:val="28"/>
        </w:rPr>
        <w:t>423.46</w:t>
      </w:r>
      <w:r>
        <w:rPr>
          <w:rFonts w:hint="eastAsia" w:ascii="仿宋_GB2312" w:eastAsia="仿宋_GB2312"/>
          <w:sz w:val="28"/>
          <w:szCs w:val="28"/>
        </w:rPr>
        <w:t>元。其中：</w:t>
      </w:r>
    </w:p>
    <w:p w14:paraId="0F137B5F">
      <w:pPr>
        <w:spacing w:line="560" w:lineRule="exact"/>
        <w:ind w:firstLine="560" w:firstLineChars="200"/>
        <w:rPr>
          <w:rFonts w:ascii="仿宋_GB2312" w:eastAsia="仿宋_GB2312"/>
          <w:sz w:val="28"/>
          <w:szCs w:val="28"/>
        </w:rPr>
      </w:pPr>
      <w:r>
        <w:rPr>
          <w:rFonts w:hint="eastAsia" w:ascii="仿宋_GB2312" w:eastAsia="仿宋_GB2312"/>
          <w:sz w:val="28"/>
          <w:szCs w:val="28"/>
        </w:rPr>
        <w:t>1.因公出国（境）费用。2025年度决算数</w:t>
      </w:r>
      <w:r>
        <w:rPr>
          <w:rFonts w:ascii="仿宋_GB2312" w:eastAsia="仿宋_GB2312"/>
          <w:sz w:val="28"/>
          <w:szCs w:val="28"/>
        </w:rPr>
        <w:t>0</w:t>
      </w:r>
      <w:r>
        <w:rPr>
          <w:rFonts w:hint="eastAsia" w:ascii="仿宋_GB2312" w:eastAsia="仿宋_GB2312"/>
          <w:sz w:val="28"/>
          <w:szCs w:val="28"/>
        </w:rPr>
        <w:t>元，比2025年度年初预算数</w:t>
      </w:r>
      <w:r>
        <w:rPr>
          <w:rFonts w:ascii="仿宋_GB2312" w:eastAsia="仿宋_GB2312"/>
          <w:sz w:val="28"/>
          <w:szCs w:val="28"/>
        </w:rPr>
        <w:t>0</w:t>
      </w:r>
      <w:r>
        <w:rPr>
          <w:rFonts w:hint="eastAsia" w:ascii="仿宋_GB2312" w:eastAsia="仿宋_GB2312"/>
          <w:sz w:val="28"/>
          <w:szCs w:val="28"/>
        </w:rPr>
        <w:t>元增加（减少）</w:t>
      </w:r>
      <w:r>
        <w:rPr>
          <w:rFonts w:ascii="仿宋_GB2312" w:eastAsia="仿宋_GB2312"/>
          <w:sz w:val="28"/>
          <w:szCs w:val="28"/>
        </w:rPr>
        <w:t>0</w:t>
      </w:r>
      <w:r>
        <w:rPr>
          <w:rFonts w:hint="eastAsia" w:ascii="仿宋_GB2312" w:eastAsia="仿宋_GB2312"/>
          <w:sz w:val="28"/>
          <w:szCs w:val="28"/>
        </w:rPr>
        <w:t>元。主要原因：</w:t>
      </w:r>
      <w:r>
        <w:rPr>
          <w:rFonts w:hint="eastAsia" w:ascii="仿宋_GB2312" w:eastAsia="仿宋_GB2312"/>
          <w:sz w:val="28"/>
          <w:szCs w:val="28"/>
          <w:lang w:eastAsia="zh-CN"/>
        </w:rPr>
        <w:t>本部门不涉及</w:t>
      </w:r>
      <w:r>
        <w:rPr>
          <w:rFonts w:hint="eastAsia" w:ascii="仿宋_GB2312" w:eastAsia="仿宋_GB2312"/>
          <w:sz w:val="28"/>
          <w:szCs w:val="28"/>
        </w:rPr>
        <w:t>；2025年度因公出国（境）费用主要用</w:t>
      </w:r>
      <w:r>
        <w:rPr>
          <w:rFonts w:hint="eastAsia" w:ascii="仿宋_GB2312" w:eastAsia="仿宋_GB2312"/>
          <w:sz w:val="28"/>
          <w:szCs w:val="28"/>
          <w:lang w:eastAsia="zh-CN"/>
        </w:rPr>
        <w:t>无</w:t>
      </w:r>
      <w:r>
        <w:rPr>
          <w:rFonts w:hint="eastAsia" w:ascii="仿宋_GB2312" w:eastAsia="仿宋_GB2312"/>
          <w:sz w:val="28"/>
          <w:szCs w:val="28"/>
        </w:rPr>
        <w:t>，2025年度组织因公出国（境）团组0个、0人次。</w:t>
      </w:r>
    </w:p>
    <w:p w14:paraId="4DDD74BB">
      <w:pPr>
        <w:spacing w:line="560" w:lineRule="exact"/>
        <w:ind w:firstLine="560" w:firstLineChars="200"/>
        <w:rPr>
          <w:rFonts w:ascii="仿宋_GB2312" w:eastAsia="仿宋_GB2312"/>
          <w:sz w:val="28"/>
          <w:szCs w:val="28"/>
        </w:rPr>
      </w:pPr>
      <w:r>
        <w:rPr>
          <w:rFonts w:hint="eastAsia" w:ascii="仿宋_GB2312" w:eastAsia="仿宋_GB2312"/>
          <w:sz w:val="28"/>
          <w:szCs w:val="28"/>
        </w:rPr>
        <w:t>2.公务接待费。2025年度决算数</w:t>
      </w:r>
      <w:r>
        <w:rPr>
          <w:rFonts w:ascii="仿宋_GB2312" w:eastAsia="仿宋_GB2312"/>
          <w:sz w:val="28"/>
          <w:szCs w:val="28"/>
        </w:rPr>
        <w:t>0</w:t>
      </w:r>
      <w:r>
        <w:rPr>
          <w:rFonts w:hint="eastAsia" w:ascii="仿宋_GB2312" w:eastAsia="仿宋_GB2312"/>
          <w:sz w:val="28"/>
          <w:szCs w:val="28"/>
        </w:rPr>
        <w:t>元，比2025年度年初预算数</w:t>
      </w:r>
      <w:r>
        <w:rPr>
          <w:rFonts w:ascii="仿宋_GB2312" w:eastAsia="仿宋_GB2312"/>
          <w:sz w:val="28"/>
          <w:szCs w:val="28"/>
        </w:rPr>
        <w:t>290</w:t>
      </w:r>
      <w:r>
        <w:rPr>
          <w:rFonts w:hint="eastAsia" w:ascii="仿宋_GB2312" w:eastAsia="仿宋_GB2312"/>
          <w:sz w:val="28"/>
          <w:szCs w:val="28"/>
        </w:rPr>
        <w:t>元减少</w:t>
      </w:r>
      <w:r>
        <w:rPr>
          <w:rFonts w:ascii="仿宋_GB2312" w:eastAsia="仿宋_GB2312"/>
          <w:sz w:val="28"/>
          <w:szCs w:val="28"/>
        </w:rPr>
        <w:t>290</w:t>
      </w:r>
      <w:r>
        <w:rPr>
          <w:rFonts w:hint="eastAsia" w:ascii="仿宋_GB2312" w:eastAsia="仿宋_GB2312"/>
          <w:sz w:val="28"/>
          <w:szCs w:val="28"/>
        </w:rPr>
        <w:t>元。主要原因：</w:t>
      </w:r>
      <w:r>
        <w:rPr>
          <w:rFonts w:hint="eastAsia" w:ascii="仿宋_GB2312" w:eastAsia="仿宋_GB2312"/>
          <w:sz w:val="28"/>
          <w:szCs w:val="28"/>
          <w:lang w:eastAsia="zh-CN"/>
        </w:rPr>
        <w:t>本部门不涉及</w:t>
      </w:r>
      <w:r>
        <w:rPr>
          <w:rFonts w:hint="eastAsia" w:ascii="仿宋_GB2312" w:eastAsia="仿宋_GB2312"/>
          <w:sz w:val="28"/>
          <w:szCs w:val="28"/>
        </w:rPr>
        <w:t>。2025年度公务接待费主要用于</w:t>
      </w:r>
      <w:r>
        <w:rPr>
          <w:rFonts w:hint="eastAsia" w:ascii="仿宋_GB2312" w:eastAsia="仿宋_GB2312"/>
          <w:sz w:val="28"/>
          <w:szCs w:val="28"/>
          <w:lang w:eastAsia="zh-CN"/>
        </w:rPr>
        <w:t>无</w:t>
      </w:r>
      <w:r>
        <w:rPr>
          <w:rFonts w:hint="eastAsia" w:ascii="仿宋_GB2312" w:eastAsia="仿宋_GB2312"/>
          <w:sz w:val="28"/>
          <w:szCs w:val="28"/>
        </w:rPr>
        <w:t>。公务接待0批次，公务接待0人次。</w:t>
      </w:r>
    </w:p>
    <w:p w14:paraId="0E62181F">
      <w:pPr>
        <w:spacing w:line="560" w:lineRule="exact"/>
        <w:ind w:firstLine="560" w:firstLineChars="200"/>
        <w:rPr>
          <w:rFonts w:ascii="仿宋_GB2312" w:eastAsia="仿宋_GB2312"/>
          <w:sz w:val="28"/>
          <w:szCs w:val="28"/>
        </w:rPr>
      </w:pPr>
      <w:r>
        <w:rPr>
          <w:rFonts w:hint="eastAsia" w:ascii="仿宋_GB2312" w:eastAsia="仿宋_GB2312"/>
          <w:sz w:val="28"/>
          <w:szCs w:val="28"/>
        </w:rPr>
        <w:t>3.公务用车购置及运行维护费。2025年度决算数</w:t>
      </w:r>
      <w:r>
        <w:rPr>
          <w:rFonts w:ascii="仿宋_GB2312" w:eastAsia="仿宋_GB2312"/>
          <w:sz w:val="28"/>
          <w:szCs w:val="28"/>
        </w:rPr>
        <w:t>17</w:t>
      </w:r>
      <w:r>
        <w:rPr>
          <w:rFonts w:hint="eastAsia" w:ascii="仿宋_GB2312" w:eastAsia="仿宋_GB2312"/>
          <w:sz w:val="28"/>
          <w:szCs w:val="28"/>
          <w:lang w:val="en-US" w:eastAsia="zh-CN"/>
        </w:rPr>
        <w:t>,</w:t>
      </w:r>
      <w:r>
        <w:rPr>
          <w:rFonts w:ascii="仿宋_GB2312" w:eastAsia="仿宋_GB2312"/>
          <w:sz w:val="28"/>
          <w:szCs w:val="28"/>
        </w:rPr>
        <w:t>866.54</w:t>
      </w:r>
      <w:r>
        <w:rPr>
          <w:rFonts w:hint="eastAsia" w:ascii="仿宋_GB2312" w:eastAsia="仿宋_GB2312"/>
          <w:sz w:val="28"/>
          <w:szCs w:val="28"/>
        </w:rPr>
        <w:t>元，比2025年度年初预算数</w:t>
      </w:r>
      <w:r>
        <w:rPr>
          <w:rFonts w:ascii="仿宋_GB2312" w:eastAsia="仿宋_GB2312"/>
          <w:sz w:val="28"/>
          <w:szCs w:val="28"/>
        </w:rPr>
        <w:t>18</w:t>
      </w:r>
      <w:r>
        <w:rPr>
          <w:rFonts w:hint="eastAsia" w:ascii="仿宋_GB2312" w:eastAsia="仿宋_GB2312"/>
          <w:sz w:val="28"/>
          <w:szCs w:val="28"/>
          <w:lang w:val="en-US" w:eastAsia="zh-CN"/>
        </w:rPr>
        <w:t>,</w:t>
      </w:r>
      <w:r>
        <w:rPr>
          <w:rFonts w:ascii="仿宋_GB2312" w:eastAsia="仿宋_GB2312"/>
          <w:sz w:val="28"/>
          <w:szCs w:val="28"/>
        </w:rPr>
        <w:t>000</w:t>
      </w:r>
      <w:r>
        <w:rPr>
          <w:rFonts w:hint="eastAsia" w:ascii="仿宋_GB2312" w:eastAsia="仿宋_GB2312"/>
          <w:sz w:val="28"/>
          <w:szCs w:val="28"/>
          <w:lang w:val="en-US" w:eastAsia="zh-CN"/>
        </w:rPr>
        <w:t>.00</w:t>
      </w:r>
      <w:r>
        <w:rPr>
          <w:rFonts w:hint="eastAsia" w:ascii="仿宋_GB2312" w:eastAsia="仿宋_GB2312"/>
          <w:sz w:val="28"/>
          <w:szCs w:val="28"/>
        </w:rPr>
        <w:t>元减少</w:t>
      </w:r>
      <w:r>
        <w:rPr>
          <w:rFonts w:ascii="仿宋_GB2312" w:eastAsia="仿宋_GB2312"/>
          <w:sz w:val="28"/>
          <w:szCs w:val="28"/>
        </w:rPr>
        <w:t>133.46</w:t>
      </w:r>
      <w:r>
        <w:rPr>
          <w:rFonts w:hint="eastAsia" w:ascii="仿宋_GB2312" w:eastAsia="仿宋_GB2312"/>
          <w:sz w:val="28"/>
          <w:szCs w:val="28"/>
        </w:rPr>
        <w:t>元。其中，公务用车购置费2025年度决算数0元，主要原因：</w:t>
      </w:r>
      <w:r>
        <w:rPr>
          <w:rFonts w:hint="eastAsia" w:ascii="仿宋_GB2312" w:eastAsia="仿宋_GB2312"/>
          <w:sz w:val="28"/>
          <w:szCs w:val="28"/>
          <w:lang w:eastAsia="zh-CN"/>
        </w:rPr>
        <w:t>未购置公务用车</w:t>
      </w:r>
      <w:r>
        <w:rPr>
          <w:rFonts w:hint="eastAsia" w:ascii="仿宋_GB2312" w:eastAsia="仿宋_GB2312"/>
          <w:sz w:val="28"/>
          <w:szCs w:val="28"/>
        </w:rPr>
        <w:t>，2025年度购置（更新）0辆。公务用车运行维护费2025年度决算数17</w:t>
      </w:r>
      <w:r>
        <w:rPr>
          <w:rFonts w:hint="eastAsia" w:ascii="仿宋_GB2312" w:eastAsia="仿宋_GB2312"/>
          <w:sz w:val="28"/>
          <w:szCs w:val="28"/>
          <w:lang w:val="en-US" w:eastAsia="zh-CN"/>
        </w:rPr>
        <w:t>,</w:t>
      </w:r>
      <w:r>
        <w:rPr>
          <w:rFonts w:hint="eastAsia" w:ascii="仿宋_GB2312" w:eastAsia="仿宋_GB2312"/>
          <w:sz w:val="28"/>
          <w:szCs w:val="28"/>
        </w:rPr>
        <w:t>866.54元，主要原因：</w:t>
      </w:r>
      <w:r>
        <w:rPr>
          <w:rFonts w:hint="eastAsia" w:ascii="仿宋_GB2312" w:eastAsia="仿宋_GB2312"/>
          <w:sz w:val="28"/>
          <w:szCs w:val="28"/>
          <w:lang w:eastAsia="zh-CN"/>
        </w:rPr>
        <w:t>车辆维修等支出</w:t>
      </w:r>
      <w:r>
        <w:rPr>
          <w:rFonts w:hint="eastAsia" w:ascii="仿宋_GB2312" w:eastAsia="仿宋_GB2312"/>
          <w:sz w:val="28"/>
          <w:szCs w:val="28"/>
        </w:rPr>
        <w:t>。2025年度公务用车保有量</w:t>
      </w:r>
      <w:r>
        <w:rPr>
          <w:rFonts w:ascii="仿宋_GB2312" w:eastAsia="仿宋_GB2312"/>
          <w:sz w:val="28"/>
          <w:szCs w:val="28"/>
        </w:rPr>
        <w:t>1</w:t>
      </w:r>
      <w:r>
        <w:rPr>
          <w:rFonts w:hint="eastAsia" w:ascii="仿宋_GB2312" w:eastAsia="仿宋_GB2312"/>
          <w:sz w:val="28"/>
          <w:szCs w:val="28"/>
        </w:rPr>
        <w:t>辆。</w:t>
      </w:r>
    </w:p>
    <w:p w14:paraId="6E3A954C">
      <w:pPr>
        <w:tabs>
          <w:tab w:val="center" w:pos="6979"/>
        </w:tabs>
        <w:ind w:firstLine="560" w:firstLineChars="200"/>
        <w:rPr>
          <w:rFonts w:ascii="黑体" w:eastAsia="黑体"/>
          <w:sz w:val="28"/>
          <w:szCs w:val="28"/>
        </w:rPr>
      </w:pPr>
      <w:r>
        <w:rPr>
          <w:rFonts w:hint="eastAsia" w:ascii="黑体" w:eastAsia="黑体"/>
          <w:sz w:val="28"/>
          <w:szCs w:val="28"/>
        </w:rPr>
        <w:t>二、机关运行经费支出情况</w:t>
      </w:r>
    </w:p>
    <w:p w14:paraId="598D7C33">
      <w:pPr>
        <w:ind w:firstLine="560" w:firstLineChars="200"/>
        <w:rPr>
          <w:rFonts w:hint="eastAsia" w:ascii="仿宋_GB2312" w:eastAsia="仿宋_GB2312"/>
          <w:sz w:val="28"/>
          <w:szCs w:val="28"/>
          <w:lang w:eastAsia="zh-CN"/>
        </w:rPr>
      </w:pPr>
      <w:r>
        <w:rPr>
          <w:rFonts w:hint="eastAsia" w:ascii="仿宋_GB2312" w:eastAsia="仿宋_GB2312"/>
          <w:sz w:val="28"/>
          <w:szCs w:val="28"/>
        </w:rPr>
        <w:t>本部门2025年无机关运行经费</w:t>
      </w:r>
      <w:r>
        <w:rPr>
          <w:rFonts w:hint="eastAsia" w:ascii="仿宋_GB2312" w:eastAsia="仿宋_GB2312"/>
          <w:sz w:val="28"/>
          <w:szCs w:val="28"/>
          <w:lang w:eastAsia="zh-CN"/>
        </w:rPr>
        <w:t>。</w:t>
      </w:r>
    </w:p>
    <w:p w14:paraId="07D15DD6">
      <w:pPr>
        <w:ind w:left="540" w:firstLine="560" w:firstLineChars="200"/>
        <w:rPr>
          <w:rFonts w:ascii="黑体" w:eastAsia="黑体"/>
          <w:sz w:val="28"/>
          <w:szCs w:val="28"/>
        </w:rPr>
      </w:pPr>
      <w:r>
        <w:rPr>
          <w:rFonts w:hint="eastAsia" w:ascii="黑体" w:eastAsia="黑体"/>
          <w:sz w:val="28"/>
          <w:szCs w:val="28"/>
        </w:rPr>
        <w:t>三、政府采购支出情况</w:t>
      </w:r>
    </w:p>
    <w:p w14:paraId="5564C159">
      <w:pPr>
        <w:ind w:firstLine="560" w:firstLineChars="200"/>
        <w:rPr>
          <w:rFonts w:ascii="仿宋_GB2312" w:eastAsia="仿宋_GB2312"/>
          <w:sz w:val="28"/>
          <w:szCs w:val="28"/>
        </w:rPr>
      </w:pPr>
      <w:r>
        <w:rPr>
          <w:rFonts w:hint="eastAsia" w:ascii="仿宋_GB2312" w:eastAsia="仿宋_GB2312"/>
          <w:sz w:val="28"/>
          <w:szCs w:val="28"/>
        </w:rPr>
        <w:t>2025年度政府采购支出总额</w:t>
      </w:r>
      <w:r>
        <w:rPr>
          <w:rFonts w:ascii="仿宋_GB2312" w:eastAsia="仿宋_GB2312"/>
          <w:sz w:val="28"/>
          <w:szCs w:val="28"/>
        </w:rPr>
        <w:t>15</w:t>
      </w:r>
      <w:r>
        <w:rPr>
          <w:rFonts w:hint="eastAsia" w:ascii="仿宋_GB2312" w:eastAsia="仿宋_GB2312"/>
          <w:sz w:val="28"/>
          <w:szCs w:val="28"/>
          <w:lang w:val="en-US" w:eastAsia="zh-CN"/>
        </w:rPr>
        <w:t>,</w:t>
      </w:r>
      <w:r>
        <w:rPr>
          <w:rFonts w:ascii="仿宋_GB2312" w:eastAsia="仿宋_GB2312"/>
          <w:sz w:val="28"/>
          <w:szCs w:val="28"/>
        </w:rPr>
        <w:t>466.54</w:t>
      </w:r>
      <w:r>
        <w:rPr>
          <w:rFonts w:hint="eastAsia" w:ascii="仿宋_GB2312" w:eastAsia="仿宋_GB2312"/>
          <w:sz w:val="28"/>
          <w:szCs w:val="28"/>
        </w:rPr>
        <w:t>元，其中：政府采购货物支出</w:t>
      </w:r>
      <w:r>
        <w:rPr>
          <w:rFonts w:ascii="仿宋_GB2312" w:eastAsia="仿宋_GB2312"/>
          <w:sz w:val="28"/>
          <w:szCs w:val="28"/>
        </w:rPr>
        <w:t>0</w:t>
      </w:r>
      <w:r>
        <w:rPr>
          <w:rFonts w:hint="eastAsia" w:ascii="仿宋_GB2312" w:eastAsia="仿宋_GB2312"/>
          <w:sz w:val="28"/>
          <w:szCs w:val="28"/>
        </w:rPr>
        <w:t>元，政府采购工程支出</w:t>
      </w:r>
      <w:r>
        <w:rPr>
          <w:rFonts w:ascii="仿宋_GB2312" w:eastAsia="仿宋_GB2312"/>
          <w:sz w:val="28"/>
          <w:szCs w:val="28"/>
        </w:rPr>
        <w:t>0</w:t>
      </w:r>
      <w:r>
        <w:rPr>
          <w:rFonts w:hint="eastAsia" w:ascii="仿宋_GB2312" w:eastAsia="仿宋_GB2312"/>
          <w:sz w:val="28"/>
          <w:szCs w:val="28"/>
        </w:rPr>
        <w:t>元，政府采购服务支出</w:t>
      </w:r>
      <w:r>
        <w:rPr>
          <w:rFonts w:ascii="仿宋_GB2312" w:eastAsia="仿宋_GB2312"/>
          <w:sz w:val="28"/>
          <w:szCs w:val="28"/>
        </w:rPr>
        <w:t>15</w:t>
      </w:r>
      <w:r>
        <w:rPr>
          <w:rFonts w:hint="eastAsia" w:ascii="仿宋_GB2312" w:eastAsia="仿宋_GB2312"/>
          <w:sz w:val="28"/>
          <w:szCs w:val="28"/>
          <w:lang w:val="en-US" w:eastAsia="zh-CN"/>
        </w:rPr>
        <w:t>,</w:t>
      </w:r>
      <w:r>
        <w:rPr>
          <w:rFonts w:ascii="仿宋_GB2312" w:eastAsia="仿宋_GB2312"/>
          <w:sz w:val="28"/>
          <w:szCs w:val="28"/>
        </w:rPr>
        <w:t>466.54</w:t>
      </w:r>
      <w:r>
        <w:rPr>
          <w:rFonts w:hint="eastAsia" w:ascii="仿宋_GB2312" w:eastAsia="仿宋_GB2312"/>
          <w:sz w:val="28"/>
          <w:szCs w:val="28"/>
        </w:rPr>
        <w:t>元。授予中小企业合同金额</w:t>
      </w:r>
      <w:r>
        <w:rPr>
          <w:rFonts w:ascii="仿宋_GB2312" w:eastAsia="仿宋_GB2312"/>
          <w:sz w:val="28"/>
          <w:szCs w:val="28"/>
        </w:rPr>
        <w:t>15</w:t>
      </w:r>
      <w:r>
        <w:rPr>
          <w:rFonts w:hint="eastAsia" w:ascii="仿宋_GB2312" w:eastAsia="仿宋_GB2312"/>
          <w:sz w:val="28"/>
          <w:szCs w:val="28"/>
          <w:lang w:val="en-US" w:eastAsia="zh-CN"/>
        </w:rPr>
        <w:t>,</w:t>
      </w:r>
      <w:r>
        <w:rPr>
          <w:rFonts w:ascii="仿宋_GB2312" w:eastAsia="仿宋_GB2312"/>
          <w:sz w:val="28"/>
          <w:szCs w:val="28"/>
        </w:rPr>
        <w:t>466.54</w:t>
      </w:r>
      <w:r>
        <w:rPr>
          <w:rFonts w:hint="eastAsia" w:ascii="仿宋_GB2312" w:eastAsia="仿宋_GB2312"/>
          <w:sz w:val="28"/>
          <w:szCs w:val="28"/>
        </w:rPr>
        <w:t>元，占政府采购支出总额的100</w:t>
      </w:r>
      <w:r>
        <w:rPr>
          <w:rFonts w:hint="eastAsia" w:ascii="仿宋_GB2312" w:eastAsia="仿宋_GB2312"/>
          <w:sz w:val="28"/>
          <w:szCs w:val="28"/>
          <w:lang w:val="en-US" w:eastAsia="zh-CN"/>
        </w:rPr>
        <w:t>.0</w:t>
      </w:r>
      <w:r>
        <w:rPr>
          <w:rFonts w:hint="eastAsia" w:ascii="仿宋_GB2312" w:eastAsia="仿宋_GB2312"/>
          <w:sz w:val="28"/>
          <w:szCs w:val="28"/>
        </w:rPr>
        <w:t>%，其中：授予小微企业合同金额</w:t>
      </w:r>
      <w:r>
        <w:rPr>
          <w:rFonts w:ascii="仿宋_GB2312" w:eastAsia="仿宋_GB2312"/>
          <w:sz w:val="28"/>
          <w:szCs w:val="28"/>
        </w:rPr>
        <w:t>1</w:t>
      </w:r>
      <w:r>
        <w:rPr>
          <w:rFonts w:hint="eastAsia" w:ascii="仿宋_GB2312" w:eastAsia="仿宋_GB2312"/>
          <w:sz w:val="28"/>
          <w:szCs w:val="28"/>
          <w:lang w:val="en-US" w:eastAsia="zh-CN"/>
        </w:rPr>
        <w:t>,</w:t>
      </w:r>
      <w:r>
        <w:rPr>
          <w:rFonts w:ascii="仿宋_GB2312" w:eastAsia="仿宋_GB2312"/>
          <w:sz w:val="28"/>
          <w:szCs w:val="28"/>
        </w:rPr>
        <w:t>348</w:t>
      </w:r>
      <w:r>
        <w:rPr>
          <w:rFonts w:hint="eastAsia" w:ascii="仿宋_GB2312" w:eastAsia="仿宋_GB2312"/>
          <w:sz w:val="28"/>
          <w:szCs w:val="28"/>
          <w:lang w:val="en-US" w:eastAsia="zh-CN"/>
        </w:rPr>
        <w:t>.00</w:t>
      </w:r>
      <w:r>
        <w:rPr>
          <w:rFonts w:hint="eastAsia" w:ascii="仿宋_GB2312" w:eastAsia="仿宋_GB2312"/>
          <w:sz w:val="28"/>
          <w:szCs w:val="28"/>
        </w:rPr>
        <w:t>元，占政府采购支出总额的</w:t>
      </w:r>
      <w:r>
        <w:rPr>
          <w:rFonts w:ascii="仿宋_GB2312" w:eastAsia="仿宋_GB2312"/>
          <w:sz w:val="28"/>
          <w:szCs w:val="28"/>
        </w:rPr>
        <w:t>8.7</w:t>
      </w:r>
      <w:r>
        <w:rPr>
          <w:rFonts w:hint="eastAsia" w:ascii="仿宋_GB2312" w:eastAsia="仿宋_GB2312"/>
          <w:sz w:val="28"/>
          <w:szCs w:val="28"/>
        </w:rPr>
        <w:t>%。</w:t>
      </w:r>
    </w:p>
    <w:p w14:paraId="2CA2DD36">
      <w:pPr>
        <w:ind w:firstLine="560" w:firstLineChars="200"/>
        <w:rPr>
          <w:rFonts w:ascii="黑体" w:eastAsia="黑体"/>
          <w:sz w:val="28"/>
          <w:szCs w:val="28"/>
          <w:highlight w:val="yellow"/>
        </w:rPr>
      </w:pPr>
      <w:r>
        <w:rPr>
          <w:rFonts w:hint="eastAsia" w:ascii="黑体" w:eastAsia="黑体"/>
          <w:sz w:val="28"/>
          <w:szCs w:val="28"/>
        </w:rPr>
        <w:t>四、国有资产占用情况</w:t>
      </w:r>
    </w:p>
    <w:p w14:paraId="2E106B84">
      <w:pPr>
        <w:ind w:firstLine="560" w:firstLineChars="200"/>
        <w:rPr>
          <w:rFonts w:ascii="仿宋_GB2312" w:eastAsia="仿宋_GB2312"/>
          <w:sz w:val="32"/>
          <w:szCs w:val="32"/>
        </w:rPr>
      </w:pPr>
      <w:r>
        <w:rPr>
          <w:rFonts w:hint="eastAsia" w:ascii="仿宋_GB2312" w:eastAsia="仿宋_GB2312"/>
          <w:sz w:val="28"/>
          <w:szCs w:val="28"/>
        </w:rPr>
        <w:t>截至12月31日，北京市门头沟区土地储备事务中心共有车辆1台；单位价值100</w:t>
      </w:r>
      <w:r>
        <w:rPr>
          <w:rFonts w:hint="eastAsia" w:ascii="仿宋_GB2312" w:eastAsia="仿宋_GB2312"/>
          <w:sz w:val="28"/>
          <w:szCs w:val="28"/>
          <w:lang w:eastAsia="zh-CN"/>
        </w:rPr>
        <w:t>万</w:t>
      </w:r>
      <w:r>
        <w:rPr>
          <w:rFonts w:hint="eastAsia" w:ascii="仿宋_GB2312" w:eastAsia="仿宋_GB2312"/>
          <w:sz w:val="28"/>
          <w:szCs w:val="28"/>
        </w:rPr>
        <w:t>元（含）以上的设备0台（套）。</w:t>
      </w:r>
    </w:p>
    <w:p w14:paraId="5415CE1F">
      <w:pPr>
        <w:ind w:firstLine="560" w:firstLineChars="200"/>
        <w:jc w:val="left"/>
        <w:rPr>
          <w:rFonts w:ascii="仿宋_GB2312" w:eastAsia="仿宋_GB2312"/>
          <w:color w:val="000000"/>
          <w:sz w:val="32"/>
          <w:szCs w:val="32"/>
        </w:rPr>
      </w:pPr>
      <w:r>
        <w:rPr>
          <w:rFonts w:hint="eastAsia" w:ascii="黑体" w:eastAsia="黑体"/>
          <w:sz w:val="28"/>
          <w:szCs w:val="28"/>
        </w:rPr>
        <w:t>五、</w:t>
      </w:r>
      <w:r>
        <w:rPr>
          <w:rFonts w:ascii="黑体" w:eastAsia="黑体"/>
          <w:sz w:val="28"/>
          <w:szCs w:val="28"/>
        </w:rPr>
        <w:t>专业名词解释</w:t>
      </w:r>
    </w:p>
    <w:p w14:paraId="1CE3CBA5">
      <w:pPr>
        <w:ind w:firstLine="560" w:firstLineChars="200"/>
        <w:rPr>
          <w:rFonts w:ascii="仿宋_GB2312" w:eastAsia="仿宋_GB2312"/>
          <w:sz w:val="28"/>
          <w:szCs w:val="28"/>
        </w:rPr>
      </w:pPr>
      <w:r>
        <w:rPr>
          <w:rFonts w:hint="eastAsia" w:ascii="仿宋_GB2312" w:eastAsia="仿宋_GB2312"/>
          <w:sz w:val="28"/>
          <w:szCs w:val="28"/>
        </w:rPr>
        <w:t>1.基本支出：指为保障机构正常运转、完成日常工作任务而发生的人员支出和公用支出。</w:t>
      </w:r>
    </w:p>
    <w:p w14:paraId="15F1130E">
      <w:pPr>
        <w:ind w:firstLine="560" w:firstLineChars="200"/>
        <w:rPr>
          <w:rFonts w:ascii="仿宋_GB2312" w:eastAsia="仿宋_GB2312"/>
          <w:sz w:val="28"/>
          <w:szCs w:val="28"/>
        </w:rPr>
      </w:pPr>
      <w:r>
        <w:rPr>
          <w:rFonts w:hint="eastAsia" w:ascii="仿宋_GB2312" w:eastAsia="仿宋_GB2312"/>
          <w:sz w:val="28"/>
          <w:szCs w:val="28"/>
        </w:rPr>
        <w:t>2.项目支出：指在基本支出之外为完成特定行政任务或事业发展目标所发生的支出。</w:t>
      </w:r>
    </w:p>
    <w:p w14:paraId="57966468">
      <w:pPr>
        <w:ind w:firstLine="560" w:firstLineChars="200"/>
        <w:rPr>
          <w:rFonts w:ascii="仿宋_GB2312" w:eastAsia="仿宋_GB2312"/>
          <w:sz w:val="28"/>
          <w:szCs w:val="28"/>
        </w:rPr>
      </w:pPr>
      <w:r>
        <w:rPr>
          <w:rFonts w:hint="eastAsia" w:ascii="仿宋_GB2312" w:eastAsia="仿宋_GB2312"/>
          <w:sz w:val="28"/>
          <w:szCs w:val="28"/>
        </w:rPr>
        <w:t>3.“三公”经费：是指单位通过财政拨款资金安排的因公出国（境）费、公务用车购置及运行费和公务接待费。</w:t>
      </w:r>
    </w:p>
    <w:p w14:paraId="01FC0710">
      <w:pPr>
        <w:ind w:firstLine="560" w:firstLineChars="200"/>
      </w:pPr>
      <w:r>
        <w:rPr>
          <w:rFonts w:hint="eastAsia" w:ascii="仿宋_GB2312" w:eastAsia="仿宋_GB2312"/>
          <w:sz w:val="28"/>
          <w:szCs w:val="28"/>
        </w:rPr>
        <w:t>4.机关运行经费：反映为保障行政单位（包括参照公务员法管理的事业单位）运行用于购买货物和服务的各项资金，包括办公费、会议费、培训费、委托业务费、公务接待费、公务用车运行维护费、维修（护）费及其他费用。</w:t>
      </w:r>
    </w:p>
    <w:p w14:paraId="3A10795F">
      <w:pPr>
        <w:ind w:firstLine="560" w:firstLineChars="200"/>
        <w:rPr>
          <w:rFonts w:ascii="仿宋_GB2312" w:eastAsia="仿宋_GB2312"/>
          <w:sz w:val="28"/>
          <w:szCs w:val="28"/>
        </w:rPr>
      </w:pPr>
      <w:r>
        <w:rPr>
          <w:rFonts w:hint="eastAsia" w:ascii="仿宋_GB2312" w:eastAsia="仿宋_GB2312"/>
          <w:sz w:val="28"/>
          <w:szCs w:val="28"/>
        </w:rPr>
        <w:t>5.政府采购：指各级国家机关、事业单位和团体组织，使用财政性资金采购依法制定的集中目录以内的或者采购限额标准以上的货物、工程和服务的行为，是规范财政支出管理和强化预算约束的有效措施。</w:t>
      </w:r>
    </w:p>
    <w:p w14:paraId="5B1DECFE">
      <w:pPr>
        <w:ind w:firstLine="560" w:firstLineChars="200"/>
        <w:rPr>
          <w:rFonts w:hint="eastAsia" w:ascii="仿宋_GB2312" w:eastAsia="仿宋_GB2312"/>
          <w:sz w:val="28"/>
          <w:szCs w:val="28"/>
          <w:lang w:eastAsia="zh-CN"/>
        </w:rPr>
      </w:pPr>
      <w:r>
        <w:rPr>
          <w:rFonts w:hint="eastAsia" w:ascii="仿宋_GB2312" w:eastAsia="仿宋_GB2312"/>
          <w:sz w:val="28"/>
          <w:szCs w:val="28"/>
          <w:lang w:val="en-US" w:eastAsia="zh-CN"/>
        </w:rPr>
        <w:t>6.</w:t>
      </w:r>
      <w:r>
        <w:rPr>
          <w:rFonts w:hint="eastAsia" w:ascii="仿宋_GB2312" w:eastAsia="仿宋_GB2312"/>
          <w:sz w:val="28"/>
          <w:szCs w:val="28"/>
        </w:rPr>
        <w:t>支出功能分类</w:t>
      </w:r>
      <w:r>
        <w:rPr>
          <w:rFonts w:hint="eastAsia" w:ascii="仿宋_GB2312" w:eastAsia="仿宋_GB2312"/>
          <w:sz w:val="28"/>
          <w:szCs w:val="28"/>
          <w:lang w:eastAsia="zh-CN"/>
        </w:rPr>
        <w:t>“城乡社区支出”：反映政府城乡社区事务支出。</w:t>
      </w:r>
    </w:p>
    <w:p w14:paraId="1FE60727">
      <w:pPr>
        <w:ind w:firstLine="560" w:firstLineChars="200"/>
        <w:rPr>
          <w:rFonts w:hint="eastAsia" w:ascii="仿宋_GB2312" w:eastAsia="仿宋_GB2312"/>
          <w:sz w:val="28"/>
          <w:szCs w:val="28"/>
          <w:lang w:eastAsia="zh-CN"/>
        </w:rPr>
      </w:pPr>
      <w:r>
        <w:rPr>
          <w:rFonts w:hint="eastAsia" w:ascii="仿宋_GB2312" w:eastAsia="仿宋_GB2312"/>
          <w:sz w:val="28"/>
          <w:szCs w:val="28"/>
          <w:lang w:val="en-US" w:eastAsia="zh-CN"/>
        </w:rPr>
        <w:t>7.</w:t>
      </w:r>
      <w:r>
        <w:rPr>
          <w:rFonts w:hint="eastAsia" w:ascii="仿宋_GB2312" w:eastAsia="仿宋_GB2312"/>
          <w:sz w:val="28"/>
          <w:szCs w:val="28"/>
        </w:rPr>
        <w:t>支出功能分类</w:t>
      </w:r>
      <w:r>
        <w:rPr>
          <w:rFonts w:hint="eastAsia" w:ascii="仿宋_GB2312" w:eastAsia="仿宋_GB2312"/>
          <w:sz w:val="28"/>
          <w:szCs w:val="28"/>
          <w:lang w:eastAsia="zh-CN"/>
        </w:rPr>
        <w:t>“自然资源海洋气象等支出”：反映政府用于自然资源、海洋、测绘、气象等公益服务事业方面的支出。</w:t>
      </w:r>
    </w:p>
    <w:p w14:paraId="5398149A">
      <w:pPr>
        <w:ind w:firstLine="560" w:firstLineChars="200"/>
        <w:rPr>
          <w:rFonts w:hint="eastAsia" w:ascii="仿宋_GB2312" w:eastAsia="仿宋_GB2312"/>
          <w:sz w:val="28"/>
          <w:szCs w:val="28"/>
          <w:lang w:eastAsia="zh-CN"/>
        </w:rPr>
      </w:pPr>
    </w:p>
    <w:p w14:paraId="3AE5C13A">
      <w:pPr>
        <w:tabs>
          <w:tab w:val="center" w:pos="6979"/>
        </w:tabs>
        <w:spacing w:line="580" w:lineRule="exact"/>
        <w:ind w:firstLine="720" w:firstLineChars="200"/>
        <w:jc w:val="center"/>
        <w:rPr>
          <w:rFonts w:asciiTheme="minorEastAsia" w:hAnsiTheme="minorEastAsia" w:eastAsiaTheme="minorEastAsia"/>
          <w:b/>
          <w:sz w:val="36"/>
          <w:szCs w:val="36"/>
        </w:rPr>
      </w:pPr>
      <w:r>
        <w:rPr>
          <w:rFonts w:hint="eastAsia" w:asciiTheme="minorEastAsia" w:hAnsiTheme="minorEastAsia" w:eastAsiaTheme="minorEastAsia"/>
          <w:b/>
          <w:sz w:val="36"/>
          <w:szCs w:val="36"/>
        </w:rPr>
        <w:t>第四部分2025年度部门绩效评价情况</w:t>
      </w:r>
    </w:p>
    <w:p w14:paraId="24163259">
      <w:pPr>
        <w:tabs>
          <w:tab w:val="center" w:pos="6979"/>
        </w:tabs>
        <w:spacing w:line="580" w:lineRule="exact"/>
        <w:ind w:firstLine="560" w:firstLineChars="200"/>
        <w:jc w:val="center"/>
        <w:rPr>
          <w:rFonts w:hint="eastAsia" w:ascii="华文中宋" w:hAnsi="华文中宋" w:eastAsia="华文中宋"/>
          <w:sz w:val="28"/>
          <w:szCs w:val="28"/>
        </w:rPr>
      </w:pPr>
    </w:p>
    <w:p w14:paraId="3110D229">
      <w:pPr>
        <w:spacing w:line="580" w:lineRule="exact"/>
        <w:ind w:firstLine="640" w:firstLineChars="200"/>
        <w:rPr>
          <w:rFonts w:hint="eastAsia" w:ascii="黑体" w:hAnsi="黑体" w:eastAsia="黑体"/>
          <w:sz w:val="32"/>
          <w:szCs w:val="32"/>
        </w:rPr>
      </w:pPr>
      <w:r>
        <w:rPr>
          <w:rFonts w:hint="eastAsia" w:ascii="黑体" w:eastAsia="黑体"/>
          <w:sz w:val="32"/>
          <w:szCs w:val="32"/>
        </w:rPr>
        <w:t xml:space="preserve"> </w:t>
      </w:r>
      <w:r>
        <w:rPr>
          <w:rFonts w:hint="eastAsia" w:ascii="黑体" w:hAnsi="黑体" w:eastAsia="黑体"/>
          <w:sz w:val="32"/>
          <w:szCs w:val="32"/>
        </w:rPr>
        <w:t>一、部门整体绩效评价报告</w:t>
      </w:r>
    </w:p>
    <w:p w14:paraId="76BB5CCA">
      <w:pPr>
        <w:spacing w:line="580" w:lineRule="exact"/>
        <w:ind w:firstLine="560" w:firstLineChars="200"/>
        <w:rPr>
          <w:rFonts w:hint="eastAsia" w:ascii="楷体_GB2312" w:hAnsi="Calibri" w:eastAsia="楷体_GB2312"/>
          <w:b/>
          <w:sz w:val="28"/>
          <w:szCs w:val="28"/>
        </w:rPr>
      </w:pPr>
      <w:r>
        <w:rPr>
          <w:rFonts w:hint="eastAsia" w:ascii="楷体_GB2312" w:eastAsia="楷体_GB2312"/>
          <w:b/>
          <w:sz w:val="28"/>
          <w:szCs w:val="28"/>
        </w:rPr>
        <w:t>（一）部门概况</w:t>
      </w:r>
    </w:p>
    <w:p w14:paraId="6B8C3E2F">
      <w:pPr>
        <w:spacing w:line="580" w:lineRule="exact"/>
        <w:ind w:firstLine="560" w:firstLineChars="200"/>
        <w:rPr>
          <w:rFonts w:hint="eastAsia" w:ascii="仿宋_GB2312" w:eastAsia="仿宋_GB2312"/>
          <w:sz w:val="28"/>
          <w:szCs w:val="28"/>
        </w:rPr>
      </w:pPr>
      <w:bookmarkStart w:id="0" w:name="_Toc268005755"/>
      <w:r>
        <w:rPr>
          <w:rFonts w:hint="eastAsia" w:ascii="仿宋_GB2312" w:eastAsia="仿宋_GB2312"/>
          <w:sz w:val="28"/>
          <w:szCs w:val="28"/>
        </w:rPr>
        <w:t>1.部门职责情况</w:t>
      </w:r>
    </w:p>
    <w:p w14:paraId="4120D8E6">
      <w:pPr>
        <w:spacing w:line="520" w:lineRule="exact"/>
        <w:ind w:firstLine="560" w:firstLineChars="200"/>
        <w:rPr>
          <w:rFonts w:hint="eastAsia" w:ascii="仿宋_GB2312" w:eastAsia="仿宋_GB2312"/>
          <w:sz w:val="28"/>
          <w:szCs w:val="28"/>
        </w:rPr>
      </w:pPr>
      <w:r>
        <w:rPr>
          <w:rFonts w:hint="eastAsia" w:ascii="仿宋_GB2312" w:eastAsia="仿宋_GB2312"/>
          <w:sz w:val="28"/>
          <w:szCs w:val="28"/>
        </w:rPr>
        <w:t>协助北京市门头沟区规划和自然资源综合事务中心履行相关职责，配合相关部门完成本行政区域范围内的土地储备、土地一级开发整理和国有土地使用相关的辅助性、事务性工作。</w:t>
      </w:r>
    </w:p>
    <w:p w14:paraId="76EB4ADC">
      <w:pPr>
        <w:numPr>
          <w:ilvl w:val="0"/>
          <w:numId w:val="0"/>
        </w:numPr>
        <w:spacing w:line="58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2.</w:t>
      </w:r>
      <w:r>
        <w:rPr>
          <w:rFonts w:hint="eastAsia" w:ascii="仿宋_GB2312" w:eastAsia="仿宋_GB2312"/>
          <w:sz w:val="28"/>
          <w:szCs w:val="28"/>
        </w:rPr>
        <w:t>部门机构设置情况</w:t>
      </w:r>
    </w:p>
    <w:p w14:paraId="747C6127">
      <w:pPr>
        <w:spacing w:line="520" w:lineRule="exact"/>
        <w:ind w:firstLine="560" w:firstLineChars="200"/>
        <w:rPr>
          <w:rFonts w:hint="eastAsia" w:ascii="仿宋_GB2312" w:eastAsia="仿宋_GB2312"/>
          <w:sz w:val="28"/>
          <w:szCs w:val="28"/>
        </w:rPr>
      </w:pPr>
      <w:r>
        <w:rPr>
          <w:rFonts w:hint="eastAsia" w:ascii="仿宋_GB2312" w:eastAsia="仿宋_GB2312"/>
          <w:sz w:val="28"/>
          <w:szCs w:val="28"/>
        </w:rPr>
        <w:t>北京市门头沟区土地储备事务中心于2016年11月21日经北京市门头沟区机构编制委员会办公室门编委字【2016】26号文批准设置，为全额拨款事业单位。本部门共设1个内设机构，下设0个事业单位。</w:t>
      </w:r>
    </w:p>
    <w:p w14:paraId="1F2DE010">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3.2025年主要工作任务</w:t>
      </w:r>
    </w:p>
    <w:p w14:paraId="5C66196B">
      <w:pPr>
        <w:spacing w:line="520" w:lineRule="exact"/>
        <w:ind w:firstLine="560" w:firstLineChars="200"/>
        <w:rPr>
          <w:rFonts w:hint="eastAsia" w:ascii="仿宋_GB2312" w:eastAsia="仿宋_GB2312"/>
          <w:sz w:val="28"/>
          <w:szCs w:val="28"/>
        </w:rPr>
      </w:pPr>
      <w:r>
        <w:rPr>
          <w:rFonts w:hint="eastAsia" w:ascii="仿宋_GB2312" w:eastAsia="仿宋_GB2312"/>
          <w:sz w:val="28"/>
          <w:szCs w:val="28"/>
        </w:rPr>
        <w:t>推进土地一级开发项目施工进程，保障项目按时入市。</w:t>
      </w:r>
    </w:p>
    <w:bookmarkEnd w:id="0"/>
    <w:p w14:paraId="038BC6B1">
      <w:pPr>
        <w:spacing w:line="580" w:lineRule="exact"/>
        <w:ind w:firstLine="560" w:firstLineChars="200"/>
        <w:rPr>
          <w:rFonts w:hint="eastAsia" w:ascii="仿宋_GB2312" w:eastAsia="仿宋_GB2312"/>
          <w:sz w:val="28"/>
          <w:szCs w:val="28"/>
        </w:rPr>
      </w:pPr>
      <w:bookmarkStart w:id="1" w:name="_Toc268005759"/>
      <w:bookmarkStart w:id="2" w:name="_Toc263686375"/>
      <w:r>
        <w:rPr>
          <w:rFonts w:hint="eastAsia" w:ascii="仿宋_GB2312" w:eastAsia="仿宋_GB2312"/>
          <w:sz w:val="28"/>
          <w:szCs w:val="28"/>
        </w:rPr>
        <w:t>4.部门</w:t>
      </w:r>
      <w:bookmarkEnd w:id="1"/>
      <w:r>
        <w:rPr>
          <w:rFonts w:hint="eastAsia" w:ascii="仿宋_GB2312" w:eastAsia="仿宋_GB2312"/>
          <w:sz w:val="28"/>
          <w:szCs w:val="28"/>
        </w:rPr>
        <w:t>整体绩效目标设立情况</w:t>
      </w:r>
    </w:p>
    <w:tbl>
      <w:tblPr>
        <w:tblStyle w:val="10"/>
        <w:tblW w:w="5000" w:type="pct"/>
        <w:tblInd w:w="0" w:type="dxa"/>
        <w:tblLayout w:type="fixed"/>
        <w:tblCellMar>
          <w:top w:w="0" w:type="dxa"/>
          <w:left w:w="108" w:type="dxa"/>
          <w:bottom w:w="0" w:type="dxa"/>
          <w:right w:w="108" w:type="dxa"/>
        </w:tblCellMar>
      </w:tblPr>
      <w:tblGrid>
        <w:gridCol w:w="672"/>
        <w:gridCol w:w="9371"/>
        <w:gridCol w:w="1508"/>
        <w:gridCol w:w="1362"/>
        <w:gridCol w:w="988"/>
        <w:gridCol w:w="885"/>
      </w:tblGrid>
      <w:tr w14:paraId="19CD32CC">
        <w:tblPrEx>
          <w:tblCellMar>
            <w:top w:w="0" w:type="dxa"/>
            <w:left w:w="108" w:type="dxa"/>
            <w:bottom w:w="0" w:type="dxa"/>
            <w:right w:w="108" w:type="dxa"/>
          </w:tblCellMar>
        </w:tblPrEx>
        <w:trPr>
          <w:trHeight w:val="275" w:hRule="atLeast"/>
        </w:trPr>
        <w:tc>
          <w:tcPr>
            <w:tcW w:w="227" w:type="pct"/>
            <w:tcBorders>
              <w:top w:val="single" w:color="auto" w:sz="4" w:space="0"/>
              <w:left w:val="single" w:color="auto" w:sz="4" w:space="0"/>
              <w:bottom w:val="single" w:color="auto" w:sz="4" w:space="0"/>
              <w:right w:val="single" w:color="auto" w:sz="4" w:space="0"/>
            </w:tcBorders>
            <w:noWrap/>
            <w:vAlign w:val="bottom"/>
          </w:tcPr>
          <w:p w14:paraId="20676796">
            <w:pPr>
              <w:spacing w:line="520" w:lineRule="exact"/>
              <w:jc w:val="center"/>
              <w:rPr>
                <w:rFonts w:hint="eastAsia" w:ascii="仿宋_GB2312" w:eastAsia="仿宋_GB2312"/>
                <w:sz w:val="28"/>
                <w:szCs w:val="28"/>
              </w:rPr>
            </w:pPr>
            <w:r>
              <w:rPr>
                <w:rFonts w:hint="eastAsia" w:ascii="仿宋_GB2312" w:eastAsia="仿宋_GB2312"/>
                <w:sz w:val="28"/>
                <w:szCs w:val="28"/>
              </w:rPr>
              <w:t>序号</w:t>
            </w:r>
          </w:p>
        </w:tc>
        <w:tc>
          <w:tcPr>
            <w:tcW w:w="3168" w:type="pct"/>
            <w:tcBorders>
              <w:top w:val="single" w:color="auto" w:sz="4" w:space="0"/>
              <w:left w:val="nil"/>
              <w:bottom w:val="single" w:color="auto" w:sz="4" w:space="0"/>
              <w:right w:val="single" w:color="auto" w:sz="4" w:space="0"/>
            </w:tcBorders>
            <w:noWrap/>
            <w:vAlign w:val="bottom"/>
          </w:tcPr>
          <w:p w14:paraId="65E850FA">
            <w:pPr>
              <w:spacing w:line="520" w:lineRule="exact"/>
              <w:jc w:val="center"/>
              <w:rPr>
                <w:rFonts w:hint="eastAsia" w:ascii="仿宋_GB2312" w:eastAsia="仿宋_GB2312"/>
                <w:sz w:val="28"/>
                <w:szCs w:val="28"/>
              </w:rPr>
            </w:pPr>
            <w:r>
              <w:rPr>
                <w:rFonts w:hint="eastAsia" w:ascii="仿宋_GB2312" w:eastAsia="仿宋_GB2312"/>
                <w:sz w:val="28"/>
                <w:szCs w:val="28"/>
              </w:rPr>
              <w:t>三级指标</w:t>
            </w:r>
          </w:p>
        </w:tc>
        <w:tc>
          <w:tcPr>
            <w:tcW w:w="509" w:type="pct"/>
            <w:tcBorders>
              <w:top w:val="single" w:color="auto" w:sz="4" w:space="0"/>
              <w:left w:val="nil"/>
              <w:bottom w:val="single" w:color="auto" w:sz="4" w:space="0"/>
              <w:right w:val="single" w:color="auto" w:sz="4" w:space="0"/>
            </w:tcBorders>
            <w:noWrap/>
            <w:vAlign w:val="bottom"/>
          </w:tcPr>
          <w:p w14:paraId="122B4726">
            <w:pPr>
              <w:spacing w:line="520" w:lineRule="exact"/>
              <w:jc w:val="center"/>
              <w:rPr>
                <w:rFonts w:hint="eastAsia" w:ascii="仿宋_GB2312" w:eastAsia="仿宋_GB2312"/>
                <w:sz w:val="28"/>
                <w:szCs w:val="28"/>
              </w:rPr>
            </w:pPr>
            <w:r>
              <w:rPr>
                <w:rFonts w:hint="eastAsia" w:ascii="仿宋_GB2312" w:eastAsia="仿宋_GB2312"/>
                <w:sz w:val="28"/>
                <w:szCs w:val="28"/>
              </w:rPr>
              <w:t>指标性质</w:t>
            </w:r>
          </w:p>
        </w:tc>
        <w:tc>
          <w:tcPr>
            <w:tcW w:w="460" w:type="pct"/>
            <w:tcBorders>
              <w:top w:val="single" w:color="auto" w:sz="4" w:space="0"/>
              <w:left w:val="nil"/>
              <w:bottom w:val="single" w:color="auto" w:sz="4" w:space="0"/>
              <w:right w:val="single" w:color="auto" w:sz="4" w:space="0"/>
            </w:tcBorders>
            <w:noWrap/>
            <w:vAlign w:val="bottom"/>
          </w:tcPr>
          <w:p w14:paraId="6B8AACF4">
            <w:pPr>
              <w:spacing w:line="520" w:lineRule="exact"/>
              <w:jc w:val="center"/>
              <w:rPr>
                <w:rFonts w:hint="eastAsia" w:ascii="仿宋_GB2312" w:eastAsia="仿宋_GB2312"/>
                <w:sz w:val="28"/>
                <w:szCs w:val="28"/>
              </w:rPr>
            </w:pPr>
            <w:r>
              <w:rPr>
                <w:rFonts w:hint="eastAsia" w:ascii="仿宋_GB2312" w:eastAsia="仿宋_GB2312"/>
                <w:sz w:val="28"/>
                <w:szCs w:val="28"/>
              </w:rPr>
              <w:t>指标值</w:t>
            </w:r>
          </w:p>
        </w:tc>
        <w:tc>
          <w:tcPr>
            <w:tcW w:w="334" w:type="pct"/>
            <w:tcBorders>
              <w:top w:val="single" w:color="auto" w:sz="4" w:space="0"/>
              <w:left w:val="nil"/>
              <w:bottom w:val="single" w:color="auto" w:sz="4" w:space="0"/>
              <w:right w:val="single" w:color="auto" w:sz="4" w:space="0"/>
            </w:tcBorders>
          </w:tcPr>
          <w:p w14:paraId="09DC516C">
            <w:pPr>
              <w:spacing w:line="520" w:lineRule="exact"/>
              <w:jc w:val="center"/>
              <w:rPr>
                <w:rFonts w:hint="eastAsia" w:ascii="仿宋_GB2312" w:eastAsia="仿宋_GB2312"/>
                <w:sz w:val="28"/>
                <w:szCs w:val="28"/>
              </w:rPr>
            </w:pPr>
            <w:r>
              <w:rPr>
                <w:rFonts w:hint="eastAsia" w:ascii="仿宋_GB2312" w:eastAsia="仿宋_GB2312"/>
                <w:sz w:val="28"/>
                <w:szCs w:val="28"/>
              </w:rPr>
              <w:t>度量单位</w:t>
            </w:r>
          </w:p>
        </w:tc>
        <w:tc>
          <w:tcPr>
            <w:tcW w:w="299" w:type="pct"/>
            <w:tcBorders>
              <w:top w:val="single" w:color="auto" w:sz="4" w:space="0"/>
              <w:left w:val="nil"/>
              <w:bottom w:val="single" w:color="auto" w:sz="4" w:space="0"/>
              <w:right w:val="single" w:color="auto" w:sz="4" w:space="0"/>
            </w:tcBorders>
          </w:tcPr>
          <w:p w14:paraId="3C8641AF">
            <w:pPr>
              <w:spacing w:line="520" w:lineRule="exact"/>
              <w:jc w:val="center"/>
              <w:rPr>
                <w:rFonts w:hint="eastAsia" w:ascii="仿宋_GB2312" w:eastAsia="仿宋_GB2312"/>
                <w:sz w:val="28"/>
                <w:szCs w:val="28"/>
              </w:rPr>
            </w:pPr>
            <w:r>
              <w:rPr>
                <w:rFonts w:hint="eastAsia" w:ascii="仿宋_GB2312" w:eastAsia="仿宋_GB2312"/>
                <w:sz w:val="28"/>
                <w:szCs w:val="28"/>
              </w:rPr>
              <w:t>指标权重</w:t>
            </w:r>
          </w:p>
        </w:tc>
      </w:tr>
      <w:tr w14:paraId="08C07615">
        <w:tblPrEx>
          <w:tblCellMar>
            <w:top w:w="0" w:type="dxa"/>
            <w:left w:w="108" w:type="dxa"/>
            <w:bottom w:w="0" w:type="dxa"/>
            <w:right w:w="108" w:type="dxa"/>
          </w:tblCellMar>
        </w:tblPrEx>
        <w:trPr>
          <w:trHeight w:val="275" w:hRule="atLeast"/>
        </w:trPr>
        <w:tc>
          <w:tcPr>
            <w:tcW w:w="227" w:type="pct"/>
            <w:tcBorders>
              <w:top w:val="nil"/>
              <w:left w:val="single" w:color="auto" w:sz="4" w:space="0"/>
              <w:bottom w:val="single" w:color="auto" w:sz="4" w:space="0"/>
              <w:right w:val="single" w:color="auto" w:sz="4" w:space="0"/>
            </w:tcBorders>
            <w:noWrap/>
            <w:vAlign w:val="bottom"/>
          </w:tcPr>
          <w:p w14:paraId="75D2AE2A">
            <w:pPr>
              <w:spacing w:line="520" w:lineRule="exact"/>
              <w:jc w:val="center"/>
              <w:rPr>
                <w:rFonts w:hint="eastAsia" w:ascii="仿宋_GB2312" w:eastAsia="仿宋_GB2312"/>
                <w:sz w:val="28"/>
                <w:szCs w:val="28"/>
              </w:rPr>
            </w:pPr>
            <w:r>
              <w:rPr>
                <w:rFonts w:hint="eastAsia" w:ascii="仿宋_GB2312" w:eastAsia="仿宋_GB2312"/>
                <w:sz w:val="28"/>
                <w:szCs w:val="28"/>
              </w:rPr>
              <w:t>1</w:t>
            </w:r>
          </w:p>
        </w:tc>
        <w:tc>
          <w:tcPr>
            <w:tcW w:w="3168" w:type="pct"/>
            <w:tcBorders>
              <w:top w:val="nil"/>
              <w:left w:val="nil"/>
              <w:bottom w:val="single" w:color="auto" w:sz="4" w:space="0"/>
              <w:right w:val="single" w:color="auto" w:sz="4" w:space="0"/>
            </w:tcBorders>
            <w:noWrap/>
            <w:vAlign w:val="top"/>
          </w:tcPr>
          <w:p w14:paraId="5E4A1EE7">
            <w:pPr>
              <w:keepNext w:val="0"/>
              <w:keepLines w:val="0"/>
              <w:suppressLineNumbers w:val="0"/>
              <w:spacing w:before="0" w:beforeLines="0" w:beforeAutospacing="0" w:after="0" w:afterLines="0" w:afterAutospacing="0" w:line="520" w:lineRule="exact"/>
              <w:ind w:left="0" w:leftChars="0" w:right="0" w:rightChars="0"/>
              <w:jc w:val="center"/>
              <w:rPr>
                <w:rFonts w:hint="eastAsia" w:ascii="仿宋_GB2312" w:eastAsia="仿宋_GB2312"/>
                <w:sz w:val="28"/>
                <w:szCs w:val="28"/>
              </w:rPr>
            </w:pPr>
            <w:r>
              <w:rPr>
                <w:rFonts w:hint="eastAsia" w:ascii="仿宋_GB2312" w:hAnsi="仿宋" w:eastAsia="仿宋_GB2312" w:cs="Times New Roman"/>
                <w:sz w:val="28"/>
                <w:szCs w:val="28"/>
              </w:rPr>
              <w:t>聘用劳务派遣人员出勤天数</w:t>
            </w:r>
          </w:p>
        </w:tc>
        <w:tc>
          <w:tcPr>
            <w:tcW w:w="509" w:type="pct"/>
            <w:tcBorders>
              <w:top w:val="nil"/>
              <w:left w:val="nil"/>
              <w:bottom w:val="single" w:color="auto" w:sz="4" w:space="0"/>
              <w:right w:val="single" w:color="auto" w:sz="4" w:space="0"/>
            </w:tcBorders>
            <w:noWrap/>
            <w:vAlign w:val="top"/>
          </w:tcPr>
          <w:p w14:paraId="0CE9FFE0">
            <w:pPr>
              <w:keepNext w:val="0"/>
              <w:keepLines w:val="0"/>
              <w:suppressLineNumbers w:val="0"/>
              <w:spacing w:before="0" w:beforeLines="0" w:beforeAutospacing="0" w:after="0" w:afterLines="0" w:afterAutospacing="0" w:line="520" w:lineRule="exact"/>
              <w:ind w:left="0" w:leftChars="0" w:right="0" w:rightChars="0"/>
              <w:jc w:val="center"/>
              <w:rPr>
                <w:rFonts w:hint="eastAsia" w:ascii="仿宋_GB2312" w:eastAsia="仿宋_GB2312"/>
                <w:sz w:val="28"/>
                <w:szCs w:val="28"/>
              </w:rPr>
            </w:pPr>
            <w:r>
              <w:rPr>
                <w:rFonts w:hint="eastAsia" w:ascii="仿宋_GB2312" w:hAnsi="仿宋" w:eastAsia="仿宋_GB2312" w:cs="Times New Roman"/>
                <w:sz w:val="28"/>
                <w:szCs w:val="28"/>
              </w:rPr>
              <w:t>≥</w:t>
            </w:r>
          </w:p>
        </w:tc>
        <w:tc>
          <w:tcPr>
            <w:tcW w:w="460" w:type="pct"/>
            <w:tcBorders>
              <w:top w:val="nil"/>
              <w:left w:val="nil"/>
              <w:bottom w:val="single" w:color="auto" w:sz="4" w:space="0"/>
              <w:right w:val="single" w:color="auto" w:sz="4" w:space="0"/>
            </w:tcBorders>
            <w:noWrap/>
            <w:vAlign w:val="top"/>
          </w:tcPr>
          <w:p w14:paraId="7042BD62">
            <w:pPr>
              <w:keepNext w:val="0"/>
              <w:keepLines w:val="0"/>
              <w:suppressLineNumbers w:val="0"/>
              <w:spacing w:before="0" w:beforeLines="0" w:beforeAutospacing="0" w:after="0" w:afterLines="0" w:afterAutospacing="0" w:line="520" w:lineRule="exact"/>
              <w:ind w:right="0" w:rightChars="0"/>
              <w:jc w:val="both"/>
              <w:rPr>
                <w:rFonts w:hint="eastAsia" w:ascii="仿宋_GB2312" w:eastAsia="仿宋_GB2312"/>
                <w:sz w:val="28"/>
                <w:szCs w:val="28"/>
              </w:rPr>
            </w:pPr>
            <w:r>
              <w:rPr>
                <w:rFonts w:hint="eastAsia" w:ascii="仿宋_GB2312" w:hAnsi="仿宋" w:eastAsia="仿宋_GB2312" w:cs="Times New Roman"/>
                <w:sz w:val="28"/>
                <w:szCs w:val="28"/>
                <w:lang w:val="en-US" w:eastAsia="zh-CN"/>
              </w:rPr>
              <w:t>220</w:t>
            </w:r>
          </w:p>
        </w:tc>
        <w:tc>
          <w:tcPr>
            <w:tcW w:w="334" w:type="pct"/>
            <w:tcBorders>
              <w:top w:val="nil"/>
              <w:left w:val="nil"/>
              <w:bottom w:val="single" w:color="auto" w:sz="4" w:space="0"/>
              <w:right w:val="single" w:color="auto" w:sz="4" w:space="0"/>
            </w:tcBorders>
            <w:vAlign w:val="top"/>
          </w:tcPr>
          <w:p w14:paraId="32AFF980">
            <w:pPr>
              <w:keepNext w:val="0"/>
              <w:keepLines w:val="0"/>
              <w:suppressLineNumbers w:val="0"/>
              <w:spacing w:before="0" w:beforeLines="0" w:beforeAutospacing="0" w:after="0" w:afterLines="0" w:afterAutospacing="0" w:line="520" w:lineRule="exact"/>
              <w:ind w:left="0" w:leftChars="0" w:right="0" w:rightChars="0"/>
              <w:jc w:val="center"/>
              <w:rPr>
                <w:rFonts w:hint="eastAsia" w:ascii="仿宋_GB2312" w:eastAsia="仿宋_GB2312"/>
                <w:sz w:val="28"/>
                <w:szCs w:val="28"/>
              </w:rPr>
            </w:pPr>
            <w:r>
              <w:rPr>
                <w:rFonts w:hint="eastAsia" w:ascii="仿宋_GB2312" w:hAnsi="仿宋" w:eastAsia="仿宋_GB2312" w:cs="Times New Roman"/>
                <w:sz w:val="28"/>
                <w:szCs w:val="28"/>
                <w:lang w:eastAsia="zh-CN"/>
              </w:rPr>
              <w:t>天</w:t>
            </w:r>
          </w:p>
        </w:tc>
        <w:tc>
          <w:tcPr>
            <w:tcW w:w="299" w:type="pct"/>
            <w:tcBorders>
              <w:top w:val="nil"/>
              <w:left w:val="nil"/>
              <w:bottom w:val="single" w:color="auto" w:sz="4" w:space="0"/>
              <w:right w:val="single" w:color="auto" w:sz="4" w:space="0"/>
            </w:tcBorders>
            <w:vAlign w:val="top"/>
          </w:tcPr>
          <w:p w14:paraId="5546055F">
            <w:pPr>
              <w:keepNext w:val="0"/>
              <w:keepLines w:val="0"/>
              <w:suppressLineNumbers w:val="0"/>
              <w:spacing w:before="0" w:beforeLines="0" w:beforeAutospacing="0" w:after="0" w:afterLines="0" w:afterAutospacing="0" w:line="520" w:lineRule="exact"/>
              <w:ind w:right="0" w:rightChars="0"/>
              <w:jc w:val="both"/>
              <w:rPr>
                <w:rFonts w:hint="eastAsia" w:ascii="仿宋_GB2312" w:eastAsia="仿宋_GB2312"/>
                <w:sz w:val="28"/>
                <w:szCs w:val="28"/>
              </w:rPr>
            </w:pPr>
            <w:r>
              <w:rPr>
                <w:rFonts w:hint="eastAsia" w:ascii="仿宋_GB2312" w:hAnsi="仿宋" w:eastAsia="仿宋_GB2312" w:cs="Times New Roman"/>
                <w:sz w:val="28"/>
                <w:szCs w:val="28"/>
                <w:lang w:val="en-US" w:eastAsia="zh-CN"/>
              </w:rPr>
              <w:t>10</w:t>
            </w:r>
          </w:p>
        </w:tc>
      </w:tr>
      <w:tr w14:paraId="35EA8DD8">
        <w:tblPrEx>
          <w:tblCellMar>
            <w:top w:w="0" w:type="dxa"/>
            <w:left w:w="108" w:type="dxa"/>
            <w:bottom w:w="0" w:type="dxa"/>
            <w:right w:w="108" w:type="dxa"/>
          </w:tblCellMar>
        </w:tblPrEx>
        <w:trPr>
          <w:trHeight w:val="275" w:hRule="atLeast"/>
        </w:trPr>
        <w:tc>
          <w:tcPr>
            <w:tcW w:w="227" w:type="pct"/>
            <w:tcBorders>
              <w:top w:val="nil"/>
              <w:left w:val="single" w:color="auto" w:sz="4" w:space="0"/>
              <w:bottom w:val="single" w:color="auto" w:sz="4" w:space="0"/>
              <w:right w:val="single" w:color="auto" w:sz="4" w:space="0"/>
            </w:tcBorders>
            <w:noWrap/>
            <w:vAlign w:val="bottom"/>
          </w:tcPr>
          <w:p w14:paraId="4B36DE16">
            <w:pPr>
              <w:spacing w:line="520" w:lineRule="exact"/>
              <w:jc w:val="center"/>
              <w:rPr>
                <w:rFonts w:hint="eastAsia" w:ascii="仿宋_GB2312" w:eastAsia="仿宋_GB2312"/>
                <w:sz w:val="28"/>
                <w:szCs w:val="28"/>
              </w:rPr>
            </w:pPr>
            <w:r>
              <w:rPr>
                <w:rFonts w:hint="eastAsia" w:ascii="仿宋_GB2312" w:eastAsia="仿宋_GB2312"/>
                <w:sz w:val="28"/>
                <w:szCs w:val="28"/>
              </w:rPr>
              <w:t>2</w:t>
            </w:r>
          </w:p>
        </w:tc>
        <w:tc>
          <w:tcPr>
            <w:tcW w:w="3168" w:type="pct"/>
            <w:tcBorders>
              <w:top w:val="nil"/>
              <w:left w:val="nil"/>
              <w:bottom w:val="single" w:color="auto" w:sz="4" w:space="0"/>
              <w:right w:val="single" w:color="auto" w:sz="4" w:space="0"/>
            </w:tcBorders>
            <w:shd w:val="clear" w:color="auto" w:fill="auto"/>
            <w:noWrap/>
            <w:vAlign w:val="bottom"/>
          </w:tcPr>
          <w:p w14:paraId="4E786888">
            <w:pPr>
              <w:keepNext w:val="0"/>
              <w:keepLines w:val="0"/>
              <w:suppressLineNumbers w:val="0"/>
              <w:spacing w:before="0" w:beforeLines="0" w:beforeAutospacing="0" w:after="0" w:afterLines="0" w:afterAutospacing="0" w:line="520" w:lineRule="exact"/>
              <w:ind w:left="0" w:leftChars="0" w:right="0" w:rightChars="0"/>
              <w:rPr>
                <w:rFonts w:hint="eastAsia" w:ascii="仿宋_GB2312" w:hAnsi="Times New Roman" w:eastAsia="仿宋_GB2312" w:cs="Times New Roman"/>
                <w:kern w:val="2"/>
                <w:sz w:val="28"/>
                <w:szCs w:val="28"/>
                <w:lang w:val="en-US" w:eastAsia="zh-CN" w:bidi="ar-SA"/>
              </w:rPr>
            </w:pPr>
            <w:r>
              <w:rPr>
                <w:rFonts w:hint="eastAsia" w:ascii="仿宋_GB2312" w:hAnsi="仿宋" w:eastAsia="仿宋_GB2312" w:cs="Times New Roman"/>
                <w:sz w:val="28"/>
                <w:szCs w:val="28"/>
              </w:rPr>
              <w:t>对工程项目按照合同约定进行验收，验收合格或达到支付条件时，进行资金拨付</w:t>
            </w:r>
          </w:p>
        </w:tc>
        <w:tc>
          <w:tcPr>
            <w:tcW w:w="509" w:type="pct"/>
            <w:tcBorders>
              <w:top w:val="nil"/>
              <w:left w:val="nil"/>
              <w:bottom w:val="single" w:color="auto" w:sz="4" w:space="0"/>
              <w:right w:val="single" w:color="auto" w:sz="4" w:space="0"/>
            </w:tcBorders>
            <w:shd w:val="clear" w:color="auto" w:fill="auto"/>
            <w:noWrap/>
            <w:vAlign w:val="top"/>
          </w:tcPr>
          <w:p w14:paraId="411F322A">
            <w:pPr>
              <w:keepNext w:val="0"/>
              <w:keepLines w:val="0"/>
              <w:suppressLineNumbers w:val="0"/>
              <w:spacing w:before="0" w:beforeLines="0" w:beforeAutospacing="0" w:after="0" w:afterLines="0" w:afterAutospacing="0" w:line="520" w:lineRule="exact"/>
              <w:ind w:left="0" w:leftChars="0" w:right="0" w:rightChars="0"/>
              <w:jc w:val="center"/>
              <w:rPr>
                <w:rFonts w:hint="eastAsia" w:ascii="仿宋_GB2312" w:hAnsi="Times New Roman" w:eastAsia="仿宋_GB2312" w:cs="Times New Roman"/>
                <w:kern w:val="2"/>
                <w:sz w:val="28"/>
                <w:szCs w:val="28"/>
                <w:lang w:val="en-US" w:eastAsia="zh-CN" w:bidi="ar-SA"/>
              </w:rPr>
            </w:pPr>
            <w:r>
              <w:rPr>
                <w:rFonts w:hint="eastAsia" w:ascii="仿宋_GB2312" w:hAnsi="仿宋" w:eastAsia="仿宋_GB2312" w:cs="Times New Roman"/>
                <w:sz w:val="28"/>
                <w:szCs w:val="28"/>
                <w:lang w:eastAsia="zh-CN"/>
              </w:rPr>
              <w:t>定性</w:t>
            </w:r>
          </w:p>
        </w:tc>
        <w:tc>
          <w:tcPr>
            <w:tcW w:w="460" w:type="pct"/>
            <w:tcBorders>
              <w:top w:val="nil"/>
              <w:left w:val="nil"/>
              <w:bottom w:val="single" w:color="auto" w:sz="4" w:space="0"/>
              <w:right w:val="single" w:color="auto" w:sz="4" w:space="0"/>
            </w:tcBorders>
            <w:shd w:val="clear" w:color="auto" w:fill="auto"/>
            <w:noWrap/>
            <w:vAlign w:val="top"/>
          </w:tcPr>
          <w:p w14:paraId="44477260">
            <w:pPr>
              <w:keepNext w:val="0"/>
              <w:keepLines w:val="0"/>
              <w:suppressLineNumbers w:val="0"/>
              <w:spacing w:before="0" w:beforeLines="0" w:beforeAutospacing="0" w:after="0" w:afterLines="0" w:afterAutospacing="0" w:line="520" w:lineRule="exact"/>
              <w:ind w:right="0" w:rightChars="0"/>
              <w:jc w:val="both"/>
              <w:rPr>
                <w:rFonts w:hint="eastAsia" w:ascii="仿宋_GB2312" w:hAnsi="Times New Roman" w:eastAsia="仿宋_GB2312" w:cs="Times New Roman"/>
                <w:kern w:val="2"/>
                <w:sz w:val="28"/>
                <w:szCs w:val="28"/>
                <w:lang w:val="en-US" w:eastAsia="zh-CN" w:bidi="ar-SA"/>
              </w:rPr>
            </w:pPr>
            <w:r>
              <w:rPr>
                <w:rFonts w:hint="eastAsia" w:ascii="仿宋_GB2312" w:hAnsi="仿宋" w:eastAsia="仿宋_GB2312" w:cs="Times New Roman"/>
                <w:sz w:val="28"/>
                <w:szCs w:val="28"/>
                <w:lang w:eastAsia="zh-CN"/>
              </w:rPr>
              <w:t>优</w:t>
            </w:r>
          </w:p>
        </w:tc>
        <w:tc>
          <w:tcPr>
            <w:tcW w:w="334" w:type="pct"/>
            <w:tcBorders>
              <w:top w:val="nil"/>
              <w:left w:val="nil"/>
              <w:bottom w:val="single" w:color="auto" w:sz="4" w:space="0"/>
              <w:right w:val="single" w:color="auto" w:sz="4" w:space="0"/>
            </w:tcBorders>
            <w:shd w:val="clear" w:color="auto" w:fill="auto"/>
            <w:vAlign w:val="top"/>
          </w:tcPr>
          <w:p w14:paraId="3AF41812">
            <w:pPr>
              <w:keepNext w:val="0"/>
              <w:keepLines w:val="0"/>
              <w:suppressLineNumbers w:val="0"/>
              <w:spacing w:before="0" w:beforeLines="0" w:beforeAutospacing="0" w:after="0" w:afterLines="0" w:afterAutospacing="0" w:line="520" w:lineRule="exact"/>
              <w:ind w:left="0" w:leftChars="0" w:right="0" w:rightChars="0" w:firstLine="634" w:firstLineChars="0"/>
              <w:jc w:val="center"/>
              <w:rPr>
                <w:rFonts w:hint="eastAsia" w:ascii="仿宋_GB2312" w:hAnsi="Times New Roman" w:eastAsia="仿宋_GB2312" w:cs="Times New Roman"/>
                <w:kern w:val="2"/>
                <w:sz w:val="28"/>
                <w:szCs w:val="28"/>
                <w:lang w:val="en-US" w:eastAsia="zh-CN" w:bidi="ar-SA"/>
              </w:rPr>
            </w:pPr>
          </w:p>
        </w:tc>
        <w:tc>
          <w:tcPr>
            <w:tcW w:w="299" w:type="pct"/>
            <w:tcBorders>
              <w:top w:val="nil"/>
              <w:left w:val="nil"/>
              <w:bottom w:val="single" w:color="auto" w:sz="4" w:space="0"/>
              <w:right w:val="single" w:color="auto" w:sz="4" w:space="0"/>
            </w:tcBorders>
            <w:shd w:val="clear" w:color="auto" w:fill="auto"/>
            <w:vAlign w:val="top"/>
          </w:tcPr>
          <w:p w14:paraId="3F9DBAC8">
            <w:pPr>
              <w:keepNext w:val="0"/>
              <w:keepLines w:val="0"/>
              <w:suppressLineNumbers w:val="0"/>
              <w:spacing w:before="0" w:beforeLines="0" w:beforeAutospacing="0" w:after="0" w:afterLines="0" w:afterAutospacing="0" w:line="520" w:lineRule="exact"/>
              <w:ind w:right="0" w:rightChars="0"/>
              <w:jc w:val="both"/>
              <w:rPr>
                <w:rFonts w:hint="eastAsia" w:ascii="仿宋_GB2312" w:hAnsi="Times New Roman" w:eastAsia="仿宋_GB2312" w:cs="Times New Roman"/>
                <w:kern w:val="2"/>
                <w:sz w:val="28"/>
                <w:szCs w:val="28"/>
                <w:lang w:val="en-US" w:eastAsia="zh-CN" w:bidi="ar-SA"/>
              </w:rPr>
            </w:pPr>
            <w:r>
              <w:rPr>
                <w:rFonts w:hint="eastAsia" w:ascii="仿宋_GB2312" w:hAnsi="仿宋" w:eastAsia="仿宋_GB2312" w:cs="Times New Roman"/>
                <w:sz w:val="28"/>
                <w:szCs w:val="28"/>
                <w:lang w:val="en-US" w:eastAsia="zh-CN"/>
              </w:rPr>
              <w:t>20</w:t>
            </w:r>
          </w:p>
        </w:tc>
      </w:tr>
      <w:tr w14:paraId="0DF05EF7">
        <w:tblPrEx>
          <w:tblCellMar>
            <w:top w:w="0" w:type="dxa"/>
            <w:left w:w="108" w:type="dxa"/>
            <w:bottom w:w="0" w:type="dxa"/>
            <w:right w:w="108" w:type="dxa"/>
          </w:tblCellMar>
        </w:tblPrEx>
        <w:trPr>
          <w:trHeight w:val="275" w:hRule="atLeast"/>
        </w:trPr>
        <w:tc>
          <w:tcPr>
            <w:tcW w:w="227" w:type="pct"/>
            <w:tcBorders>
              <w:top w:val="nil"/>
              <w:left w:val="single" w:color="auto" w:sz="4" w:space="0"/>
              <w:bottom w:val="single" w:color="auto" w:sz="4" w:space="0"/>
              <w:right w:val="single" w:color="auto" w:sz="4" w:space="0"/>
            </w:tcBorders>
            <w:noWrap/>
            <w:vAlign w:val="bottom"/>
          </w:tcPr>
          <w:p w14:paraId="01762D16">
            <w:pPr>
              <w:spacing w:line="520" w:lineRule="exact"/>
              <w:jc w:val="center"/>
              <w:rPr>
                <w:rFonts w:hint="eastAsia" w:ascii="仿宋_GB2312" w:eastAsia="仿宋_GB2312"/>
                <w:sz w:val="28"/>
                <w:szCs w:val="28"/>
              </w:rPr>
            </w:pPr>
            <w:r>
              <w:rPr>
                <w:rFonts w:hint="eastAsia" w:ascii="仿宋_GB2312" w:eastAsia="仿宋_GB2312"/>
                <w:sz w:val="28"/>
                <w:szCs w:val="28"/>
              </w:rPr>
              <w:t>3</w:t>
            </w:r>
          </w:p>
        </w:tc>
        <w:tc>
          <w:tcPr>
            <w:tcW w:w="3168" w:type="pct"/>
            <w:tcBorders>
              <w:top w:val="nil"/>
              <w:left w:val="nil"/>
              <w:bottom w:val="single" w:color="auto" w:sz="4" w:space="0"/>
              <w:right w:val="single" w:color="auto" w:sz="4" w:space="0"/>
            </w:tcBorders>
            <w:noWrap/>
            <w:vAlign w:val="bottom"/>
          </w:tcPr>
          <w:p w14:paraId="0B05985F">
            <w:pPr>
              <w:keepNext w:val="0"/>
              <w:keepLines w:val="0"/>
              <w:suppressLineNumbers w:val="0"/>
              <w:spacing w:before="0" w:beforeLines="0" w:beforeAutospacing="0" w:after="0" w:afterLines="0" w:afterAutospacing="0" w:line="520" w:lineRule="exact"/>
              <w:ind w:left="0" w:leftChars="0" w:right="0" w:rightChars="0"/>
              <w:rPr>
                <w:rFonts w:hint="eastAsia" w:ascii="仿宋_GB2312" w:eastAsia="仿宋_GB2312"/>
                <w:sz w:val="28"/>
                <w:szCs w:val="28"/>
              </w:rPr>
            </w:pPr>
            <w:r>
              <w:rPr>
                <w:rFonts w:hint="eastAsia" w:ascii="仿宋_GB2312" w:hAnsi="仿宋" w:eastAsia="仿宋_GB2312" w:cs="Times New Roman"/>
                <w:sz w:val="28"/>
                <w:szCs w:val="28"/>
                <w:lang w:eastAsia="zh-CN"/>
              </w:rPr>
              <w:t>推进土地一级开发项目施工进程，保障项目按时入市</w:t>
            </w:r>
          </w:p>
        </w:tc>
        <w:tc>
          <w:tcPr>
            <w:tcW w:w="509" w:type="pct"/>
            <w:tcBorders>
              <w:top w:val="nil"/>
              <w:left w:val="nil"/>
              <w:bottom w:val="single" w:color="auto" w:sz="4" w:space="0"/>
              <w:right w:val="single" w:color="auto" w:sz="4" w:space="0"/>
            </w:tcBorders>
            <w:noWrap/>
            <w:vAlign w:val="top"/>
          </w:tcPr>
          <w:p w14:paraId="2A04D144">
            <w:pPr>
              <w:keepNext w:val="0"/>
              <w:keepLines w:val="0"/>
              <w:suppressLineNumbers w:val="0"/>
              <w:spacing w:before="0" w:beforeLines="0" w:beforeAutospacing="0" w:after="0" w:afterLines="0" w:afterAutospacing="0" w:line="520" w:lineRule="exact"/>
              <w:ind w:left="0" w:leftChars="0" w:right="0" w:rightChars="0"/>
              <w:jc w:val="center"/>
              <w:rPr>
                <w:rFonts w:hint="eastAsia" w:ascii="仿宋_GB2312" w:eastAsia="仿宋_GB2312"/>
                <w:sz w:val="28"/>
                <w:szCs w:val="28"/>
              </w:rPr>
            </w:pPr>
            <w:r>
              <w:rPr>
                <w:rFonts w:hint="eastAsia" w:ascii="仿宋_GB2312" w:hAnsi="仿宋" w:eastAsia="仿宋_GB2312" w:cs="Times New Roman"/>
                <w:sz w:val="28"/>
                <w:szCs w:val="28"/>
                <w:lang w:eastAsia="zh-CN"/>
              </w:rPr>
              <w:t>定性</w:t>
            </w:r>
          </w:p>
        </w:tc>
        <w:tc>
          <w:tcPr>
            <w:tcW w:w="460" w:type="pct"/>
            <w:tcBorders>
              <w:top w:val="nil"/>
              <w:left w:val="nil"/>
              <w:bottom w:val="single" w:color="auto" w:sz="4" w:space="0"/>
              <w:right w:val="single" w:color="auto" w:sz="4" w:space="0"/>
            </w:tcBorders>
            <w:noWrap/>
            <w:vAlign w:val="top"/>
          </w:tcPr>
          <w:p w14:paraId="5241559B">
            <w:pPr>
              <w:keepNext w:val="0"/>
              <w:keepLines w:val="0"/>
              <w:suppressLineNumbers w:val="0"/>
              <w:spacing w:before="0" w:beforeLines="0" w:beforeAutospacing="0" w:after="0" w:afterLines="0" w:afterAutospacing="0" w:line="520" w:lineRule="exact"/>
              <w:ind w:right="0" w:rightChars="0"/>
              <w:jc w:val="both"/>
              <w:rPr>
                <w:rFonts w:hint="eastAsia" w:ascii="仿宋_GB2312" w:eastAsia="仿宋_GB2312"/>
                <w:sz w:val="28"/>
                <w:szCs w:val="28"/>
              </w:rPr>
            </w:pPr>
            <w:r>
              <w:rPr>
                <w:rFonts w:hint="eastAsia" w:ascii="仿宋_GB2312" w:hAnsi="仿宋" w:eastAsia="仿宋_GB2312" w:cs="Times New Roman"/>
                <w:sz w:val="28"/>
                <w:szCs w:val="28"/>
                <w:lang w:eastAsia="zh-CN"/>
              </w:rPr>
              <w:t>优</w:t>
            </w:r>
          </w:p>
        </w:tc>
        <w:tc>
          <w:tcPr>
            <w:tcW w:w="334" w:type="pct"/>
            <w:tcBorders>
              <w:top w:val="nil"/>
              <w:left w:val="nil"/>
              <w:bottom w:val="single" w:color="auto" w:sz="4" w:space="0"/>
              <w:right w:val="single" w:color="auto" w:sz="4" w:space="0"/>
            </w:tcBorders>
            <w:vAlign w:val="top"/>
          </w:tcPr>
          <w:p w14:paraId="6C4608A4">
            <w:pPr>
              <w:keepNext w:val="0"/>
              <w:keepLines w:val="0"/>
              <w:suppressLineNumbers w:val="0"/>
              <w:spacing w:before="0" w:beforeLines="0" w:beforeAutospacing="0" w:after="0" w:afterLines="0" w:afterAutospacing="0" w:line="520" w:lineRule="exact"/>
              <w:ind w:left="0" w:leftChars="0" w:right="0" w:rightChars="0" w:firstLine="634" w:firstLineChars="0"/>
              <w:jc w:val="center"/>
              <w:rPr>
                <w:rFonts w:hint="eastAsia" w:ascii="仿宋_GB2312" w:eastAsia="仿宋_GB2312"/>
                <w:sz w:val="28"/>
                <w:szCs w:val="28"/>
              </w:rPr>
            </w:pPr>
          </w:p>
        </w:tc>
        <w:tc>
          <w:tcPr>
            <w:tcW w:w="299" w:type="pct"/>
            <w:tcBorders>
              <w:top w:val="nil"/>
              <w:left w:val="nil"/>
              <w:bottom w:val="single" w:color="auto" w:sz="4" w:space="0"/>
              <w:right w:val="single" w:color="auto" w:sz="4" w:space="0"/>
            </w:tcBorders>
            <w:vAlign w:val="top"/>
          </w:tcPr>
          <w:p w14:paraId="502C55DB">
            <w:pPr>
              <w:keepNext w:val="0"/>
              <w:keepLines w:val="0"/>
              <w:suppressLineNumbers w:val="0"/>
              <w:spacing w:before="0" w:beforeLines="0" w:beforeAutospacing="0" w:after="0" w:afterLines="0" w:afterAutospacing="0" w:line="520" w:lineRule="exact"/>
              <w:ind w:right="0" w:rightChars="0"/>
              <w:jc w:val="both"/>
              <w:rPr>
                <w:rFonts w:hint="eastAsia" w:ascii="仿宋_GB2312" w:eastAsia="仿宋_GB2312"/>
                <w:sz w:val="28"/>
                <w:szCs w:val="28"/>
              </w:rPr>
            </w:pPr>
            <w:r>
              <w:rPr>
                <w:rFonts w:hint="eastAsia" w:ascii="仿宋_GB2312" w:hAnsi="仿宋" w:eastAsia="仿宋_GB2312" w:cs="Times New Roman"/>
                <w:sz w:val="28"/>
                <w:szCs w:val="28"/>
                <w:lang w:val="en-US" w:eastAsia="zh-CN"/>
              </w:rPr>
              <w:t>20</w:t>
            </w:r>
          </w:p>
        </w:tc>
      </w:tr>
      <w:tr w14:paraId="638D448A">
        <w:tblPrEx>
          <w:tblCellMar>
            <w:top w:w="0" w:type="dxa"/>
            <w:left w:w="108" w:type="dxa"/>
            <w:bottom w:w="0" w:type="dxa"/>
            <w:right w:w="108" w:type="dxa"/>
          </w:tblCellMar>
        </w:tblPrEx>
        <w:trPr>
          <w:trHeight w:val="275" w:hRule="atLeast"/>
        </w:trPr>
        <w:tc>
          <w:tcPr>
            <w:tcW w:w="227" w:type="pct"/>
            <w:tcBorders>
              <w:top w:val="nil"/>
              <w:left w:val="single" w:color="auto" w:sz="4" w:space="0"/>
              <w:bottom w:val="single" w:color="auto" w:sz="4" w:space="0"/>
              <w:right w:val="single" w:color="auto" w:sz="4" w:space="0"/>
            </w:tcBorders>
            <w:noWrap/>
            <w:vAlign w:val="bottom"/>
          </w:tcPr>
          <w:p w14:paraId="209B14F0">
            <w:pPr>
              <w:spacing w:line="520" w:lineRule="exact"/>
              <w:jc w:val="center"/>
              <w:rPr>
                <w:rFonts w:hint="eastAsia" w:ascii="仿宋_GB2312" w:eastAsia="仿宋_GB2312"/>
                <w:sz w:val="28"/>
                <w:szCs w:val="28"/>
              </w:rPr>
            </w:pPr>
            <w:r>
              <w:rPr>
                <w:rFonts w:hint="eastAsia" w:ascii="仿宋_GB2312" w:eastAsia="仿宋_GB2312"/>
                <w:sz w:val="28"/>
                <w:szCs w:val="28"/>
                <w:lang w:val="en-US" w:eastAsia="zh-CN"/>
              </w:rPr>
              <w:t>4</w:t>
            </w:r>
          </w:p>
        </w:tc>
        <w:tc>
          <w:tcPr>
            <w:tcW w:w="3168" w:type="pct"/>
            <w:tcBorders>
              <w:top w:val="nil"/>
              <w:left w:val="nil"/>
              <w:bottom w:val="single" w:color="auto" w:sz="4" w:space="0"/>
              <w:right w:val="single" w:color="auto" w:sz="4" w:space="0"/>
            </w:tcBorders>
            <w:noWrap/>
            <w:vAlign w:val="bottom"/>
          </w:tcPr>
          <w:p w14:paraId="34BC27F5">
            <w:pPr>
              <w:keepNext w:val="0"/>
              <w:keepLines w:val="0"/>
              <w:suppressLineNumbers w:val="0"/>
              <w:spacing w:before="0" w:beforeLines="0" w:beforeAutospacing="0" w:after="0" w:afterLines="0" w:afterAutospacing="0" w:line="520" w:lineRule="exact"/>
              <w:ind w:left="0" w:leftChars="0" w:right="0" w:rightChars="0"/>
              <w:rPr>
                <w:rFonts w:hint="eastAsia" w:ascii="仿宋_GB2312" w:eastAsia="仿宋_GB2312"/>
                <w:sz w:val="28"/>
                <w:szCs w:val="28"/>
              </w:rPr>
            </w:pPr>
            <w:r>
              <w:rPr>
                <w:rFonts w:hint="eastAsia" w:ascii="仿宋_GB2312" w:hAnsi="仿宋" w:eastAsia="仿宋_GB2312" w:cs="Times New Roman"/>
                <w:sz w:val="28"/>
                <w:szCs w:val="28"/>
                <w:lang w:eastAsia="zh-CN"/>
              </w:rPr>
              <w:t>预算控制数</w:t>
            </w:r>
          </w:p>
        </w:tc>
        <w:tc>
          <w:tcPr>
            <w:tcW w:w="509" w:type="pct"/>
            <w:tcBorders>
              <w:top w:val="nil"/>
              <w:left w:val="nil"/>
              <w:bottom w:val="single" w:color="auto" w:sz="4" w:space="0"/>
              <w:right w:val="single" w:color="auto" w:sz="4" w:space="0"/>
            </w:tcBorders>
            <w:noWrap/>
            <w:vAlign w:val="bottom"/>
          </w:tcPr>
          <w:p w14:paraId="26CD02ED">
            <w:pPr>
              <w:keepNext w:val="0"/>
              <w:keepLines w:val="0"/>
              <w:suppressLineNumbers w:val="0"/>
              <w:spacing w:before="0" w:beforeLines="0" w:beforeAutospacing="0" w:after="0" w:afterLines="0" w:afterAutospacing="0" w:line="520" w:lineRule="exact"/>
              <w:ind w:left="0" w:leftChars="0" w:right="0" w:rightChars="0"/>
              <w:jc w:val="center"/>
              <w:rPr>
                <w:rFonts w:hint="eastAsia" w:ascii="仿宋_GB2312" w:eastAsia="仿宋_GB2312"/>
                <w:sz w:val="28"/>
                <w:szCs w:val="28"/>
              </w:rPr>
            </w:pPr>
            <w:r>
              <w:rPr>
                <w:rFonts w:hint="eastAsia" w:ascii="仿宋_GB2312" w:hAnsi="仿宋" w:eastAsia="仿宋_GB2312" w:cs="Times New Roman"/>
                <w:sz w:val="28"/>
                <w:szCs w:val="28"/>
              </w:rPr>
              <w:t>≤</w:t>
            </w:r>
          </w:p>
        </w:tc>
        <w:tc>
          <w:tcPr>
            <w:tcW w:w="460" w:type="pct"/>
            <w:tcBorders>
              <w:top w:val="nil"/>
              <w:left w:val="nil"/>
              <w:bottom w:val="single" w:color="auto" w:sz="4" w:space="0"/>
              <w:right w:val="single" w:color="auto" w:sz="4" w:space="0"/>
            </w:tcBorders>
            <w:noWrap/>
            <w:vAlign w:val="bottom"/>
          </w:tcPr>
          <w:p w14:paraId="5A3FCD48">
            <w:pPr>
              <w:keepNext w:val="0"/>
              <w:keepLines w:val="0"/>
              <w:suppressLineNumbers w:val="0"/>
              <w:spacing w:before="0" w:beforeLines="0" w:beforeAutospacing="0" w:after="0" w:afterLines="0" w:afterAutospacing="0" w:line="520" w:lineRule="exact"/>
              <w:ind w:right="0" w:rightChars="0"/>
              <w:jc w:val="both"/>
              <w:rPr>
                <w:rFonts w:hint="eastAsia" w:ascii="仿宋_GB2312" w:eastAsia="仿宋_GB2312"/>
                <w:sz w:val="28"/>
                <w:szCs w:val="28"/>
              </w:rPr>
            </w:pPr>
            <w:r>
              <w:rPr>
                <w:rFonts w:hint="eastAsia" w:ascii="仿宋_GB2312" w:hAnsi="仿宋" w:eastAsia="仿宋_GB2312" w:cs="Times New Roman"/>
                <w:sz w:val="28"/>
                <w:szCs w:val="28"/>
                <w:lang w:val="en-US" w:eastAsia="zh-CN"/>
              </w:rPr>
              <w:t>349.70</w:t>
            </w:r>
          </w:p>
        </w:tc>
        <w:tc>
          <w:tcPr>
            <w:tcW w:w="334" w:type="pct"/>
            <w:tcBorders>
              <w:top w:val="nil"/>
              <w:left w:val="nil"/>
              <w:bottom w:val="single" w:color="auto" w:sz="4" w:space="0"/>
              <w:right w:val="single" w:color="auto" w:sz="4" w:space="0"/>
            </w:tcBorders>
            <w:vAlign w:val="bottom"/>
          </w:tcPr>
          <w:p w14:paraId="25555FCF">
            <w:pPr>
              <w:keepNext w:val="0"/>
              <w:keepLines w:val="0"/>
              <w:suppressLineNumbers w:val="0"/>
              <w:spacing w:before="0" w:beforeLines="0" w:beforeAutospacing="0" w:after="0" w:afterLines="0" w:afterAutospacing="0" w:line="520" w:lineRule="exact"/>
              <w:ind w:right="0" w:rightChars="0"/>
              <w:jc w:val="both"/>
              <w:rPr>
                <w:rFonts w:hint="eastAsia" w:ascii="仿宋_GB2312" w:eastAsia="仿宋_GB2312"/>
                <w:sz w:val="28"/>
                <w:szCs w:val="28"/>
              </w:rPr>
            </w:pPr>
            <w:r>
              <w:rPr>
                <w:rFonts w:hint="eastAsia" w:ascii="仿宋_GB2312" w:hAnsi="仿宋" w:eastAsia="仿宋_GB2312" w:cs="Times New Roman"/>
                <w:sz w:val="28"/>
                <w:szCs w:val="28"/>
                <w:lang w:eastAsia="zh-CN"/>
              </w:rPr>
              <w:t>万元</w:t>
            </w:r>
          </w:p>
        </w:tc>
        <w:tc>
          <w:tcPr>
            <w:tcW w:w="299" w:type="pct"/>
            <w:tcBorders>
              <w:top w:val="nil"/>
              <w:left w:val="nil"/>
              <w:bottom w:val="single" w:color="auto" w:sz="4" w:space="0"/>
              <w:right w:val="single" w:color="auto" w:sz="4" w:space="0"/>
            </w:tcBorders>
            <w:vAlign w:val="top"/>
          </w:tcPr>
          <w:p w14:paraId="796517F3">
            <w:pPr>
              <w:keepNext w:val="0"/>
              <w:keepLines w:val="0"/>
              <w:suppressLineNumbers w:val="0"/>
              <w:spacing w:before="0" w:beforeLines="0" w:beforeAutospacing="0" w:after="0" w:afterLines="0" w:afterAutospacing="0" w:line="520" w:lineRule="exact"/>
              <w:ind w:right="0" w:rightChars="0"/>
              <w:jc w:val="both"/>
              <w:rPr>
                <w:rFonts w:hint="eastAsia" w:ascii="仿宋_GB2312" w:eastAsia="仿宋_GB2312"/>
                <w:sz w:val="28"/>
                <w:szCs w:val="28"/>
              </w:rPr>
            </w:pPr>
            <w:r>
              <w:rPr>
                <w:rFonts w:hint="eastAsia" w:ascii="仿宋_GB2312" w:hAnsi="仿宋" w:eastAsia="仿宋_GB2312" w:cs="Times New Roman"/>
                <w:sz w:val="28"/>
                <w:szCs w:val="28"/>
                <w:lang w:val="en-US" w:eastAsia="zh-CN"/>
              </w:rPr>
              <w:t>10</w:t>
            </w:r>
          </w:p>
        </w:tc>
      </w:tr>
      <w:tr w14:paraId="108718BC">
        <w:tblPrEx>
          <w:tblCellMar>
            <w:top w:w="0" w:type="dxa"/>
            <w:left w:w="108" w:type="dxa"/>
            <w:bottom w:w="0" w:type="dxa"/>
            <w:right w:w="108" w:type="dxa"/>
          </w:tblCellMar>
        </w:tblPrEx>
        <w:trPr>
          <w:trHeight w:val="275" w:hRule="atLeast"/>
        </w:trPr>
        <w:tc>
          <w:tcPr>
            <w:tcW w:w="227" w:type="pct"/>
            <w:tcBorders>
              <w:top w:val="single" w:color="auto" w:sz="4" w:space="0"/>
              <w:left w:val="single" w:color="auto" w:sz="4" w:space="0"/>
              <w:bottom w:val="single" w:color="auto" w:sz="4" w:space="0"/>
              <w:right w:val="single" w:color="auto" w:sz="4" w:space="0"/>
            </w:tcBorders>
            <w:noWrap/>
            <w:vAlign w:val="bottom"/>
          </w:tcPr>
          <w:p w14:paraId="6B172B27">
            <w:pPr>
              <w:spacing w:line="520" w:lineRule="exact"/>
              <w:jc w:val="center"/>
              <w:rPr>
                <w:rFonts w:hint="default" w:ascii="仿宋_GB2312" w:eastAsia="仿宋_GB2312"/>
                <w:sz w:val="28"/>
                <w:szCs w:val="28"/>
                <w:lang w:val="en-US" w:eastAsia="zh-CN"/>
              </w:rPr>
            </w:pPr>
            <w:bookmarkStart w:id="3" w:name="_Toc268005761"/>
            <w:r>
              <w:rPr>
                <w:rFonts w:hint="eastAsia" w:ascii="仿宋_GB2312" w:eastAsia="仿宋_GB2312"/>
                <w:sz w:val="28"/>
                <w:szCs w:val="28"/>
                <w:lang w:val="en-US" w:eastAsia="zh-CN"/>
              </w:rPr>
              <w:t>5</w:t>
            </w:r>
          </w:p>
        </w:tc>
        <w:tc>
          <w:tcPr>
            <w:tcW w:w="3168" w:type="pct"/>
            <w:tcBorders>
              <w:top w:val="single" w:color="auto" w:sz="4" w:space="0"/>
              <w:left w:val="single" w:color="auto" w:sz="4" w:space="0"/>
              <w:bottom w:val="single" w:color="auto" w:sz="4" w:space="0"/>
              <w:right w:val="single" w:color="auto" w:sz="4" w:space="0"/>
            </w:tcBorders>
            <w:noWrap/>
            <w:vAlign w:val="bottom"/>
          </w:tcPr>
          <w:p w14:paraId="4FD4ADDC">
            <w:pPr>
              <w:keepNext w:val="0"/>
              <w:keepLines w:val="0"/>
              <w:suppressLineNumbers w:val="0"/>
              <w:spacing w:before="0" w:beforeLines="0" w:beforeAutospacing="0" w:after="0" w:afterLines="0" w:afterAutospacing="0" w:line="520" w:lineRule="exact"/>
              <w:ind w:left="0" w:leftChars="0" w:right="0" w:rightChars="0"/>
              <w:rPr>
                <w:rFonts w:hint="eastAsia" w:ascii="仿宋_GB2312" w:hAnsi="仿宋" w:eastAsia="仿宋_GB2312" w:cs="Times New Roman"/>
                <w:sz w:val="28"/>
                <w:szCs w:val="28"/>
                <w:lang w:eastAsia="zh-CN"/>
              </w:rPr>
            </w:pPr>
            <w:r>
              <w:rPr>
                <w:rFonts w:hint="eastAsia" w:ascii="仿宋_GB2312" w:hAnsi="仿宋" w:eastAsia="仿宋_GB2312" w:cs="Times New Roman"/>
                <w:sz w:val="28"/>
                <w:szCs w:val="28"/>
                <w:lang w:val="en-US" w:eastAsia="zh-CN"/>
              </w:rPr>
              <w:t>拉动区域经济增长，加快土地入市</w:t>
            </w:r>
          </w:p>
        </w:tc>
        <w:tc>
          <w:tcPr>
            <w:tcW w:w="509" w:type="pct"/>
            <w:tcBorders>
              <w:top w:val="single" w:color="auto" w:sz="4" w:space="0"/>
              <w:left w:val="single" w:color="auto" w:sz="4" w:space="0"/>
              <w:bottom w:val="single" w:color="auto" w:sz="4" w:space="0"/>
              <w:right w:val="single" w:color="auto" w:sz="4" w:space="0"/>
            </w:tcBorders>
            <w:noWrap/>
            <w:vAlign w:val="top"/>
          </w:tcPr>
          <w:p w14:paraId="40891342">
            <w:pPr>
              <w:keepNext w:val="0"/>
              <w:keepLines w:val="0"/>
              <w:suppressLineNumbers w:val="0"/>
              <w:spacing w:before="0" w:beforeLines="0" w:beforeAutospacing="0" w:after="0" w:afterLines="0" w:afterAutospacing="0" w:line="520" w:lineRule="exact"/>
              <w:ind w:left="0" w:leftChars="0" w:right="0" w:rightChars="0"/>
              <w:jc w:val="center"/>
              <w:rPr>
                <w:rFonts w:hint="eastAsia" w:ascii="仿宋_GB2312" w:hAnsi="仿宋" w:eastAsia="仿宋_GB2312" w:cs="Times New Roman"/>
                <w:sz w:val="28"/>
                <w:szCs w:val="28"/>
              </w:rPr>
            </w:pPr>
            <w:r>
              <w:rPr>
                <w:rFonts w:hint="eastAsia" w:ascii="仿宋_GB2312" w:hAnsi="仿宋" w:eastAsia="仿宋_GB2312" w:cs="Times New Roman"/>
                <w:sz w:val="28"/>
                <w:szCs w:val="28"/>
                <w:lang w:val="en-US" w:eastAsia="zh-CN"/>
              </w:rPr>
              <w:t>定性</w:t>
            </w:r>
          </w:p>
        </w:tc>
        <w:tc>
          <w:tcPr>
            <w:tcW w:w="460" w:type="pct"/>
            <w:tcBorders>
              <w:top w:val="single" w:color="auto" w:sz="4" w:space="0"/>
              <w:left w:val="single" w:color="auto" w:sz="4" w:space="0"/>
              <w:bottom w:val="single" w:color="auto" w:sz="4" w:space="0"/>
              <w:right w:val="single" w:color="auto" w:sz="4" w:space="0"/>
            </w:tcBorders>
            <w:noWrap/>
            <w:vAlign w:val="top"/>
          </w:tcPr>
          <w:p w14:paraId="284F421A">
            <w:pPr>
              <w:keepNext w:val="0"/>
              <w:keepLines w:val="0"/>
              <w:suppressLineNumbers w:val="0"/>
              <w:spacing w:before="0" w:beforeLines="0" w:beforeAutospacing="0" w:after="0" w:afterLines="0" w:afterAutospacing="0" w:line="520" w:lineRule="exact"/>
              <w:ind w:right="0" w:rightChars="0"/>
              <w:jc w:val="both"/>
              <w:rPr>
                <w:rFonts w:hint="eastAsia" w:ascii="仿宋_GB2312" w:hAnsi="仿宋" w:eastAsia="仿宋_GB2312" w:cs="Times New Roman"/>
                <w:sz w:val="28"/>
                <w:szCs w:val="28"/>
                <w:lang w:val="en-US" w:eastAsia="zh-CN"/>
              </w:rPr>
            </w:pPr>
            <w:r>
              <w:rPr>
                <w:rFonts w:hint="eastAsia" w:ascii="仿宋_GB2312" w:hAnsi="仿宋" w:eastAsia="仿宋_GB2312" w:cs="Times New Roman"/>
                <w:sz w:val="28"/>
                <w:szCs w:val="28"/>
                <w:lang w:val="en-US" w:eastAsia="zh-CN"/>
              </w:rPr>
              <w:t>优</w:t>
            </w:r>
          </w:p>
        </w:tc>
        <w:tc>
          <w:tcPr>
            <w:tcW w:w="334" w:type="pct"/>
            <w:tcBorders>
              <w:top w:val="single" w:color="auto" w:sz="4" w:space="0"/>
              <w:left w:val="single" w:color="auto" w:sz="4" w:space="0"/>
              <w:bottom w:val="single" w:color="auto" w:sz="4" w:space="0"/>
              <w:right w:val="single" w:color="auto" w:sz="4" w:space="0"/>
            </w:tcBorders>
            <w:vAlign w:val="top"/>
          </w:tcPr>
          <w:p w14:paraId="67D0A9BB">
            <w:pPr>
              <w:keepNext w:val="0"/>
              <w:keepLines w:val="0"/>
              <w:suppressLineNumbers w:val="0"/>
              <w:spacing w:before="0" w:beforeLines="0" w:beforeAutospacing="0" w:after="0" w:afterLines="0" w:afterAutospacing="0" w:line="520" w:lineRule="exact"/>
              <w:ind w:left="0" w:leftChars="0" w:right="0" w:rightChars="0" w:firstLine="634" w:firstLineChars="0"/>
              <w:jc w:val="center"/>
              <w:rPr>
                <w:rFonts w:hint="eastAsia" w:ascii="仿宋_GB2312" w:hAnsi="仿宋" w:eastAsia="仿宋_GB2312" w:cs="Times New Roman"/>
                <w:sz w:val="28"/>
                <w:szCs w:val="28"/>
                <w:lang w:eastAsia="zh-CN"/>
              </w:rPr>
            </w:pPr>
          </w:p>
        </w:tc>
        <w:tc>
          <w:tcPr>
            <w:tcW w:w="299" w:type="pct"/>
            <w:tcBorders>
              <w:top w:val="single" w:color="auto" w:sz="4" w:space="0"/>
              <w:left w:val="single" w:color="auto" w:sz="4" w:space="0"/>
              <w:bottom w:val="single" w:color="auto" w:sz="4" w:space="0"/>
              <w:right w:val="single" w:color="auto" w:sz="4" w:space="0"/>
            </w:tcBorders>
            <w:vAlign w:val="top"/>
          </w:tcPr>
          <w:p w14:paraId="3DCE450B">
            <w:pPr>
              <w:keepNext w:val="0"/>
              <w:keepLines w:val="0"/>
              <w:suppressLineNumbers w:val="0"/>
              <w:spacing w:before="0" w:beforeLines="0" w:beforeAutospacing="0" w:after="0" w:afterLines="0" w:afterAutospacing="0" w:line="520" w:lineRule="exact"/>
              <w:ind w:right="0" w:rightChars="0"/>
              <w:jc w:val="both"/>
              <w:rPr>
                <w:rFonts w:hint="eastAsia" w:ascii="仿宋_GB2312" w:hAnsi="仿宋" w:eastAsia="仿宋_GB2312" w:cs="Times New Roman"/>
                <w:sz w:val="28"/>
                <w:szCs w:val="28"/>
                <w:lang w:val="en-US" w:eastAsia="zh-CN"/>
              </w:rPr>
            </w:pPr>
            <w:r>
              <w:rPr>
                <w:rFonts w:hint="eastAsia" w:ascii="仿宋_GB2312" w:hAnsi="仿宋" w:eastAsia="仿宋_GB2312" w:cs="Times New Roman"/>
                <w:sz w:val="28"/>
                <w:szCs w:val="28"/>
                <w:lang w:val="en-US" w:eastAsia="zh-CN"/>
              </w:rPr>
              <w:t>10</w:t>
            </w:r>
          </w:p>
        </w:tc>
      </w:tr>
      <w:tr w14:paraId="451E767A">
        <w:tblPrEx>
          <w:tblCellMar>
            <w:top w:w="0" w:type="dxa"/>
            <w:left w:w="108" w:type="dxa"/>
            <w:bottom w:w="0" w:type="dxa"/>
            <w:right w:w="108" w:type="dxa"/>
          </w:tblCellMar>
        </w:tblPrEx>
        <w:trPr>
          <w:trHeight w:val="275" w:hRule="atLeast"/>
        </w:trPr>
        <w:tc>
          <w:tcPr>
            <w:tcW w:w="227" w:type="pct"/>
            <w:tcBorders>
              <w:top w:val="single" w:color="auto" w:sz="4" w:space="0"/>
              <w:left w:val="single" w:color="auto" w:sz="4" w:space="0"/>
              <w:bottom w:val="single" w:color="auto" w:sz="4" w:space="0"/>
              <w:right w:val="single" w:color="auto" w:sz="4" w:space="0"/>
            </w:tcBorders>
            <w:noWrap/>
            <w:vAlign w:val="bottom"/>
          </w:tcPr>
          <w:p w14:paraId="4786F678">
            <w:pPr>
              <w:spacing w:line="520" w:lineRule="exact"/>
              <w:jc w:val="center"/>
              <w:rPr>
                <w:rFonts w:hint="default" w:ascii="仿宋_GB2312" w:eastAsia="仿宋_GB2312"/>
                <w:sz w:val="28"/>
                <w:szCs w:val="28"/>
                <w:lang w:val="en-US" w:eastAsia="zh-CN"/>
              </w:rPr>
            </w:pPr>
            <w:r>
              <w:rPr>
                <w:rFonts w:hint="eastAsia" w:ascii="仿宋_GB2312" w:eastAsia="仿宋_GB2312"/>
                <w:sz w:val="28"/>
                <w:szCs w:val="28"/>
                <w:lang w:val="en-US" w:eastAsia="zh-CN"/>
              </w:rPr>
              <w:t>6</w:t>
            </w:r>
          </w:p>
        </w:tc>
        <w:tc>
          <w:tcPr>
            <w:tcW w:w="3168" w:type="pct"/>
            <w:tcBorders>
              <w:top w:val="single" w:color="auto" w:sz="4" w:space="0"/>
              <w:left w:val="single" w:color="auto" w:sz="4" w:space="0"/>
              <w:bottom w:val="single" w:color="auto" w:sz="4" w:space="0"/>
              <w:right w:val="single" w:color="auto" w:sz="4" w:space="0"/>
            </w:tcBorders>
            <w:noWrap/>
            <w:vAlign w:val="bottom"/>
          </w:tcPr>
          <w:p w14:paraId="4EED6498">
            <w:pPr>
              <w:keepNext w:val="0"/>
              <w:keepLines w:val="0"/>
              <w:suppressLineNumbers w:val="0"/>
              <w:spacing w:before="0" w:beforeLines="0" w:beforeAutospacing="0" w:after="0" w:afterLines="0" w:afterAutospacing="0" w:line="520" w:lineRule="exact"/>
              <w:ind w:left="0" w:leftChars="0" w:right="0" w:rightChars="0"/>
              <w:rPr>
                <w:rFonts w:hint="eastAsia" w:ascii="仿宋_GB2312" w:hAnsi="仿宋" w:eastAsia="仿宋_GB2312" w:cs="Times New Roman"/>
                <w:sz w:val="28"/>
                <w:szCs w:val="28"/>
                <w:lang w:eastAsia="zh-CN"/>
              </w:rPr>
            </w:pPr>
            <w:r>
              <w:rPr>
                <w:rFonts w:hint="eastAsia" w:ascii="仿宋_GB2312" w:hAnsi="仿宋" w:eastAsia="仿宋_GB2312" w:cs="Times New Roman"/>
                <w:sz w:val="28"/>
                <w:szCs w:val="28"/>
                <w:lang w:val="en-US" w:eastAsia="zh-CN"/>
              </w:rPr>
              <w:t>改善周边市政道路情况、提高居民居住条件</w:t>
            </w:r>
          </w:p>
        </w:tc>
        <w:tc>
          <w:tcPr>
            <w:tcW w:w="509" w:type="pct"/>
            <w:tcBorders>
              <w:top w:val="single" w:color="auto" w:sz="4" w:space="0"/>
              <w:left w:val="single" w:color="auto" w:sz="4" w:space="0"/>
              <w:bottom w:val="single" w:color="auto" w:sz="4" w:space="0"/>
              <w:right w:val="single" w:color="auto" w:sz="4" w:space="0"/>
            </w:tcBorders>
            <w:noWrap/>
            <w:vAlign w:val="top"/>
          </w:tcPr>
          <w:p w14:paraId="786C1A69">
            <w:pPr>
              <w:keepNext w:val="0"/>
              <w:keepLines w:val="0"/>
              <w:suppressLineNumbers w:val="0"/>
              <w:spacing w:before="0" w:beforeLines="0" w:beforeAutospacing="0" w:after="0" w:afterLines="0" w:afterAutospacing="0" w:line="520" w:lineRule="exact"/>
              <w:ind w:left="0" w:leftChars="0" w:right="0" w:rightChars="0"/>
              <w:jc w:val="center"/>
              <w:rPr>
                <w:rFonts w:hint="eastAsia" w:ascii="仿宋_GB2312" w:hAnsi="仿宋" w:eastAsia="仿宋_GB2312" w:cs="Times New Roman"/>
                <w:sz w:val="28"/>
                <w:szCs w:val="28"/>
              </w:rPr>
            </w:pPr>
            <w:r>
              <w:rPr>
                <w:rFonts w:hint="eastAsia" w:ascii="仿宋_GB2312" w:hAnsi="仿宋" w:eastAsia="仿宋_GB2312" w:cs="Times New Roman"/>
                <w:sz w:val="28"/>
                <w:szCs w:val="28"/>
                <w:lang w:val="en-US" w:eastAsia="zh-CN"/>
              </w:rPr>
              <w:t>定性</w:t>
            </w:r>
          </w:p>
        </w:tc>
        <w:tc>
          <w:tcPr>
            <w:tcW w:w="460" w:type="pct"/>
            <w:tcBorders>
              <w:top w:val="single" w:color="auto" w:sz="4" w:space="0"/>
              <w:left w:val="single" w:color="auto" w:sz="4" w:space="0"/>
              <w:bottom w:val="single" w:color="auto" w:sz="4" w:space="0"/>
              <w:right w:val="single" w:color="auto" w:sz="4" w:space="0"/>
            </w:tcBorders>
            <w:noWrap/>
            <w:vAlign w:val="top"/>
          </w:tcPr>
          <w:p w14:paraId="0158634F">
            <w:pPr>
              <w:keepNext w:val="0"/>
              <w:keepLines w:val="0"/>
              <w:suppressLineNumbers w:val="0"/>
              <w:spacing w:before="0" w:beforeLines="0" w:beforeAutospacing="0" w:after="0" w:afterLines="0" w:afterAutospacing="0" w:line="520" w:lineRule="exact"/>
              <w:ind w:right="0" w:rightChars="0"/>
              <w:jc w:val="both"/>
              <w:rPr>
                <w:rFonts w:hint="eastAsia" w:ascii="仿宋_GB2312" w:hAnsi="仿宋" w:eastAsia="仿宋_GB2312" w:cs="Times New Roman"/>
                <w:sz w:val="28"/>
                <w:szCs w:val="28"/>
                <w:lang w:val="en-US" w:eastAsia="zh-CN"/>
              </w:rPr>
            </w:pPr>
            <w:r>
              <w:rPr>
                <w:rFonts w:hint="eastAsia" w:ascii="仿宋_GB2312" w:hAnsi="仿宋" w:eastAsia="仿宋_GB2312" w:cs="Times New Roman"/>
                <w:sz w:val="28"/>
                <w:szCs w:val="28"/>
                <w:lang w:val="en-US" w:eastAsia="zh-CN"/>
              </w:rPr>
              <w:t>优</w:t>
            </w:r>
          </w:p>
        </w:tc>
        <w:tc>
          <w:tcPr>
            <w:tcW w:w="334" w:type="pct"/>
            <w:tcBorders>
              <w:top w:val="single" w:color="auto" w:sz="4" w:space="0"/>
              <w:left w:val="single" w:color="auto" w:sz="4" w:space="0"/>
              <w:bottom w:val="single" w:color="auto" w:sz="4" w:space="0"/>
              <w:right w:val="single" w:color="auto" w:sz="4" w:space="0"/>
            </w:tcBorders>
            <w:vAlign w:val="top"/>
          </w:tcPr>
          <w:p w14:paraId="7BA2CD7B">
            <w:pPr>
              <w:keepNext w:val="0"/>
              <w:keepLines w:val="0"/>
              <w:suppressLineNumbers w:val="0"/>
              <w:spacing w:before="0" w:beforeLines="0" w:beforeAutospacing="0" w:after="0" w:afterLines="0" w:afterAutospacing="0" w:line="520" w:lineRule="exact"/>
              <w:ind w:left="0" w:leftChars="0" w:right="0" w:rightChars="0" w:firstLine="634" w:firstLineChars="0"/>
              <w:jc w:val="center"/>
              <w:rPr>
                <w:rFonts w:hint="eastAsia" w:ascii="仿宋_GB2312" w:hAnsi="仿宋" w:eastAsia="仿宋_GB2312" w:cs="Times New Roman"/>
                <w:sz w:val="28"/>
                <w:szCs w:val="28"/>
                <w:lang w:eastAsia="zh-CN"/>
              </w:rPr>
            </w:pPr>
          </w:p>
        </w:tc>
        <w:tc>
          <w:tcPr>
            <w:tcW w:w="299" w:type="pct"/>
            <w:tcBorders>
              <w:top w:val="single" w:color="auto" w:sz="4" w:space="0"/>
              <w:left w:val="single" w:color="auto" w:sz="4" w:space="0"/>
              <w:bottom w:val="single" w:color="auto" w:sz="4" w:space="0"/>
              <w:right w:val="single" w:color="auto" w:sz="4" w:space="0"/>
            </w:tcBorders>
            <w:vAlign w:val="top"/>
          </w:tcPr>
          <w:p w14:paraId="38A78BF9">
            <w:pPr>
              <w:keepNext w:val="0"/>
              <w:keepLines w:val="0"/>
              <w:suppressLineNumbers w:val="0"/>
              <w:spacing w:before="0" w:beforeLines="0" w:beforeAutospacing="0" w:after="0" w:afterLines="0" w:afterAutospacing="0" w:line="520" w:lineRule="exact"/>
              <w:ind w:right="0" w:rightChars="0"/>
              <w:jc w:val="both"/>
              <w:rPr>
                <w:rFonts w:hint="eastAsia" w:ascii="仿宋_GB2312" w:hAnsi="仿宋" w:eastAsia="仿宋_GB2312" w:cs="Times New Roman"/>
                <w:sz w:val="28"/>
                <w:szCs w:val="28"/>
                <w:lang w:val="en-US" w:eastAsia="zh-CN"/>
              </w:rPr>
            </w:pPr>
            <w:r>
              <w:rPr>
                <w:rFonts w:hint="eastAsia" w:ascii="仿宋_GB2312" w:hAnsi="仿宋" w:eastAsia="仿宋_GB2312" w:cs="Times New Roman"/>
                <w:sz w:val="28"/>
                <w:szCs w:val="28"/>
                <w:lang w:val="en-US" w:eastAsia="zh-CN"/>
              </w:rPr>
              <w:t>10</w:t>
            </w:r>
          </w:p>
        </w:tc>
      </w:tr>
      <w:tr w14:paraId="0B459AC7">
        <w:tblPrEx>
          <w:tblCellMar>
            <w:top w:w="0" w:type="dxa"/>
            <w:left w:w="108" w:type="dxa"/>
            <w:bottom w:w="0" w:type="dxa"/>
            <w:right w:w="108" w:type="dxa"/>
          </w:tblCellMar>
        </w:tblPrEx>
        <w:trPr>
          <w:trHeight w:val="275" w:hRule="atLeast"/>
        </w:trPr>
        <w:tc>
          <w:tcPr>
            <w:tcW w:w="227" w:type="pct"/>
            <w:tcBorders>
              <w:top w:val="single" w:color="auto" w:sz="4" w:space="0"/>
              <w:left w:val="single" w:color="auto" w:sz="4" w:space="0"/>
              <w:bottom w:val="single" w:color="auto" w:sz="4" w:space="0"/>
              <w:right w:val="single" w:color="auto" w:sz="4" w:space="0"/>
            </w:tcBorders>
            <w:noWrap/>
            <w:vAlign w:val="bottom"/>
          </w:tcPr>
          <w:p w14:paraId="443D08B5">
            <w:pPr>
              <w:spacing w:line="520" w:lineRule="exact"/>
              <w:jc w:val="center"/>
              <w:rPr>
                <w:rFonts w:hint="default" w:ascii="仿宋_GB2312" w:eastAsia="仿宋_GB2312"/>
                <w:sz w:val="28"/>
                <w:szCs w:val="28"/>
                <w:lang w:val="en-US" w:eastAsia="zh-CN"/>
              </w:rPr>
            </w:pPr>
            <w:r>
              <w:rPr>
                <w:rFonts w:hint="eastAsia" w:ascii="仿宋_GB2312" w:eastAsia="仿宋_GB2312"/>
                <w:sz w:val="28"/>
                <w:szCs w:val="28"/>
                <w:lang w:val="en-US" w:eastAsia="zh-CN"/>
              </w:rPr>
              <w:t>7</w:t>
            </w:r>
          </w:p>
        </w:tc>
        <w:tc>
          <w:tcPr>
            <w:tcW w:w="3168" w:type="pct"/>
            <w:tcBorders>
              <w:top w:val="single" w:color="auto" w:sz="4" w:space="0"/>
              <w:left w:val="single" w:color="auto" w:sz="4" w:space="0"/>
              <w:bottom w:val="single" w:color="auto" w:sz="4" w:space="0"/>
              <w:right w:val="single" w:color="auto" w:sz="4" w:space="0"/>
            </w:tcBorders>
            <w:noWrap/>
            <w:vAlign w:val="bottom"/>
          </w:tcPr>
          <w:p w14:paraId="79A915FB">
            <w:pPr>
              <w:keepNext w:val="0"/>
              <w:keepLines w:val="0"/>
              <w:suppressLineNumbers w:val="0"/>
              <w:spacing w:before="0" w:beforeLines="0" w:beforeAutospacing="0" w:after="0" w:afterLines="0" w:afterAutospacing="0" w:line="520" w:lineRule="exact"/>
              <w:ind w:left="0" w:leftChars="0" w:right="0" w:rightChars="0"/>
              <w:rPr>
                <w:rFonts w:hint="eastAsia" w:ascii="仿宋_GB2312" w:hAnsi="仿宋" w:eastAsia="仿宋_GB2312" w:cs="Times New Roman"/>
                <w:sz w:val="28"/>
                <w:szCs w:val="28"/>
                <w:lang w:eastAsia="zh-CN"/>
              </w:rPr>
            </w:pPr>
            <w:r>
              <w:rPr>
                <w:rFonts w:hint="eastAsia" w:ascii="仿宋_GB2312" w:hAnsi="仿宋" w:eastAsia="仿宋_GB2312" w:cs="Times New Roman"/>
                <w:sz w:val="28"/>
                <w:szCs w:val="28"/>
                <w:lang w:val="en-US" w:eastAsia="zh-CN"/>
              </w:rPr>
              <w:t>项目的建设符合镇域发展规划，改善了群众居住条件，集约了土地利用方式。</w:t>
            </w:r>
          </w:p>
        </w:tc>
        <w:tc>
          <w:tcPr>
            <w:tcW w:w="509" w:type="pct"/>
            <w:tcBorders>
              <w:top w:val="single" w:color="auto" w:sz="4" w:space="0"/>
              <w:left w:val="single" w:color="auto" w:sz="4" w:space="0"/>
              <w:bottom w:val="single" w:color="auto" w:sz="4" w:space="0"/>
              <w:right w:val="single" w:color="auto" w:sz="4" w:space="0"/>
            </w:tcBorders>
            <w:noWrap/>
            <w:vAlign w:val="top"/>
          </w:tcPr>
          <w:p w14:paraId="1DAC0C60">
            <w:pPr>
              <w:keepNext w:val="0"/>
              <w:keepLines w:val="0"/>
              <w:suppressLineNumbers w:val="0"/>
              <w:spacing w:before="0" w:beforeLines="0" w:beforeAutospacing="0" w:after="0" w:afterLines="0" w:afterAutospacing="0" w:line="520" w:lineRule="exact"/>
              <w:ind w:left="0" w:leftChars="0" w:right="0" w:rightChars="0"/>
              <w:jc w:val="center"/>
              <w:rPr>
                <w:rFonts w:hint="eastAsia" w:ascii="仿宋_GB2312" w:hAnsi="仿宋" w:eastAsia="仿宋_GB2312" w:cs="Times New Roman"/>
                <w:sz w:val="28"/>
                <w:szCs w:val="28"/>
              </w:rPr>
            </w:pPr>
            <w:r>
              <w:rPr>
                <w:rFonts w:hint="eastAsia" w:ascii="仿宋_GB2312" w:hAnsi="仿宋" w:eastAsia="仿宋_GB2312" w:cs="Times New Roman"/>
                <w:sz w:val="28"/>
                <w:szCs w:val="28"/>
                <w:lang w:val="en-US" w:eastAsia="zh-CN"/>
              </w:rPr>
              <w:t>定性</w:t>
            </w:r>
          </w:p>
        </w:tc>
        <w:tc>
          <w:tcPr>
            <w:tcW w:w="460" w:type="pct"/>
            <w:tcBorders>
              <w:top w:val="single" w:color="auto" w:sz="4" w:space="0"/>
              <w:left w:val="single" w:color="auto" w:sz="4" w:space="0"/>
              <w:bottom w:val="single" w:color="auto" w:sz="4" w:space="0"/>
              <w:right w:val="single" w:color="auto" w:sz="4" w:space="0"/>
            </w:tcBorders>
            <w:noWrap/>
            <w:vAlign w:val="top"/>
          </w:tcPr>
          <w:p w14:paraId="536123CC">
            <w:pPr>
              <w:keepNext w:val="0"/>
              <w:keepLines w:val="0"/>
              <w:suppressLineNumbers w:val="0"/>
              <w:spacing w:before="0" w:beforeLines="0" w:beforeAutospacing="0" w:after="0" w:afterLines="0" w:afterAutospacing="0" w:line="520" w:lineRule="exact"/>
              <w:ind w:right="0" w:rightChars="0"/>
              <w:jc w:val="both"/>
              <w:rPr>
                <w:rFonts w:hint="eastAsia" w:ascii="仿宋_GB2312" w:hAnsi="仿宋" w:eastAsia="仿宋_GB2312" w:cs="Times New Roman"/>
                <w:sz w:val="28"/>
                <w:szCs w:val="28"/>
                <w:lang w:val="en-US" w:eastAsia="zh-CN"/>
              </w:rPr>
            </w:pPr>
            <w:r>
              <w:rPr>
                <w:rFonts w:hint="eastAsia" w:ascii="仿宋_GB2312" w:hAnsi="仿宋" w:eastAsia="仿宋_GB2312" w:cs="Times New Roman"/>
                <w:sz w:val="28"/>
                <w:szCs w:val="28"/>
                <w:lang w:val="en-US" w:eastAsia="zh-CN"/>
              </w:rPr>
              <w:t>优</w:t>
            </w:r>
          </w:p>
        </w:tc>
        <w:tc>
          <w:tcPr>
            <w:tcW w:w="334" w:type="pct"/>
            <w:tcBorders>
              <w:top w:val="single" w:color="auto" w:sz="4" w:space="0"/>
              <w:left w:val="single" w:color="auto" w:sz="4" w:space="0"/>
              <w:bottom w:val="single" w:color="auto" w:sz="4" w:space="0"/>
              <w:right w:val="single" w:color="auto" w:sz="4" w:space="0"/>
            </w:tcBorders>
            <w:vAlign w:val="top"/>
          </w:tcPr>
          <w:p w14:paraId="0E9997DC">
            <w:pPr>
              <w:keepNext w:val="0"/>
              <w:keepLines w:val="0"/>
              <w:suppressLineNumbers w:val="0"/>
              <w:spacing w:before="0" w:beforeLines="0" w:beforeAutospacing="0" w:after="0" w:afterLines="0" w:afterAutospacing="0" w:line="520" w:lineRule="exact"/>
              <w:ind w:left="0" w:leftChars="0" w:right="0" w:rightChars="0" w:firstLine="634" w:firstLineChars="0"/>
              <w:jc w:val="center"/>
              <w:rPr>
                <w:rFonts w:hint="eastAsia" w:ascii="仿宋_GB2312" w:hAnsi="仿宋" w:eastAsia="仿宋_GB2312" w:cs="Times New Roman"/>
                <w:sz w:val="28"/>
                <w:szCs w:val="28"/>
                <w:lang w:eastAsia="zh-CN"/>
              </w:rPr>
            </w:pPr>
          </w:p>
        </w:tc>
        <w:tc>
          <w:tcPr>
            <w:tcW w:w="299" w:type="pct"/>
            <w:tcBorders>
              <w:top w:val="single" w:color="auto" w:sz="4" w:space="0"/>
              <w:left w:val="single" w:color="auto" w:sz="4" w:space="0"/>
              <w:bottom w:val="single" w:color="auto" w:sz="4" w:space="0"/>
              <w:right w:val="single" w:color="auto" w:sz="4" w:space="0"/>
            </w:tcBorders>
            <w:vAlign w:val="top"/>
          </w:tcPr>
          <w:p w14:paraId="3A903D5D">
            <w:pPr>
              <w:keepNext w:val="0"/>
              <w:keepLines w:val="0"/>
              <w:suppressLineNumbers w:val="0"/>
              <w:spacing w:before="0" w:beforeLines="0" w:beforeAutospacing="0" w:after="0" w:afterLines="0" w:afterAutospacing="0" w:line="520" w:lineRule="exact"/>
              <w:ind w:right="0" w:rightChars="0"/>
              <w:jc w:val="both"/>
              <w:rPr>
                <w:rFonts w:hint="eastAsia" w:ascii="仿宋_GB2312" w:hAnsi="仿宋" w:eastAsia="仿宋_GB2312" w:cs="Times New Roman"/>
                <w:sz w:val="28"/>
                <w:szCs w:val="28"/>
                <w:lang w:val="en-US" w:eastAsia="zh-CN"/>
              </w:rPr>
            </w:pPr>
            <w:r>
              <w:rPr>
                <w:rFonts w:hint="eastAsia" w:ascii="仿宋_GB2312" w:hAnsi="仿宋" w:eastAsia="仿宋_GB2312" w:cs="Times New Roman"/>
                <w:sz w:val="28"/>
                <w:szCs w:val="28"/>
                <w:lang w:val="en-US" w:eastAsia="zh-CN"/>
              </w:rPr>
              <w:t>10</w:t>
            </w:r>
          </w:p>
        </w:tc>
      </w:tr>
      <w:tr w14:paraId="3B410003">
        <w:tblPrEx>
          <w:tblCellMar>
            <w:top w:w="0" w:type="dxa"/>
            <w:left w:w="108" w:type="dxa"/>
            <w:bottom w:w="0" w:type="dxa"/>
            <w:right w:w="108" w:type="dxa"/>
          </w:tblCellMar>
        </w:tblPrEx>
        <w:trPr>
          <w:trHeight w:val="275" w:hRule="atLeast"/>
        </w:trPr>
        <w:tc>
          <w:tcPr>
            <w:tcW w:w="227" w:type="pct"/>
            <w:tcBorders>
              <w:top w:val="single" w:color="auto" w:sz="4" w:space="0"/>
              <w:left w:val="single" w:color="auto" w:sz="4" w:space="0"/>
              <w:bottom w:val="single" w:color="auto" w:sz="4" w:space="0"/>
              <w:right w:val="single" w:color="auto" w:sz="4" w:space="0"/>
            </w:tcBorders>
            <w:noWrap/>
            <w:vAlign w:val="bottom"/>
          </w:tcPr>
          <w:p w14:paraId="07E26098">
            <w:pPr>
              <w:spacing w:line="520" w:lineRule="exact"/>
              <w:jc w:val="center"/>
              <w:rPr>
                <w:rFonts w:hint="default" w:ascii="仿宋_GB2312" w:eastAsia="仿宋_GB2312"/>
                <w:sz w:val="28"/>
                <w:szCs w:val="28"/>
                <w:lang w:val="en-US" w:eastAsia="zh-CN"/>
              </w:rPr>
            </w:pPr>
            <w:r>
              <w:rPr>
                <w:rFonts w:hint="eastAsia" w:ascii="仿宋_GB2312" w:eastAsia="仿宋_GB2312"/>
                <w:sz w:val="28"/>
                <w:szCs w:val="28"/>
                <w:lang w:val="en-US" w:eastAsia="zh-CN"/>
              </w:rPr>
              <w:t>8</w:t>
            </w:r>
          </w:p>
        </w:tc>
        <w:tc>
          <w:tcPr>
            <w:tcW w:w="3168" w:type="pct"/>
            <w:tcBorders>
              <w:top w:val="single" w:color="auto" w:sz="4" w:space="0"/>
              <w:left w:val="single" w:color="auto" w:sz="4" w:space="0"/>
              <w:bottom w:val="single" w:color="auto" w:sz="4" w:space="0"/>
              <w:right w:val="single" w:color="auto" w:sz="4" w:space="0"/>
            </w:tcBorders>
            <w:noWrap/>
            <w:vAlign w:val="bottom"/>
          </w:tcPr>
          <w:p w14:paraId="1B888ED8">
            <w:pPr>
              <w:keepNext w:val="0"/>
              <w:keepLines w:val="0"/>
              <w:suppressLineNumbers w:val="0"/>
              <w:spacing w:before="0" w:beforeLines="0" w:beforeAutospacing="0" w:after="0" w:afterLines="0" w:afterAutospacing="0" w:line="520" w:lineRule="exact"/>
              <w:ind w:left="0" w:leftChars="0" w:right="0" w:rightChars="0"/>
              <w:rPr>
                <w:rFonts w:hint="eastAsia" w:ascii="仿宋_GB2312" w:hAnsi="仿宋" w:eastAsia="仿宋_GB2312" w:cs="Times New Roman"/>
                <w:sz w:val="28"/>
                <w:szCs w:val="28"/>
                <w:lang w:eastAsia="zh-CN"/>
              </w:rPr>
            </w:pPr>
            <w:r>
              <w:rPr>
                <w:rFonts w:hint="eastAsia" w:ascii="仿宋_GB2312" w:hAnsi="仿宋" w:eastAsia="仿宋_GB2312" w:cs="Times New Roman"/>
                <w:sz w:val="28"/>
                <w:szCs w:val="28"/>
                <w:lang w:val="en-US" w:eastAsia="zh-CN"/>
              </w:rPr>
              <w:t>实施单位对象满意度</w:t>
            </w:r>
          </w:p>
        </w:tc>
        <w:tc>
          <w:tcPr>
            <w:tcW w:w="509" w:type="pct"/>
            <w:tcBorders>
              <w:top w:val="single" w:color="auto" w:sz="4" w:space="0"/>
              <w:left w:val="single" w:color="auto" w:sz="4" w:space="0"/>
              <w:bottom w:val="single" w:color="auto" w:sz="4" w:space="0"/>
              <w:right w:val="single" w:color="auto" w:sz="4" w:space="0"/>
            </w:tcBorders>
            <w:noWrap/>
            <w:vAlign w:val="top"/>
          </w:tcPr>
          <w:p w14:paraId="4420DDDC">
            <w:pPr>
              <w:keepNext w:val="0"/>
              <w:keepLines w:val="0"/>
              <w:suppressLineNumbers w:val="0"/>
              <w:spacing w:before="0" w:beforeLines="0" w:beforeAutospacing="0" w:after="0" w:afterLines="0" w:afterAutospacing="0" w:line="520" w:lineRule="exact"/>
              <w:ind w:left="0" w:leftChars="0" w:right="0" w:rightChars="0"/>
              <w:jc w:val="center"/>
              <w:rPr>
                <w:rFonts w:hint="eastAsia" w:ascii="仿宋_GB2312" w:hAnsi="仿宋" w:eastAsia="仿宋_GB2312" w:cs="Times New Roman"/>
                <w:sz w:val="28"/>
                <w:szCs w:val="28"/>
              </w:rPr>
            </w:pPr>
            <w:r>
              <w:rPr>
                <w:rFonts w:hint="eastAsia" w:ascii="仿宋_GB2312" w:hAnsi="仿宋" w:eastAsia="仿宋_GB2312" w:cs="Times New Roman"/>
                <w:sz w:val="28"/>
                <w:szCs w:val="28"/>
              </w:rPr>
              <w:t>≥</w:t>
            </w:r>
          </w:p>
        </w:tc>
        <w:tc>
          <w:tcPr>
            <w:tcW w:w="460" w:type="pct"/>
            <w:tcBorders>
              <w:top w:val="single" w:color="auto" w:sz="4" w:space="0"/>
              <w:left w:val="single" w:color="auto" w:sz="4" w:space="0"/>
              <w:bottom w:val="single" w:color="auto" w:sz="4" w:space="0"/>
              <w:right w:val="single" w:color="auto" w:sz="4" w:space="0"/>
            </w:tcBorders>
            <w:noWrap/>
            <w:vAlign w:val="top"/>
          </w:tcPr>
          <w:p w14:paraId="4A6CAA5B">
            <w:pPr>
              <w:keepNext w:val="0"/>
              <w:keepLines w:val="0"/>
              <w:suppressLineNumbers w:val="0"/>
              <w:spacing w:before="0" w:beforeLines="0" w:beforeAutospacing="0" w:after="0" w:afterLines="0" w:afterAutospacing="0" w:line="520" w:lineRule="exact"/>
              <w:ind w:right="0" w:rightChars="0"/>
              <w:jc w:val="both"/>
              <w:rPr>
                <w:rFonts w:hint="eastAsia" w:ascii="仿宋_GB2312" w:hAnsi="仿宋" w:eastAsia="仿宋_GB2312" w:cs="Times New Roman"/>
                <w:sz w:val="28"/>
                <w:szCs w:val="28"/>
                <w:lang w:val="en-US" w:eastAsia="zh-CN"/>
              </w:rPr>
            </w:pPr>
            <w:r>
              <w:rPr>
                <w:rFonts w:hint="eastAsia" w:ascii="仿宋_GB2312" w:hAnsi="仿宋" w:eastAsia="仿宋_GB2312" w:cs="Times New Roman"/>
                <w:sz w:val="28"/>
                <w:szCs w:val="28"/>
                <w:lang w:val="en-US" w:eastAsia="zh-CN"/>
              </w:rPr>
              <w:t>95</w:t>
            </w:r>
          </w:p>
        </w:tc>
        <w:tc>
          <w:tcPr>
            <w:tcW w:w="334" w:type="pct"/>
            <w:tcBorders>
              <w:top w:val="single" w:color="auto" w:sz="4" w:space="0"/>
              <w:left w:val="single" w:color="auto" w:sz="4" w:space="0"/>
              <w:bottom w:val="single" w:color="auto" w:sz="4" w:space="0"/>
              <w:right w:val="single" w:color="auto" w:sz="4" w:space="0"/>
            </w:tcBorders>
            <w:vAlign w:val="top"/>
          </w:tcPr>
          <w:p w14:paraId="6EA4FDF4">
            <w:pPr>
              <w:keepNext w:val="0"/>
              <w:keepLines w:val="0"/>
              <w:suppressLineNumbers w:val="0"/>
              <w:spacing w:before="0" w:beforeLines="0" w:beforeAutospacing="0" w:after="0" w:afterLines="0" w:afterAutospacing="0" w:line="520" w:lineRule="exact"/>
              <w:ind w:right="0" w:rightChars="0"/>
              <w:jc w:val="left"/>
              <w:rPr>
                <w:rFonts w:hint="eastAsia" w:ascii="仿宋_GB2312" w:hAnsi="仿宋" w:eastAsia="仿宋_GB2312" w:cs="Times New Roman"/>
                <w:sz w:val="28"/>
                <w:szCs w:val="28"/>
                <w:lang w:eastAsia="zh-CN"/>
              </w:rPr>
            </w:pPr>
            <w:r>
              <w:rPr>
                <w:rFonts w:hint="eastAsia" w:ascii="仿宋_GB2312" w:hAnsi="仿宋" w:eastAsia="仿宋_GB2312" w:cs="Times New Roman"/>
                <w:sz w:val="28"/>
                <w:szCs w:val="28"/>
                <w:lang w:val="en-US" w:eastAsia="zh-CN"/>
              </w:rPr>
              <w:t>%</w:t>
            </w:r>
          </w:p>
        </w:tc>
        <w:tc>
          <w:tcPr>
            <w:tcW w:w="299" w:type="pct"/>
            <w:tcBorders>
              <w:top w:val="single" w:color="auto" w:sz="4" w:space="0"/>
              <w:left w:val="single" w:color="auto" w:sz="4" w:space="0"/>
              <w:bottom w:val="single" w:color="auto" w:sz="4" w:space="0"/>
              <w:right w:val="single" w:color="auto" w:sz="4" w:space="0"/>
            </w:tcBorders>
            <w:vAlign w:val="top"/>
          </w:tcPr>
          <w:p w14:paraId="0C2E9F70">
            <w:pPr>
              <w:keepNext w:val="0"/>
              <w:keepLines w:val="0"/>
              <w:suppressLineNumbers w:val="0"/>
              <w:spacing w:before="0" w:beforeLines="0" w:beforeAutospacing="0" w:after="0" w:afterLines="0" w:afterAutospacing="0" w:line="520" w:lineRule="exact"/>
              <w:ind w:right="0" w:rightChars="0"/>
              <w:jc w:val="both"/>
              <w:rPr>
                <w:rFonts w:hint="eastAsia" w:ascii="仿宋_GB2312" w:hAnsi="仿宋" w:eastAsia="仿宋_GB2312" w:cs="Times New Roman"/>
                <w:sz w:val="28"/>
                <w:szCs w:val="28"/>
                <w:lang w:val="en-US" w:eastAsia="zh-CN"/>
              </w:rPr>
            </w:pPr>
            <w:r>
              <w:rPr>
                <w:rFonts w:hint="eastAsia" w:ascii="仿宋_GB2312" w:hAnsi="仿宋" w:eastAsia="仿宋_GB2312" w:cs="Times New Roman"/>
                <w:sz w:val="28"/>
                <w:szCs w:val="28"/>
                <w:lang w:val="en-US" w:eastAsia="zh-CN"/>
              </w:rPr>
              <w:t>10</w:t>
            </w:r>
          </w:p>
        </w:tc>
      </w:tr>
    </w:tbl>
    <w:p w14:paraId="2224B44A">
      <w:pPr>
        <w:spacing w:line="580" w:lineRule="exact"/>
        <w:ind w:firstLine="640" w:firstLineChars="200"/>
        <w:rPr>
          <w:rFonts w:hint="eastAsia" w:ascii="楷体_GB2312" w:hAnsi="Calibri" w:eastAsia="楷体_GB2312"/>
          <w:b/>
          <w:sz w:val="32"/>
          <w:szCs w:val="32"/>
        </w:rPr>
      </w:pPr>
      <w:r>
        <w:rPr>
          <w:rFonts w:hint="eastAsia" w:ascii="楷体_GB2312" w:eastAsia="楷体_GB2312"/>
          <w:b/>
          <w:sz w:val="32"/>
          <w:szCs w:val="32"/>
        </w:rPr>
        <w:t>(二)当年预算执行情况</w:t>
      </w:r>
      <w:bookmarkEnd w:id="3"/>
      <w:r>
        <w:rPr>
          <w:rFonts w:hint="eastAsia" w:ascii="仿宋_GB2312" w:eastAsia="仿宋_GB2312"/>
          <w:sz w:val="32"/>
          <w:szCs w:val="32"/>
        </w:rPr>
        <w:t xml:space="preserve">  </w:t>
      </w:r>
    </w:p>
    <w:p w14:paraId="64A8C19D">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2025年全年预算数3,496,996.48元，其中，基本支出预算数2,976,774.54元，项目支出预算数520,221.94元。全年支出130,566,701.03元，其中，基本支出2,519,131.22元，项目支出128,047,569.81元。预算执行率为</w:t>
      </w:r>
      <w:r>
        <w:rPr>
          <w:rFonts w:hint="eastAsia" w:ascii="仿宋_GB2312" w:eastAsia="仿宋_GB2312"/>
          <w:sz w:val="28"/>
          <w:szCs w:val="28"/>
          <w:lang w:val="en-US" w:eastAsia="zh-CN"/>
        </w:rPr>
        <w:t>100.0</w:t>
      </w:r>
      <w:r>
        <w:rPr>
          <w:rFonts w:hint="eastAsia" w:ascii="仿宋_GB2312" w:eastAsia="仿宋_GB2312"/>
          <w:sz w:val="28"/>
          <w:szCs w:val="28"/>
        </w:rPr>
        <w:t>%。</w:t>
      </w:r>
    </w:p>
    <w:p w14:paraId="0308ED5F">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2025年年末结转结余资金总额为</w:t>
      </w:r>
      <w:r>
        <w:rPr>
          <w:rFonts w:hint="eastAsia" w:ascii="仿宋_GB2312" w:eastAsia="仿宋_GB2312"/>
          <w:sz w:val="28"/>
          <w:szCs w:val="28"/>
          <w:lang w:val="en-US" w:eastAsia="zh-CN"/>
        </w:rPr>
        <w:t>0</w:t>
      </w:r>
      <w:r>
        <w:rPr>
          <w:rFonts w:hint="eastAsia" w:ascii="仿宋_GB2312" w:eastAsia="仿宋_GB2312"/>
          <w:sz w:val="28"/>
          <w:szCs w:val="28"/>
        </w:rPr>
        <w:t>元，全年支出预算数为</w:t>
      </w:r>
      <w:r>
        <w:rPr>
          <w:rFonts w:hint="eastAsia" w:ascii="仿宋_GB2312" w:eastAsia="仿宋_GB2312"/>
          <w:sz w:val="28"/>
          <w:szCs w:val="28"/>
          <w:lang w:val="en-US" w:eastAsia="zh-CN"/>
        </w:rPr>
        <w:t>0</w:t>
      </w:r>
      <w:r>
        <w:rPr>
          <w:rFonts w:hint="eastAsia" w:ascii="仿宋_GB2312" w:eastAsia="仿宋_GB2312"/>
          <w:sz w:val="28"/>
          <w:szCs w:val="28"/>
        </w:rPr>
        <w:t>元，资金结转结余率为</w:t>
      </w:r>
      <w:r>
        <w:rPr>
          <w:rFonts w:hint="eastAsia" w:ascii="仿宋_GB2312" w:eastAsia="仿宋_GB2312"/>
          <w:sz w:val="28"/>
          <w:szCs w:val="28"/>
          <w:lang w:val="en-US" w:eastAsia="zh-CN"/>
        </w:rPr>
        <w:t>0</w:t>
      </w:r>
      <w:r>
        <w:rPr>
          <w:rFonts w:hint="eastAsia" w:ascii="仿宋_GB2312" w:eastAsia="仿宋_GB2312"/>
          <w:sz w:val="28"/>
          <w:szCs w:val="28"/>
        </w:rPr>
        <w:t>%；2024年年末结转结余资金总额为</w:t>
      </w:r>
      <w:r>
        <w:rPr>
          <w:rFonts w:hint="eastAsia" w:ascii="仿宋_GB2312" w:eastAsia="仿宋_GB2312"/>
          <w:sz w:val="28"/>
          <w:szCs w:val="28"/>
          <w:lang w:val="en-US" w:eastAsia="zh-CN"/>
        </w:rPr>
        <w:t>0</w:t>
      </w:r>
      <w:r>
        <w:rPr>
          <w:rFonts w:hint="eastAsia" w:ascii="仿宋_GB2312" w:eastAsia="仿宋_GB2312"/>
          <w:sz w:val="28"/>
          <w:szCs w:val="28"/>
        </w:rPr>
        <w:t>元，全年支出预算数为</w:t>
      </w:r>
      <w:r>
        <w:rPr>
          <w:rFonts w:hint="eastAsia" w:ascii="仿宋_GB2312" w:eastAsia="仿宋_GB2312"/>
          <w:sz w:val="28"/>
          <w:szCs w:val="28"/>
          <w:lang w:val="en-US" w:eastAsia="zh-CN"/>
        </w:rPr>
        <w:t>0</w:t>
      </w:r>
      <w:r>
        <w:rPr>
          <w:rFonts w:hint="eastAsia" w:ascii="仿宋_GB2312" w:eastAsia="仿宋_GB2312"/>
          <w:sz w:val="28"/>
          <w:szCs w:val="28"/>
        </w:rPr>
        <w:t>元，资金结转结余率为</w:t>
      </w:r>
      <w:r>
        <w:rPr>
          <w:rFonts w:hint="eastAsia" w:ascii="仿宋_GB2312" w:eastAsia="仿宋_GB2312"/>
          <w:sz w:val="28"/>
          <w:szCs w:val="28"/>
          <w:lang w:val="en-US" w:eastAsia="zh-CN"/>
        </w:rPr>
        <w:t>0</w:t>
      </w:r>
      <w:r>
        <w:rPr>
          <w:rFonts w:hint="eastAsia" w:ascii="仿宋_GB2312" w:eastAsia="仿宋_GB2312"/>
          <w:sz w:val="28"/>
          <w:szCs w:val="28"/>
        </w:rPr>
        <w:t>%；2025年度部门结转结余率较上一年上升/下降了</w:t>
      </w:r>
      <w:r>
        <w:rPr>
          <w:rFonts w:hint="eastAsia" w:ascii="仿宋_GB2312" w:eastAsia="仿宋_GB2312"/>
          <w:sz w:val="28"/>
          <w:szCs w:val="28"/>
          <w:lang w:val="en-US" w:eastAsia="zh-CN"/>
        </w:rPr>
        <w:t>0</w:t>
      </w:r>
      <w:r>
        <w:rPr>
          <w:rFonts w:hint="eastAsia" w:ascii="仿宋_GB2312" w:eastAsia="仿宋_GB2312"/>
          <w:sz w:val="28"/>
          <w:szCs w:val="28"/>
        </w:rPr>
        <w:t>%。</w:t>
      </w:r>
    </w:p>
    <w:p w14:paraId="7247CF41">
      <w:pPr>
        <w:spacing w:line="580" w:lineRule="exact"/>
        <w:ind w:firstLine="560" w:firstLineChars="200"/>
        <w:rPr>
          <w:rFonts w:hint="eastAsia" w:ascii="楷体_GB2312" w:eastAsia="楷体_GB2312"/>
          <w:b/>
          <w:sz w:val="28"/>
          <w:szCs w:val="28"/>
        </w:rPr>
      </w:pPr>
      <w:r>
        <w:rPr>
          <w:rFonts w:hint="eastAsia" w:ascii="楷体_GB2312" w:eastAsia="楷体_GB2312"/>
          <w:b/>
          <w:sz w:val="28"/>
          <w:szCs w:val="28"/>
        </w:rPr>
        <w:t>（三）整体绩效目标实现情况</w:t>
      </w:r>
    </w:p>
    <w:p w14:paraId="45A89308">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1.产出完成情况分析</w:t>
      </w:r>
    </w:p>
    <w:p w14:paraId="08F10C59">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（1）产出数量</w:t>
      </w:r>
    </w:p>
    <w:tbl>
      <w:tblPr>
        <w:tblStyle w:val="10"/>
        <w:tblW w:w="14555" w:type="dxa"/>
        <w:tblInd w:w="108" w:type="dxa"/>
        <w:tblLayout w:type="autofit"/>
        <w:tblCellMar>
          <w:top w:w="0" w:type="dxa"/>
          <w:left w:w="108" w:type="dxa"/>
          <w:bottom w:w="0" w:type="dxa"/>
          <w:right w:w="108" w:type="dxa"/>
        </w:tblCellMar>
      </w:tblPr>
      <w:tblGrid>
        <w:gridCol w:w="880"/>
        <w:gridCol w:w="3625"/>
        <w:gridCol w:w="1963"/>
        <w:gridCol w:w="1987"/>
        <w:gridCol w:w="6100"/>
      </w:tblGrid>
      <w:tr w14:paraId="2BD0A6C2">
        <w:tblPrEx>
          <w:tblCellMar>
            <w:top w:w="0" w:type="dxa"/>
            <w:left w:w="108" w:type="dxa"/>
            <w:bottom w:w="0" w:type="dxa"/>
            <w:right w:w="108" w:type="dxa"/>
          </w:tblCellMar>
        </w:tblPrEx>
        <w:trPr>
          <w:trHeight w:val="510" w:hRule="atLeast"/>
        </w:trPr>
        <w:tc>
          <w:tcPr>
            <w:tcW w:w="880" w:type="dxa"/>
            <w:tcBorders>
              <w:top w:val="single" w:color="auto" w:sz="4" w:space="0"/>
              <w:left w:val="single" w:color="auto" w:sz="4" w:space="0"/>
              <w:bottom w:val="single" w:color="auto" w:sz="4" w:space="0"/>
              <w:right w:val="single" w:color="auto" w:sz="4" w:space="0"/>
            </w:tcBorders>
            <w:vAlign w:val="center"/>
          </w:tcPr>
          <w:p w14:paraId="57B42168">
            <w:pPr>
              <w:spacing w:line="520" w:lineRule="exact"/>
              <w:jc w:val="center"/>
              <w:rPr>
                <w:rFonts w:hint="eastAsia" w:ascii="仿宋_GB2312" w:eastAsia="仿宋_GB2312"/>
                <w:sz w:val="28"/>
                <w:szCs w:val="28"/>
              </w:rPr>
            </w:pPr>
            <w:r>
              <w:rPr>
                <w:rFonts w:hint="eastAsia" w:ascii="仿宋_GB2312" w:eastAsia="仿宋_GB2312"/>
                <w:sz w:val="28"/>
                <w:szCs w:val="28"/>
              </w:rPr>
              <w:t>序号</w:t>
            </w:r>
          </w:p>
        </w:tc>
        <w:tc>
          <w:tcPr>
            <w:tcW w:w="3625" w:type="dxa"/>
            <w:tcBorders>
              <w:top w:val="single" w:color="auto" w:sz="4" w:space="0"/>
              <w:left w:val="nil"/>
              <w:bottom w:val="single" w:color="auto" w:sz="4" w:space="0"/>
              <w:right w:val="single" w:color="auto" w:sz="4" w:space="0"/>
            </w:tcBorders>
            <w:vAlign w:val="center"/>
          </w:tcPr>
          <w:p w14:paraId="42C1400A">
            <w:pPr>
              <w:spacing w:line="520" w:lineRule="exact"/>
              <w:jc w:val="center"/>
              <w:rPr>
                <w:rFonts w:hint="eastAsia" w:ascii="仿宋_GB2312" w:eastAsia="仿宋_GB2312"/>
                <w:sz w:val="28"/>
                <w:szCs w:val="28"/>
              </w:rPr>
            </w:pPr>
            <w:r>
              <w:rPr>
                <w:rFonts w:hint="eastAsia" w:ascii="仿宋_GB2312" w:eastAsia="仿宋_GB2312"/>
                <w:sz w:val="28"/>
                <w:szCs w:val="28"/>
              </w:rPr>
              <w:t>三级指标</w:t>
            </w:r>
          </w:p>
        </w:tc>
        <w:tc>
          <w:tcPr>
            <w:tcW w:w="1963" w:type="dxa"/>
            <w:tcBorders>
              <w:top w:val="single" w:color="auto" w:sz="4" w:space="0"/>
              <w:left w:val="nil"/>
              <w:bottom w:val="single" w:color="auto" w:sz="4" w:space="0"/>
              <w:right w:val="single" w:color="auto" w:sz="4" w:space="0"/>
            </w:tcBorders>
            <w:vAlign w:val="center"/>
          </w:tcPr>
          <w:p w14:paraId="6E6466BA">
            <w:pPr>
              <w:spacing w:line="520" w:lineRule="exact"/>
              <w:jc w:val="center"/>
              <w:rPr>
                <w:rFonts w:hint="eastAsia" w:ascii="仿宋_GB2312" w:eastAsia="仿宋_GB2312"/>
                <w:sz w:val="28"/>
                <w:szCs w:val="28"/>
              </w:rPr>
            </w:pPr>
            <w:r>
              <w:rPr>
                <w:rFonts w:hint="eastAsia" w:ascii="仿宋_GB2312" w:eastAsia="仿宋_GB2312"/>
                <w:sz w:val="28"/>
                <w:szCs w:val="28"/>
              </w:rPr>
              <w:t>计划值</w:t>
            </w:r>
          </w:p>
        </w:tc>
        <w:tc>
          <w:tcPr>
            <w:tcW w:w="1987" w:type="dxa"/>
            <w:tcBorders>
              <w:top w:val="single" w:color="auto" w:sz="4" w:space="0"/>
              <w:left w:val="nil"/>
              <w:bottom w:val="single" w:color="auto" w:sz="4" w:space="0"/>
              <w:right w:val="single" w:color="auto" w:sz="4" w:space="0"/>
            </w:tcBorders>
            <w:vAlign w:val="center"/>
          </w:tcPr>
          <w:p w14:paraId="363FF71D">
            <w:pPr>
              <w:spacing w:line="520" w:lineRule="exact"/>
              <w:jc w:val="center"/>
              <w:rPr>
                <w:rFonts w:hint="eastAsia" w:ascii="仿宋_GB2312" w:eastAsia="仿宋_GB2312"/>
                <w:sz w:val="28"/>
                <w:szCs w:val="28"/>
              </w:rPr>
            </w:pPr>
            <w:r>
              <w:rPr>
                <w:rFonts w:hint="eastAsia" w:ascii="仿宋_GB2312" w:eastAsia="仿宋_GB2312"/>
                <w:sz w:val="28"/>
                <w:szCs w:val="28"/>
              </w:rPr>
              <w:t>完成值</w:t>
            </w:r>
          </w:p>
        </w:tc>
        <w:tc>
          <w:tcPr>
            <w:tcW w:w="6100" w:type="dxa"/>
            <w:tcBorders>
              <w:top w:val="single" w:color="auto" w:sz="4" w:space="0"/>
              <w:left w:val="nil"/>
              <w:bottom w:val="single" w:color="auto" w:sz="4" w:space="0"/>
              <w:right w:val="single" w:color="auto" w:sz="4" w:space="0"/>
            </w:tcBorders>
            <w:vAlign w:val="center"/>
          </w:tcPr>
          <w:p w14:paraId="6F610DA2">
            <w:pPr>
              <w:spacing w:line="520" w:lineRule="exact"/>
              <w:jc w:val="center"/>
              <w:rPr>
                <w:rFonts w:hint="eastAsia" w:ascii="仿宋_GB2312" w:eastAsia="仿宋_GB2312"/>
                <w:sz w:val="28"/>
                <w:szCs w:val="28"/>
              </w:rPr>
            </w:pPr>
            <w:r>
              <w:rPr>
                <w:rFonts w:hint="eastAsia" w:ascii="仿宋_GB2312" w:eastAsia="仿宋_GB2312"/>
                <w:sz w:val="28"/>
                <w:szCs w:val="28"/>
              </w:rPr>
              <w:t>偏差原因</w:t>
            </w:r>
          </w:p>
        </w:tc>
      </w:tr>
      <w:tr w14:paraId="5B2C1B0A">
        <w:tblPrEx>
          <w:tblCellMar>
            <w:top w:w="0" w:type="dxa"/>
            <w:left w:w="108" w:type="dxa"/>
            <w:bottom w:w="0" w:type="dxa"/>
            <w:right w:w="108" w:type="dxa"/>
          </w:tblCellMar>
        </w:tblPrEx>
        <w:trPr>
          <w:trHeight w:val="655" w:hRule="atLeast"/>
        </w:trPr>
        <w:tc>
          <w:tcPr>
            <w:tcW w:w="880" w:type="dxa"/>
            <w:tcBorders>
              <w:top w:val="nil"/>
              <w:left w:val="single" w:color="auto" w:sz="4" w:space="0"/>
              <w:bottom w:val="single" w:color="auto" w:sz="4" w:space="0"/>
              <w:right w:val="single" w:color="auto" w:sz="4" w:space="0"/>
            </w:tcBorders>
            <w:vAlign w:val="center"/>
          </w:tcPr>
          <w:p w14:paraId="4CF5B34D">
            <w:pPr>
              <w:spacing w:line="520" w:lineRule="exact"/>
              <w:jc w:val="center"/>
              <w:rPr>
                <w:rFonts w:hint="eastAsia" w:ascii="仿宋_GB2312" w:eastAsia="仿宋_GB2312"/>
                <w:sz w:val="28"/>
                <w:szCs w:val="28"/>
              </w:rPr>
            </w:pPr>
            <w:r>
              <w:rPr>
                <w:rFonts w:hint="eastAsia" w:ascii="仿宋_GB2312" w:eastAsia="仿宋_GB2312"/>
                <w:sz w:val="28"/>
                <w:szCs w:val="28"/>
              </w:rPr>
              <w:t>1</w:t>
            </w:r>
          </w:p>
        </w:tc>
        <w:tc>
          <w:tcPr>
            <w:tcW w:w="3625" w:type="dxa"/>
            <w:tcBorders>
              <w:top w:val="nil"/>
              <w:left w:val="nil"/>
              <w:bottom w:val="single" w:color="auto" w:sz="4" w:space="0"/>
              <w:right w:val="single" w:color="auto" w:sz="4" w:space="0"/>
            </w:tcBorders>
            <w:vAlign w:val="center"/>
          </w:tcPr>
          <w:p w14:paraId="42B8C68E">
            <w:pPr>
              <w:widowControl/>
              <w:spacing w:line="520" w:lineRule="exact"/>
              <w:jc w:val="center"/>
              <w:rPr>
                <w:rFonts w:hint="eastAsia" w:ascii="仿宋_GB2312" w:eastAsia="仿宋_GB2312"/>
                <w:sz w:val="28"/>
                <w:szCs w:val="28"/>
              </w:rPr>
            </w:pPr>
            <w:r>
              <w:rPr>
                <w:rFonts w:hint="eastAsia" w:ascii="仿宋_GB2312" w:hAnsi="仿宋" w:eastAsia="仿宋_GB2312" w:cs="Times New Roman"/>
                <w:sz w:val="28"/>
                <w:szCs w:val="28"/>
                <w:lang w:eastAsia="zh-CN"/>
              </w:rPr>
              <w:t>聘用劳务派遣人员出勤天数　</w:t>
            </w:r>
            <w:r>
              <w:rPr>
                <w:rFonts w:hint="eastAsia" w:ascii="仿宋_GB2312" w:hAnsi="宋体" w:eastAsia="仿宋_GB2312" w:cs="宋体"/>
                <w:color w:val="000000"/>
                <w:kern w:val="0"/>
                <w:sz w:val="28"/>
                <w:szCs w:val="28"/>
              </w:rPr>
              <w:t>　</w:t>
            </w:r>
          </w:p>
        </w:tc>
        <w:tc>
          <w:tcPr>
            <w:tcW w:w="1963" w:type="dxa"/>
            <w:tcBorders>
              <w:top w:val="nil"/>
              <w:left w:val="nil"/>
              <w:bottom w:val="single" w:color="auto" w:sz="4" w:space="0"/>
              <w:right w:val="single" w:color="auto" w:sz="4" w:space="0"/>
            </w:tcBorders>
            <w:vAlign w:val="center"/>
          </w:tcPr>
          <w:p w14:paraId="2E9E721C">
            <w:pPr>
              <w:keepNext w:val="0"/>
              <w:keepLines w:val="0"/>
              <w:suppressLineNumbers w:val="0"/>
              <w:spacing w:before="0" w:beforeLines="0" w:beforeAutospacing="0" w:after="0" w:afterLines="0" w:afterAutospacing="0" w:line="520" w:lineRule="exact"/>
              <w:ind w:left="0" w:leftChars="0" w:right="0" w:rightChars="0" w:firstLine="634" w:firstLineChars="0"/>
              <w:rPr>
                <w:rFonts w:hint="eastAsia" w:ascii="仿宋_GB2312" w:eastAsia="仿宋_GB2312"/>
                <w:sz w:val="28"/>
                <w:szCs w:val="28"/>
              </w:rPr>
            </w:pPr>
            <w:r>
              <w:rPr>
                <w:rFonts w:hint="eastAsia" w:ascii="仿宋_GB2312" w:hAnsi="仿宋" w:eastAsia="仿宋_GB2312" w:cs="Times New Roman"/>
                <w:sz w:val="28"/>
                <w:szCs w:val="28"/>
                <w:lang w:eastAsia="zh-CN"/>
              </w:rPr>
              <w:t>≥</w:t>
            </w:r>
            <w:r>
              <w:rPr>
                <w:rFonts w:hint="eastAsia" w:ascii="仿宋_GB2312" w:hAnsi="仿宋" w:eastAsia="仿宋_GB2312" w:cs="Times New Roman"/>
                <w:sz w:val="28"/>
                <w:szCs w:val="28"/>
                <w:lang w:val="en-US" w:eastAsia="zh-CN"/>
              </w:rPr>
              <w:t>220天</w:t>
            </w:r>
            <w:r>
              <w:rPr>
                <w:rFonts w:hint="eastAsia" w:ascii="仿宋_GB2312" w:hAnsi="仿宋" w:eastAsia="仿宋_GB2312" w:cs="Times New Roman"/>
                <w:sz w:val="28"/>
                <w:szCs w:val="28"/>
                <w:lang w:eastAsia="zh-CN"/>
              </w:rPr>
              <w:t>　</w:t>
            </w:r>
          </w:p>
        </w:tc>
        <w:tc>
          <w:tcPr>
            <w:tcW w:w="1987" w:type="dxa"/>
            <w:tcBorders>
              <w:top w:val="nil"/>
              <w:left w:val="nil"/>
              <w:bottom w:val="single" w:color="auto" w:sz="4" w:space="0"/>
              <w:right w:val="single" w:color="auto" w:sz="4" w:space="0"/>
            </w:tcBorders>
            <w:vAlign w:val="center"/>
          </w:tcPr>
          <w:p w14:paraId="1E88A7C9">
            <w:pPr>
              <w:keepNext w:val="0"/>
              <w:keepLines w:val="0"/>
              <w:suppressLineNumbers w:val="0"/>
              <w:spacing w:before="0" w:beforeLines="0" w:beforeAutospacing="0" w:after="0" w:afterLines="0" w:afterAutospacing="0" w:line="520" w:lineRule="exact"/>
              <w:ind w:left="0" w:leftChars="0" w:right="0" w:rightChars="0" w:firstLine="634" w:firstLineChars="0"/>
              <w:rPr>
                <w:rFonts w:hint="eastAsia" w:ascii="仿宋_GB2312" w:eastAsia="仿宋_GB2312"/>
                <w:sz w:val="28"/>
                <w:szCs w:val="28"/>
              </w:rPr>
            </w:pPr>
            <w:r>
              <w:rPr>
                <w:rFonts w:hint="eastAsia" w:ascii="仿宋_GB2312" w:hAnsi="仿宋" w:eastAsia="仿宋_GB2312" w:cs="Times New Roman"/>
                <w:sz w:val="28"/>
                <w:szCs w:val="28"/>
                <w:lang w:eastAsia="zh-CN"/>
              </w:rPr>
              <w:t>≥</w:t>
            </w:r>
            <w:r>
              <w:rPr>
                <w:rFonts w:hint="eastAsia" w:ascii="仿宋_GB2312" w:hAnsi="仿宋" w:eastAsia="仿宋_GB2312" w:cs="Times New Roman"/>
                <w:sz w:val="28"/>
                <w:szCs w:val="28"/>
                <w:lang w:val="en-US" w:eastAsia="zh-CN"/>
              </w:rPr>
              <w:t>220天</w:t>
            </w:r>
            <w:r>
              <w:rPr>
                <w:rFonts w:hint="eastAsia" w:ascii="仿宋_GB2312" w:hAnsi="仿宋" w:eastAsia="仿宋_GB2312" w:cs="Times New Roman"/>
                <w:sz w:val="28"/>
                <w:szCs w:val="28"/>
                <w:lang w:eastAsia="zh-CN"/>
              </w:rPr>
              <w:t>　　</w:t>
            </w:r>
          </w:p>
        </w:tc>
        <w:tc>
          <w:tcPr>
            <w:tcW w:w="6100" w:type="dxa"/>
            <w:tcBorders>
              <w:top w:val="nil"/>
              <w:left w:val="nil"/>
              <w:bottom w:val="single" w:color="auto" w:sz="4" w:space="0"/>
              <w:right w:val="single" w:color="auto" w:sz="4" w:space="0"/>
            </w:tcBorders>
            <w:vAlign w:val="center"/>
          </w:tcPr>
          <w:p w14:paraId="16A504D0">
            <w:pPr>
              <w:keepNext w:val="0"/>
              <w:keepLines w:val="0"/>
              <w:suppressLineNumbers w:val="0"/>
              <w:spacing w:before="0" w:beforeLines="0" w:beforeAutospacing="0" w:after="0" w:afterLines="0" w:afterAutospacing="0" w:line="520" w:lineRule="exact"/>
              <w:ind w:left="0" w:leftChars="0" w:right="0" w:rightChars="0" w:firstLine="634" w:firstLineChars="0"/>
              <w:rPr>
                <w:rFonts w:hint="eastAsia" w:ascii="仿宋_GB2312" w:eastAsia="仿宋_GB2312"/>
                <w:sz w:val="28"/>
                <w:szCs w:val="28"/>
              </w:rPr>
            </w:pPr>
            <w:r>
              <w:rPr>
                <w:rFonts w:hint="eastAsia" w:ascii="仿宋_GB2312" w:hAnsi="仿宋" w:eastAsia="仿宋_GB2312" w:cs="Times New Roman"/>
                <w:sz w:val="28"/>
                <w:szCs w:val="28"/>
                <w:lang w:eastAsia="zh-CN"/>
              </w:rPr>
              <w:t>无　</w:t>
            </w:r>
          </w:p>
        </w:tc>
      </w:tr>
    </w:tbl>
    <w:p w14:paraId="66D6C9D5">
      <w:pPr>
        <w:numPr>
          <w:ilvl w:val="0"/>
          <w:numId w:val="2"/>
        </w:num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产出质量</w:t>
      </w:r>
    </w:p>
    <w:tbl>
      <w:tblPr>
        <w:tblStyle w:val="10"/>
        <w:tblW w:w="14543" w:type="dxa"/>
        <w:tblInd w:w="108" w:type="dxa"/>
        <w:tblLayout w:type="fixed"/>
        <w:tblCellMar>
          <w:top w:w="0" w:type="dxa"/>
          <w:left w:w="108" w:type="dxa"/>
          <w:bottom w:w="0" w:type="dxa"/>
          <w:right w:w="108" w:type="dxa"/>
        </w:tblCellMar>
      </w:tblPr>
      <w:tblGrid>
        <w:gridCol w:w="800"/>
        <w:gridCol w:w="3705"/>
        <w:gridCol w:w="1950"/>
        <w:gridCol w:w="2000"/>
        <w:gridCol w:w="6088"/>
      </w:tblGrid>
      <w:tr w14:paraId="31CE41DC">
        <w:tblPrEx>
          <w:tblCellMar>
            <w:top w:w="0" w:type="dxa"/>
            <w:left w:w="108" w:type="dxa"/>
            <w:bottom w:w="0" w:type="dxa"/>
            <w:right w:w="108" w:type="dxa"/>
          </w:tblCellMar>
        </w:tblPrEx>
        <w:trPr>
          <w:trHeight w:val="510" w:hRule="atLeast"/>
        </w:trPr>
        <w:tc>
          <w:tcPr>
            <w:tcW w:w="800" w:type="dxa"/>
            <w:tcBorders>
              <w:top w:val="single" w:color="auto" w:sz="4" w:space="0"/>
              <w:left w:val="single" w:color="auto" w:sz="4" w:space="0"/>
              <w:bottom w:val="single" w:color="auto" w:sz="4" w:space="0"/>
              <w:right w:val="single" w:color="auto" w:sz="4" w:space="0"/>
            </w:tcBorders>
            <w:vAlign w:val="center"/>
          </w:tcPr>
          <w:p w14:paraId="64AB494D">
            <w:pPr>
              <w:widowControl/>
              <w:spacing w:line="52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序号</w:t>
            </w:r>
          </w:p>
        </w:tc>
        <w:tc>
          <w:tcPr>
            <w:tcW w:w="3705" w:type="dxa"/>
            <w:tcBorders>
              <w:top w:val="single" w:color="auto" w:sz="4" w:space="0"/>
              <w:left w:val="nil"/>
              <w:bottom w:val="single" w:color="auto" w:sz="4" w:space="0"/>
              <w:right w:val="single" w:color="auto" w:sz="4" w:space="0"/>
            </w:tcBorders>
            <w:vAlign w:val="center"/>
          </w:tcPr>
          <w:p w14:paraId="27361FCB">
            <w:pPr>
              <w:widowControl/>
              <w:spacing w:line="52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三级指标</w:t>
            </w:r>
          </w:p>
        </w:tc>
        <w:tc>
          <w:tcPr>
            <w:tcW w:w="1950" w:type="dxa"/>
            <w:tcBorders>
              <w:top w:val="single" w:color="auto" w:sz="4" w:space="0"/>
              <w:left w:val="nil"/>
              <w:bottom w:val="single" w:color="auto" w:sz="4" w:space="0"/>
              <w:right w:val="single" w:color="auto" w:sz="4" w:space="0"/>
            </w:tcBorders>
            <w:vAlign w:val="center"/>
          </w:tcPr>
          <w:p w14:paraId="47D2DBEE">
            <w:pPr>
              <w:widowControl/>
              <w:spacing w:line="52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计划值</w:t>
            </w:r>
          </w:p>
        </w:tc>
        <w:tc>
          <w:tcPr>
            <w:tcW w:w="2000" w:type="dxa"/>
            <w:tcBorders>
              <w:top w:val="single" w:color="auto" w:sz="4" w:space="0"/>
              <w:left w:val="nil"/>
              <w:bottom w:val="single" w:color="auto" w:sz="4" w:space="0"/>
              <w:right w:val="single" w:color="auto" w:sz="4" w:space="0"/>
            </w:tcBorders>
            <w:vAlign w:val="center"/>
          </w:tcPr>
          <w:p w14:paraId="4A21B586">
            <w:pPr>
              <w:widowControl/>
              <w:spacing w:line="52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完成值</w:t>
            </w:r>
          </w:p>
        </w:tc>
        <w:tc>
          <w:tcPr>
            <w:tcW w:w="6088" w:type="dxa"/>
            <w:tcBorders>
              <w:top w:val="single" w:color="auto" w:sz="4" w:space="0"/>
              <w:left w:val="nil"/>
              <w:bottom w:val="single" w:color="auto" w:sz="4" w:space="0"/>
              <w:right w:val="single" w:color="auto" w:sz="4" w:space="0"/>
            </w:tcBorders>
            <w:vAlign w:val="center"/>
          </w:tcPr>
          <w:p w14:paraId="0C8D0529">
            <w:pPr>
              <w:widowControl/>
              <w:spacing w:line="52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偏差原因</w:t>
            </w:r>
          </w:p>
        </w:tc>
      </w:tr>
      <w:tr w14:paraId="0E90E5F1">
        <w:tblPrEx>
          <w:tblCellMar>
            <w:top w:w="0" w:type="dxa"/>
            <w:left w:w="108" w:type="dxa"/>
            <w:bottom w:w="0" w:type="dxa"/>
            <w:right w:w="108" w:type="dxa"/>
          </w:tblCellMar>
        </w:tblPrEx>
        <w:trPr>
          <w:trHeight w:val="510" w:hRule="atLeast"/>
        </w:trPr>
        <w:tc>
          <w:tcPr>
            <w:tcW w:w="800" w:type="dxa"/>
            <w:tcBorders>
              <w:top w:val="nil"/>
              <w:left w:val="single" w:color="auto" w:sz="4" w:space="0"/>
              <w:bottom w:val="single" w:color="auto" w:sz="4" w:space="0"/>
              <w:right w:val="single" w:color="auto" w:sz="4" w:space="0"/>
            </w:tcBorders>
            <w:vAlign w:val="center"/>
          </w:tcPr>
          <w:p w14:paraId="3C5074FC">
            <w:pPr>
              <w:widowControl/>
              <w:spacing w:line="520" w:lineRule="exact"/>
              <w:jc w:val="center"/>
              <w:rPr>
                <w:rFonts w:ascii="仿宋_GB2312" w:hAnsi="宋体" w:eastAsia="仿宋_GB2312" w:cs="宋体"/>
                <w:color w:val="000000"/>
                <w:kern w:val="0"/>
                <w:sz w:val="28"/>
                <w:szCs w:val="28"/>
              </w:rPr>
            </w:pPr>
            <w:r>
              <w:rPr>
                <w:rFonts w:ascii="仿宋_GB2312" w:hAnsi="宋体" w:eastAsia="仿宋_GB2312" w:cs="宋体"/>
                <w:color w:val="000000"/>
                <w:kern w:val="0"/>
                <w:sz w:val="28"/>
                <w:szCs w:val="28"/>
              </w:rPr>
              <w:t>1</w:t>
            </w:r>
          </w:p>
        </w:tc>
        <w:tc>
          <w:tcPr>
            <w:tcW w:w="3705" w:type="dxa"/>
            <w:tcBorders>
              <w:top w:val="nil"/>
              <w:left w:val="nil"/>
              <w:bottom w:val="single" w:color="auto" w:sz="4" w:space="0"/>
              <w:right w:val="single" w:color="auto" w:sz="4" w:space="0"/>
            </w:tcBorders>
            <w:vAlign w:val="center"/>
          </w:tcPr>
          <w:p w14:paraId="56E25A0B">
            <w:pPr>
              <w:keepNext w:val="0"/>
              <w:keepLines w:val="0"/>
              <w:suppressLineNumbers w:val="0"/>
              <w:spacing w:before="0" w:beforeLines="0" w:beforeAutospacing="0" w:after="0" w:afterLines="0" w:afterAutospacing="0" w:line="520" w:lineRule="exact"/>
              <w:ind w:left="0" w:leftChars="0" w:right="0" w:rightChars="0"/>
              <w:rPr>
                <w:rFonts w:ascii="仿宋_GB2312" w:hAnsi="宋体" w:eastAsia="仿宋_GB2312" w:cs="宋体"/>
                <w:color w:val="000000"/>
                <w:kern w:val="0"/>
                <w:sz w:val="28"/>
                <w:szCs w:val="28"/>
              </w:rPr>
            </w:pPr>
            <w:r>
              <w:rPr>
                <w:rFonts w:hint="eastAsia" w:ascii="仿宋_GB2312" w:hAnsi="仿宋" w:eastAsia="仿宋_GB2312" w:cs="Times New Roman"/>
                <w:sz w:val="28"/>
                <w:szCs w:val="28"/>
                <w:lang w:eastAsia="zh-CN"/>
              </w:rPr>
              <w:t>对工程项目按照合同约定进行验收，验收合格或达到支付条件时，进行资金拨付</w:t>
            </w:r>
          </w:p>
        </w:tc>
        <w:tc>
          <w:tcPr>
            <w:tcW w:w="1950" w:type="dxa"/>
            <w:tcBorders>
              <w:top w:val="nil"/>
              <w:left w:val="nil"/>
              <w:bottom w:val="single" w:color="auto" w:sz="4" w:space="0"/>
              <w:right w:val="single" w:color="auto" w:sz="4" w:space="0"/>
            </w:tcBorders>
            <w:vAlign w:val="center"/>
          </w:tcPr>
          <w:p w14:paraId="185CC00A">
            <w:pPr>
              <w:keepNext w:val="0"/>
              <w:keepLines w:val="0"/>
              <w:suppressLineNumbers w:val="0"/>
              <w:spacing w:before="0" w:beforeLines="0" w:beforeAutospacing="0" w:after="0" w:afterLines="0" w:afterAutospacing="0" w:line="520" w:lineRule="exact"/>
              <w:ind w:left="0" w:leftChars="0" w:right="0" w:rightChars="0"/>
              <w:jc w:val="center"/>
              <w:rPr>
                <w:rFonts w:ascii="仿宋_GB2312" w:hAnsi="宋体" w:eastAsia="仿宋_GB2312" w:cs="宋体"/>
                <w:color w:val="000000"/>
                <w:kern w:val="0"/>
                <w:sz w:val="28"/>
                <w:szCs w:val="28"/>
              </w:rPr>
            </w:pPr>
            <w:r>
              <w:rPr>
                <w:rFonts w:hint="eastAsia" w:ascii="仿宋_GB2312" w:hAnsi="仿宋" w:eastAsia="仿宋_GB2312" w:cs="Times New Roman"/>
                <w:sz w:val="28"/>
                <w:szCs w:val="28"/>
                <w:lang w:eastAsia="zh-CN"/>
              </w:rPr>
              <w:t>优</w:t>
            </w:r>
          </w:p>
        </w:tc>
        <w:tc>
          <w:tcPr>
            <w:tcW w:w="2000" w:type="dxa"/>
            <w:tcBorders>
              <w:top w:val="nil"/>
              <w:left w:val="nil"/>
              <w:bottom w:val="single" w:color="auto" w:sz="4" w:space="0"/>
              <w:right w:val="single" w:color="auto" w:sz="4" w:space="0"/>
            </w:tcBorders>
            <w:vAlign w:val="center"/>
          </w:tcPr>
          <w:p w14:paraId="4905B09D">
            <w:pPr>
              <w:keepNext w:val="0"/>
              <w:keepLines w:val="0"/>
              <w:suppressLineNumbers w:val="0"/>
              <w:spacing w:before="0" w:beforeLines="0" w:beforeAutospacing="0" w:after="0" w:afterLines="0" w:afterAutospacing="0" w:line="520" w:lineRule="exact"/>
              <w:ind w:left="0" w:leftChars="0" w:right="0" w:rightChars="0"/>
              <w:jc w:val="center"/>
              <w:rPr>
                <w:rFonts w:ascii="仿宋_GB2312" w:hAnsi="宋体" w:eastAsia="仿宋_GB2312" w:cs="宋体"/>
                <w:color w:val="000000"/>
                <w:kern w:val="0"/>
                <w:sz w:val="28"/>
                <w:szCs w:val="28"/>
              </w:rPr>
            </w:pPr>
            <w:r>
              <w:rPr>
                <w:rFonts w:hint="eastAsia" w:ascii="仿宋_GB2312" w:hAnsi="仿宋" w:eastAsia="仿宋_GB2312" w:cs="Times New Roman"/>
                <w:sz w:val="28"/>
                <w:szCs w:val="28"/>
                <w:lang w:eastAsia="zh-CN"/>
              </w:rPr>
              <w:t>优</w:t>
            </w:r>
          </w:p>
        </w:tc>
        <w:tc>
          <w:tcPr>
            <w:tcW w:w="6088" w:type="dxa"/>
            <w:tcBorders>
              <w:top w:val="nil"/>
              <w:left w:val="nil"/>
              <w:bottom w:val="single" w:color="auto" w:sz="4" w:space="0"/>
              <w:right w:val="single" w:color="auto" w:sz="4" w:space="0"/>
            </w:tcBorders>
            <w:vAlign w:val="center"/>
          </w:tcPr>
          <w:p w14:paraId="436AD566">
            <w:pPr>
              <w:keepNext w:val="0"/>
              <w:keepLines w:val="0"/>
              <w:suppressLineNumbers w:val="0"/>
              <w:spacing w:before="0" w:beforeLines="0" w:beforeAutospacing="0" w:after="0" w:afterLines="0" w:afterAutospacing="0" w:line="520" w:lineRule="exact"/>
              <w:ind w:left="0" w:leftChars="0" w:right="0" w:rightChars="0"/>
              <w:jc w:val="center"/>
              <w:rPr>
                <w:rFonts w:ascii="仿宋_GB2312" w:hAnsi="宋体" w:eastAsia="仿宋_GB2312" w:cs="宋体"/>
                <w:color w:val="000000"/>
                <w:kern w:val="0"/>
                <w:sz w:val="28"/>
                <w:szCs w:val="28"/>
              </w:rPr>
            </w:pPr>
            <w:r>
              <w:rPr>
                <w:rFonts w:hint="eastAsia" w:ascii="仿宋_GB2312" w:hAnsi="仿宋" w:eastAsia="仿宋_GB2312" w:cs="Times New Roman"/>
                <w:sz w:val="28"/>
                <w:szCs w:val="28"/>
                <w:lang w:eastAsia="zh-CN"/>
              </w:rPr>
              <w:t>无</w:t>
            </w:r>
          </w:p>
        </w:tc>
      </w:tr>
    </w:tbl>
    <w:p w14:paraId="7F2B3F0B">
      <w:pPr>
        <w:numPr>
          <w:ilvl w:val="0"/>
          <w:numId w:val="0"/>
        </w:numPr>
        <w:spacing w:line="580" w:lineRule="exact"/>
        <w:rPr>
          <w:rFonts w:hint="eastAsia" w:ascii="仿宋_GB2312" w:eastAsia="仿宋_GB2312"/>
          <w:sz w:val="32"/>
          <w:szCs w:val="32"/>
          <w:lang w:eastAsia="zh-CN"/>
        </w:rPr>
      </w:pPr>
    </w:p>
    <w:p w14:paraId="031C1947">
      <w:pPr>
        <w:numPr>
          <w:ilvl w:val="0"/>
          <w:numId w:val="2"/>
        </w:numPr>
        <w:spacing w:line="580" w:lineRule="exact"/>
        <w:ind w:left="0" w:leftChars="0" w:firstLine="560" w:firstLineChars="200"/>
        <w:rPr>
          <w:rFonts w:hint="eastAsia" w:ascii="仿宋_GB2312" w:eastAsia="仿宋_GB2312"/>
          <w:sz w:val="28"/>
          <w:szCs w:val="28"/>
        </w:rPr>
      </w:pPr>
      <w:r>
        <w:rPr>
          <w:rFonts w:hint="eastAsia" w:ascii="仿宋_GB2312" w:eastAsia="仿宋_GB2312"/>
          <w:sz w:val="28"/>
          <w:szCs w:val="28"/>
        </w:rPr>
        <w:t>产出进度</w:t>
      </w:r>
    </w:p>
    <w:tbl>
      <w:tblPr>
        <w:tblStyle w:val="10"/>
        <w:tblW w:w="14555" w:type="dxa"/>
        <w:tblInd w:w="108" w:type="dxa"/>
        <w:tblLayout w:type="fixed"/>
        <w:tblCellMar>
          <w:top w:w="0" w:type="dxa"/>
          <w:left w:w="108" w:type="dxa"/>
          <w:bottom w:w="0" w:type="dxa"/>
          <w:right w:w="108" w:type="dxa"/>
        </w:tblCellMar>
      </w:tblPr>
      <w:tblGrid>
        <w:gridCol w:w="800"/>
        <w:gridCol w:w="3718"/>
        <w:gridCol w:w="1937"/>
        <w:gridCol w:w="2000"/>
        <w:gridCol w:w="6100"/>
      </w:tblGrid>
      <w:tr w14:paraId="417B256D">
        <w:tblPrEx>
          <w:tblCellMar>
            <w:top w:w="0" w:type="dxa"/>
            <w:left w:w="108" w:type="dxa"/>
            <w:bottom w:w="0" w:type="dxa"/>
            <w:right w:w="108" w:type="dxa"/>
          </w:tblCellMar>
        </w:tblPrEx>
        <w:trPr>
          <w:trHeight w:val="510" w:hRule="atLeast"/>
        </w:trPr>
        <w:tc>
          <w:tcPr>
            <w:tcW w:w="800" w:type="dxa"/>
            <w:tcBorders>
              <w:top w:val="single" w:color="auto" w:sz="4" w:space="0"/>
              <w:left w:val="single" w:color="auto" w:sz="4" w:space="0"/>
              <w:bottom w:val="single" w:color="auto" w:sz="4" w:space="0"/>
              <w:right w:val="single" w:color="auto" w:sz="4" w:space="0"/>
            </w:tcBorders>
            <w:vAlign w:val="center"/>
          </w:tcPr>
          <w:p w14:paraId="1A0F88BB">
            <w:pPr>
              <w:widowControl/>
              <w:spacing w:line="52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序号</w:t>
            </w:r>
          </w:p>
        </w:tc>
        <w:tc>
          <w:tcPr>
            <w:tcW w:w="3718" w:type="dxa"/>
            <w:tcBorders>
              <w:top w:val="single" w:color="auto" w:sz="4" w:space="0"/>
              <w:left w:val="nil"/>
              <w:bottom w:val="single" w:color="auto" w:sz="4" w:space="0"/>
              <w:right w:val="single" w:color="auto" w:sz="4" w:space="0"/>
            </w:tcBorders>
            <w:vAlign w:val="center"/>
          </w:tcPr>
          <w:p w14:paraId="68002C9A">
            <w:pPr>
              <w:widowControl/>
              <w:spacing w:line="52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三级指标</w:t>
            </w:r>
          </w:p>
        </w:tc>
        <w:tc>
          <w:tcPr>
            <w:tcW w:w="1937" w:type="dxa"/>
            <w:tcBorders>
              <w:top w:val="single" w:color="auto" w:sz="4" w:space="0"/>
              <w:left w:val="nil"/>
              <w:bottom w:val="single" w:color="auto" w:sz="4" w:space="0"/>
              <w:right w:val="single" w:color="auto" w:sz="4" w:space="0"/>
            </w:tcBorders>
            <w:vAlign w:val="center"/>
          </w:tcPr>
          <w:p w14:paraId="0C3E8693">
            <w:pPr>
              <w:widowControl/>
              <w:spacing w:line="52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计划值</w:t>
            </w:r>
          </w:p>
        </w:tc>
        <w:tc>
          <w:tcPr>
            <w:tcW w:w="2000" w:type="dxa"/>
            <w:tcBorders>
              <w:top w:val="single" w:color="auto" w:sz="4" w:space="0"/>
              <w:left w:val="nil"/>
              <w:bottom w:val="single" w:color="auto" w:sz="4" w:space="0"/>
              <w:right w:val="single" w:color="auto" w:sz="4" w:space="0"/>
            </w:tcBorders>
            <w:vAlign w:val="center"/>
          </w:tcPr>
          <w:p w14:paraId="4B292A63">
            <w:pPr>
              <w:widowControl/>
              <w:spacing w:line="52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完成值</w:t>
            </w:r>
          </w:p>
        </w:tc>
        <w:tc>
          <w:tcPr>
            <w:tcW w:w="6100" w:type="dxa"/>
            <w:tcBorders>
              <w:top w:val="single" w:color="auto" w:sz="4" w:space="0"/>
              <w:left w:val="nil"/>
              <w:bottom w:val="single" w:color="auto" w:sz="4" w:space="0"/>
              <w:right w:val="single" w:color="auto" w:sz="4" w:space="0"/>
            </w:tcBorders>
            <w:vAlign w:val="center"/>
          </w:tcPr>
          <w:p w14:paraId="1429B19D">
            <w:pPr>
              <w:widowControl/>
              <w:spacing w:line="52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偏差原因</w:t>
            </w:r>
          </w:p>
        </w:tc>
      </w:tr>
      <w:tr w14:paraId="5601ECA4">
        <w:tblPrEx>
          <w:tblCellMar>
            <w:top w:w="0" w:type="dxa"/>
            <w:left w:w="108" w:type="dxa"/>
            <w:bottom w:w="0" w:type="dxa"/>
            <w:right w:w="108" w:type="dxa"/>
          </w:tblCellMar>
        </w:tblPrEx>
        <w:trPr>
          <w:trHeight w:val="510" w:hRule="atLeast"/>
        </w:trPr>
        <w:tc>
          <w:tcPr>
            <w:tcW w:w="800" w:type="dxa"/>
            <w:tcBorders>
              <w:top w:val="nil"/>
              <w:left w:val="single" w:color="auto" w:sz="4" w:space="0"/>
              <w:bottom w:val="single" w:color="auto" w:sz="4" w:space="0"/>
              <w:right w:val="single" w:color="auto" w:sz="4" w:space="0"/>
            </w:tcBorders>
            <w:vAlign w:val="center"/>
          </w:tcPr>
          <w:p w14:paraId="61FAF907">
            <w:pPr>
              <w:widowControl/>
              <w:spacing w:line="520" w:lineRule="exact"/>
              <w:jc w:val="center"/>
              <w:rPr>
                <w:rFonts w:ascii="仿宋_GB2312" w:hAnsi="宋体" w:eastAsia="仿宋_GB2312" w:cs="宋体"/>
                <w:color w:val="000000"/>
                <w:kern w:val="0"/>
                <w:sz w:val="28"/>
                <w:szCs w:val="28"/>
              </w:rPr>
            </w:pPr>
            <w:r>
              <w:rPr>
                <w:rFonts w:ascii="仿宋_GB2312" w:hAnsi="宋体" w:eastAsia="仿宋_GB2312" w:cs="宋体"/>
                <w:color w:val="000000"/>
                <w:kern w:val="0"/>
                <w:sz w:val="28"/>
                <w:szCs w:val="28"/>
              </w:rPr>
              <w:t>1</w:t>
            </w:r>
          </w:p>
        </w:tc>
        <w:tc>
          <w:tcPr>
            <w:tcW w:w="3718" w:type="dxa"/>
            <w:tcBorders>
              <w:top w:val="nil"/>
              <w:left w:val="nil"/>
              <w:bottom w:val="single" w:color="auto" w:sz="4" w:space="0"/>
              <w:right w:val="single" w:color="auto" w:sz="4" w:space="0"/>
            </w:tcBorders>
            <w:vAlign w:val="center"/>
          </w:tcPr>
          <w:p w14:paraId="56931254">
            <w:pPr>
              <w:keepNext w:val="0"/>
              <w:keepLines w:val="0"/>
              <w:widowControl/>
              <w:suppressLineNumbers w:val="0"/>
              <w:spacing w:before="0" w:beforeAutospacing="0" w:after="0" w:afterAutospacing="0" w:line="520" w:lineRule="exact"/>
              <w:ind w:left="0" w:leftChars="0" w:right="0" w:rightChars="0"/>
              <w:jc w:val="left"/>
              <w:rPr>
                <w:rFonts w:ascii="仿宋_GB2312" w:hAnsi="宋体" w:eastAsia="仿宋_GB2312" w:cs="宋体"/>
                <w:color w:val="000000"/>
                <w:kern w:val="0"/>
                <w:sz w:val="28"/>
                <w:szCs w:val="28"/>
              </w:rPr>
            </w:pPr>
            <w:r>
              <w:rPr>
                <w:rFonts w:hint="eastAsia" w:ascii="仿宋_GB2312" w:hAnsi="仿宋_GB2312" w:eastAsia="仿宋_GB2312" w:cs="仿宋_GB2312"/>
                <w:sz w:val="28"/>
                <w:szCs w:val="28"/>
                <w:lang w:eastAsia="zh-CN"/>
              </w:rPr>
              <w:t>推进土地一级开发项目施工进程</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保障项目按时入市</w:t>
            </w:r>
            <w:r>
              <w:rPr>
                <w:rFonts w:hint="eastAsia" w:ascii="仿宋_GB2312" w:hAnsi="仿宋_GB2312" w:eastAsia="仿宋_GB2312" w:cs="仿宋_GB2312"/>
                <w:color w:val="000000"/>
                <w:kern w:val="0"/>
                <w:sz w:val="28"/>
                <w:szCs w:val="28"/>
              </w:rPr>
              <w:t>　</w:t>
            </w:r>
          </w:p>
        </w:tc>
        <w:tc>
          <w:tcPr>
            <w:tcW w:w="1937" w:type="dxa"/>
            <w:tcBorders>
              <w:top w:val="nil"/>
              <w:left w:val="nil"/>
              <w:bottom w:val="single" w:color="auto" w:sz="4" w:space="0"/>
              <w:right w:val="single" w:color="auto" w:sz="4" w:space="0"/>
            </w:tcBorders>
            <w:vAlign w:val="center"/>
          </w:tcPr>
          <w:p w14:paraId="45D935D5">
            <w:pPr>
              <w:keepNext w:val="0"/>
              <w:keepLines w:val="0"/>
              <w:widowControl/>
              <w:suppressLineNumbers w:val="0"/>
              <w:spacing w:before="0" w:beforeAutospacing="0" w:after="0" w:afterAutospacing="0" w:line="520" w:lineRule="exact"/>
              <w:ind w:left="0" w:leftChars="0" w:right="0" w:rightChars="0"/>
              <w:jc w:val="center"/>
              <w:rPr>
                <w:rFonts w:ascii="仿宋_GB2312" w:hAnsi="宋体" w:eastAsia="仿宋_GB2312" w:cs="宋体"/>
                <w:color w:val="000000"/>
                <w:kern w:val="0"/>
                <w:sz w:val="28"/>
                <w:szCs w:val="28"/>
              </w:rPr>
            </w:pPr>
            <w:r>
              <w:rPr>
                <w:rFonts w:hint="eastAsia" w:ascii="仿宋_GB2312" w:hAnsi="仿宋_GB2312" w:eastAsia="仿宋_GB2312" w:cs="仿宋_GB2312"/>
                <w:sz w:val="28"/>
                <w:szCs w:val="28"/>
                <w:lang w:eastAsia="zh-CN"/>
              </w:rPr>
              <w:t>优</w:t>
            </w:r>
            <w:r>
              <w:rPr>
                <w:rFonts w:hint="eastAsia" w:ascii="仿宋_GB2312" w:hAnsi="仿宋_GB2312" w:eastAsia="仿宋_GB2312" w:cs="仿宋_GB2312"/>
                <w:color w:val="000000"/>
                <w:kern w:val="0"/>
                <w:sz w:val="28"/>
                <w:szCs w:val="28"/>
              </w:rPr>
              <w:t>　</w:t>
            </w:r>
          </w:p>
        </w:tc>
        <w:tc>
          <w:tcPr>
            <w:tcW w:w="2000" w:type="dxa"/>
            <w:tcBorders>
              <w:top w:val="nil"/>
              <w:left w:val="nil"/>
              <w:bottom w:val="single" w:color="auto" w:sz="4" w:space="0"/>
              <w:right w:val="single" w:color="auto" w:sz="4" w:space="0"/>
            </w:tcBorders>
            <w:vAlign w:val="center"/>
          </w:tcPr>
          <w:p w14:paraId="27FEC4B8">
            <w:pPr>
              <w:keepNext w:val="0"/>
              <w:keepLines w:val="0"/>
              <w:widowControl/>
              <w:suppressLineNumbers w:val="0"/>
              <w:spacing w:before="0" w:beforeAutospacing="0" w:after="0" w:afterAutospacing="0" w:line="520" w:lineRule="exact"/>
              <w:ind w:left="0" w:leftChars="0" w:right="0" w:rightChars="0"/>
              <w:jc w:val="center"/>
              <w:rPr>
                <w:rFonts w:ascii="仿宋_GB2312" w:hAnsi="宋体" w:eastAsia="仿宋_GB2312" w:cs="宋体"/>
                <w:color w:val="000000"/>
                <w:kern w:val="0"/>
                <w:sz w:val="28"/>
                <w:szCs w:val="28"/>
              </w:rPr>
            </w:pPr>
            <w:r>
              <w:rPr>
                <w:rFonts w:hint="eastAsia" w:ascii="仿宋_GB2312" w:hAnsi="仿宋_GB2312" w:eastAsia="仿宋_GB2312" w:cs="仿宋_GB2312"/>
                <w:sz w:val="28"/>
                <w:szCs w:val="28"/>
                <w:lang w:eastAsia="zh-CN"/>
              </w:rPr>
              <w:t>优</w:t>
            </w:r>
            <w:r>
              <w:rPr>
                <w:rFonts w:hint="eastAsia" w:ascii="仿宋_GB2312" w:hAnsi="仿宋_GB2312" w:eastAsia="仿宋_GB2312" w:cs="仿宋_GB2312"/>
                <w:color w:val="000000"/>
                <w:kern w:val="0"/>
                <w:sz w:val="28"/>
                <w:szCs w:val="28"/>
              </w:rPr>
              <w:t>　　</w:t>
            </w:r>
          </w:p>
        </w:tc>
        <w:tc>
          <w:tcPr>
            <w:tcW w:w="6100" w:type="dxa"/>
            <w:tcBorders>
              <w:top w:val="nil"/>
              <w:left w:val="nil"/>
              <w:bottom w:val="single" w:color="auto" w:sz="4" w:space="0"/>
              <w:right w:val="single" w:color="auto" w:sz="4" w:space="0"/>
            </w:tcBorders>
            <w:vAlign w:val="center"/>
          </w:tcPr>
          <w:p w14:paraId="55DA67AC">
            <w:pPr>
              <w:keepNext w:val="0"/>
              <w:keepLines w:val="0"/>
              <w:widowControl/>
              <w:suppressLineNumbers w:val="0"/>
              <w:spacing w:before="0" w:beforeAutospacing="0" w:after="0" w:afterAutospacing="0" w:line="520" w:lineRule="exact"/>
              <w:ind w:left="0" w:leftChars="0" w:right="0" w:rightChars="0"/>
              <w:jc w:val="center"/>
              <w:rPr>
                <w:rFonts w:ascii="仿宋_GB2312" w:hAnsi="宋体" w:eastAsia="仿宋_GB2312" w:cs="宋体"/>
                <w:color w:val="000000"/>
                <w:kern w:val="0"/>
                <w:sz w:val="28"/>
                <w:szCs w:val="28"/>
              </w:rPr>
            </w:pPr>
            <w:r>
              <w:rPr>
                <w:rFonts w:hint="eastAsia" w:ascii="仿宋_GB2312" w:hAnsi="仿宋_GB2312" w:eastAsia="仿宋_GB2312" w:cs="仿宋_GB2312"/>
                <w:color w:val="000000"/>
                <w:kern w:val="0"/>
                <w:sz w:val="28"/>
                <w:szCs w:val="28"/>
                <w:lang w:eastAsia="zh-CN"/>
              </w:rPr>
              <w:t>无</w:t>
            </w:r>
            <w:r>
              <w:rPr>
                <w:rFonts w:hint="eastAsia" w:ascii="仿宋_GB2312" w:hAnsi="仿宋_GB2312" w:eastAsia="仿宋_GB2312" w:cs="仿宋_GB2312"/>
                <w:color w:val="000000"/>
                <w:kern w:val="0"/>
                <w:sz w:val="28"/>
                <w:szCs w:val="28"/>
              </w:rPr>
              <w:t>　</w:t>
            </w:r>
          </w:p>
        </w:tc>
      </w:tr>
    </w:tbl>
    <w:p w14:paraId="200FA0C6">
      <w:pPr>
        <w:numPr>
          <w:ilvl w:val="0"/>
          <w:numId w:val="0"/>
        </w:numPr>
        <w:spacing w:line="580" w:lineRule="exact"/>
        <w:ind w:left="640" w:leftChars="0"/>
        <w:rPr>
          <w:rFonts w:hint="eastAsia" w:ascii="仿宋_GB2312" w:eastAsia="仿宋_GB2312"/>
          <w:sz w:val="32"/>
          <w:szCs w:val="32"/>
        </w:rPr>
      </w:pPr>
    </w:p>
    <w:p w14:paraId="112390B4">
      <w:pPr>
        <w:spacing w:line="580" w:lineRule="exact"/>
        <w:ind w:firstLine="640"/>
        <w:rPr>
          <w:rFonts w:hint="eastAsia" w:ascii="仿宋_GB2312" w:eastAsia="仿宋_GB2312"/>
          <w:sz w:val="32"/>
          <w:szCs w:val="32"/>
        </w:rPr>
      </w:pPr>
    </w:p>
    <w:p w14:paraId="7FF000C5">
      <w:pPr>
        <w:spacing w:line="580" w:lineRule="exact"/>
        <w:ind w:firstLine="640"/>
        <w:rPr>
          <w:rFonts w:hint="eastAsia" w:ascii="仿宋_GB2312" w:eastAsia="仿宋_GB2312"/>
          <w:sz w:val="32"/>
          <w:szCs w:val="32"/>
        </w:rPr>
      </w:pPr>
    </w:p>
    <w:p w14:paraId="6CEE9C91">
      <w:pPr>
        <w:spacing w:line="580" w:lineRule="exact"/>
        <w:rPr>
          <w:rFonts w:hint="eastAsia" w:ascii="仿宋_GB2312" w:eastAsia="仿宋_GB2312"/>
          <w:sz w:val="32"/>
          <w:szCs w:val="32"/>
        </w:rPr>
      </w:pPr>
    </w:p>
    <w:p w14:paraId="7322D2F7">
      <w:pPr>
        <w:numPr>
          <w:ilvl w:val="0"/>
          <w:numId w:val="2"/>
        </w:numPr>
        <w:spacing w:line="580" w:lineRule="exact"/>
        <w:ind w:left="0" w:leftChars="0" w:firstLine="560" w:firstLineChars="200"/>
        <w:rPr>
          <w:rFonts w:hint="eastAsia" w:ascii="仿宋_GB2312" w:eastAsia="仿宋_GB2312"/>
          <w:sz w:val="28"/>
          <w:szCs w:val="28"/>
        </w:rPr>
      </w:pPr>
      <w:r>
        <w:rPr>
          <w:rFonts w:hint="eastAsia" w:ascii="仿宋_GB2312" w:eastAsia="仿宋_GB2312"/>
          <w:sz w:val="28"/>
          <w:szCs w:val="28"/>
        </w:rPr>
        <w:t>产出成本</w:t>
      </w:r>
    </w:p>
    <w:tbl>
      <w:tblPr>
        <w:tblStyle w:val="10"/>
        <w:tblW w:w="14568" w:type="dxa"/>
        <w:tblInd w:w="108" w:type="dxa"/>
        <w:tblLayout w:type="fixed"/>
        <w:tblCellMar>
          <w:top w:w="0" w:type="dxa"/>
          <w:left w:w="108" w:type="dxa"/>
          <w:bottom w:w="0" w:type="dxa"/>
          <w:right w:w="108" w:type="dxa"/>
        </w:tblCellMar>
      </w:tblPr>
      <w:tblGrid>
        <w:gridCol w:w="800"/>
        <w:gridCol w:w="2100"/>
        <w:gridCol w:w="2100"/>
        <w:gridCol w:w="2100"/>
        <w:gridCol w:w="7468"/>
      </w:tblGrid>
      <w:tr w14:paraId="6F64DB39">
        <w:tblPrEx>
          <w:tblCellMar>
            <w:top w:w="0" w:type="dxa"/>
            <w:left w:w="108" w:type="dxa"/>
            <w:bottom w:w="0" w:type="dxa"/>
            <w:right w:w="108" w:type="dxa"/>
          </w:tblCellMar>
        </w:tblPrEx>
        <w:trPr>
          <w:trHeight w:val="510" w:hRule="atLeast"/>
        </w:trPr>
        <w:tc>
          <w:tcPr>
            <w:tcW w:w="800" w:type="dxa"/>
            <w:tcBorders>
              <w:top w:val="single" w:color="auto" w:sz="4" w:space="0"/>
              <w:left w:val="single" w:color="auto" w:sz="4" w:space="0"/>
              <w:bottom w:val="single" w:color="auto" w:sz="4" w:space="0"/>
              <w:right w:val="single" w:color="auto" w:sz="4" w:space="0"/>
            </w:tcBorders>
            <w:vAlign w:val="center"/>
          </w:tcPr>
          <w:p w14:paraId="38FCD000">
            <w:pPr>
              <w:widowControl/>
              <w:spacing w:line="52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序号</w:t>
            </w:r>
          </w:p>
        </w:tc>
        <w:tc>
          <w:tcPr>
            <w:tcW w:w="2100" w:type="dxa"/>
            <w:tcBorders>
              <w:top w:val="single" w:color="auto" w:sz="4" w:space="0"/>
              <w:left w:val="nil"/>
              <w:bottom w:val="single" w:color="auto" w:sz="4" w:space="0"/>
              <w:right w:val="single" w:color="auto" w:sz="4" w:space="0"/>
            </w:tcBorders>
            <w:vAlign w:val="center"/>
          </w:tcPr>
          <w:p w14:paraId="3B7D9C70">
            <w:pPr>
              <w:widowControl/>
              <w:spacing w:line="52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三级指标</w:t>
            </w:r>
          </w:p>
        </w:tc>
        <w:tc>
          <w:tcPr>
            <w:tcW w:w="2100" w:type="dxa"/>
            <w:tcBorders>
              <w:top w:val="single" w:color="auto" w:sz="4" w:space="0"/>
              <w:left w:val="nil"/>
              <w:bottom w:val="single" w:color="auto" w:sz="4" w:space="0"/>
              <w:right w:val="single" w:color="auto" w:sz="4" w:space="0"/>
            </w:tcBorders>
            <w:vAlign w:val="center"/>
          </w:tcPr>
          <w:p w14:paraId="4375BA15">
            <w:pPr>
              <w:widowControl/>
              <w:spacing w:line="52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计划值</w:t>
            </w:r>
          </w:p>
        </w:tc>
        <w:tc>
          <w:tcPr>
            <w:tcW w:w="2100" w:type="dxa"/>
            <w:tcBorders>
              <w:top w:val="single" w:color="auto" w:sz="4" w:space="0"/>
              <w:left w:val="nil"/>
              <w:bottom w:val="single" w:color="auto" w:sz="4" w:space="0"/>
              <w:right w:val="single" w:color="auto" w:sz="4" w:space="0"/>
            </w:tcBorders>
            <w:vAlign w:val="center"/>
          </w:tcPr>
          <w:p w14:paraId="0922635D">
            <w:pPr>
              <w:widowControl/>
              <w:spacing w:line="52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完成值</w:t>
            </w:r>
          </w:p>
        </w:tc>
        <w:tc>
          <w:tcPr>
            <w:tcW w:w="7468" w:type="dxa"/>
            <w:tcBorders>
              <w:top w:val="single" w:color="auto" w:sz="4" w:space="0"/>
              <w:left w:val="nil"/>
              <w:bottom w:val="single" w:color="auto" w:sz="4" w:space="0"/>
              <w:right w:val="single" w:color="auto" w:sz="4" w:space="0"/>
            </w:tcBorders>
            <w:vAlign w:val="center"/>
          </w:tcPr>
          <w:p w14:paraId="7F9D6C08">
            <w:pPr>
              <w:widowControl/>
              <w:spacing w:line="52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偏差原因</w:t>
            </w:r>
          </w:p>
        </w:tc>
      </w:tr>
      <w:tr w14:paraId="48E84FBF">
        <w:tblPrEx>
          <w:tblCellMar>
            <w:top w:w="0" w:type="dxa"/>
            <w:left w:w="108" w:type="dxa"/>
            <w:bottom w:w="0" w:type="dxa"/>
            <w:right w:w="108" w:type="dxa"/>
          </w:tblCellMar>
        </w:tblPrEx>
        <w:trPr>
          <w:trHeight w:val="510" w:hRule="atLeast"/>
        </w:trPr>
        <w:tc>
          <w:tcPr>
            <w:tcW w:w="800" w:type="dxa"/>
            <w:tcBorders>
              <w:top w:val="nil"/>
              <w:left w:val="single" w:color="auto" w:sz="4" w:space="0"/>
              <w:bottom w:val="single" w:color="auto" w:sz="4" w:space="0"/>
              <w:right w:val="single" w:color="auto" w:sz="4" w:space="0"/>
            </w:tcBorders>
            <w:vAlign w:val="center"/>
          </w:tcPr>
          <w:p w14:paraId="76949982">
            <w:pPr>
              <w:widowControl/>
              <w:spacing w:line="520" w:lineRule="exact"/>
              <w:jc w:val="center"/>
              <w:rPr>
                <w:rFonts w:ascii="仿宋_GB2312" w:hAnsi="宋体" w:eastAsia="仿宋_GB2312" w:cs="宋体"/>
                <w:color w:val="000000"/>
                <w:kern w:val="0"/>
                <w:sz w:val="28"/>
                <w:szCs w:val="28"/>
              </w:rPr>
            </w:pPr>
            <w:r>
              <w:rPr>
                <w:rFonts w:ascii="仿宋_GB2312" w:hAnsi="宋体" w:eastAsia="仿宋_GB2312" w:cs="宋体"/>
                <w:color w:val="000000"/>
                <w:kern w:val="0"/>
                <w:sz w:val="28"/>
                <w:szCs w:val="28"/>
              </w:rPr>
              <w:t>1</w:t>
            </w:r>
          </w:p>
        </w:tc>
        <w:tc>
          <w:tcPr>
            <w:tcW w:w="2100" w:type="dxa"/>
            <w:tcBorders>
              <w:top w:val="nil"/>
              <w:left w:val="nil"/>
              <w:bottom w:val="single" w:color="auto" w:sz="4" w:space="0"/>
              <w:right w:val="single" w:color="auto" w:sz="4" w:space="0"/>
            </w:tcBorders>
            <w:vAlign w:val="center"/>
          </w:tcPr>
          <w:p w14:paraId="20276C9B">
            <w:pPr>
              <w:keepNext w:val="0"/>
              <w:keepLines w:val="0"/>
              <w:widowControl/>
              <w:suppressLineNumbers w:val="0"/>
              <w:spacing w:before="0" w:beforeLines="0" w:beforeAutospacing="0" w:after="0" w:afterLines="0" w:afterAutospacing="0" w:line="360" w:lineRule="exact"/>
              <w:ind w:left="0" w:leftChars="0" w:right="0" w:rightChars="0" w:firstLine="0" w:firstLineChars="0"/>
              <w:jc w:val="center"/>
              <w:rPr>
                <w:rFonts w:ascii="仿宋_GB2312" w:hAnsi="宋体" w:eastAsia="仿宋_GB2312" w:cs="宋体"/>
                <w:color w:val="000000"/>
                <w:kern w:val="0"/>
                <w:sz w:val="28"/>
                <w:szCs w:val="28"/>
              </w:rPr>
            </w:pPr>
            <w:r>
              <w:rPr>
                <w:rFonts w:hint="eastAsia" w:ascii="仿宋_GB2312" w:hAnsi="仿宋_GB2312" w:eastAsia="仿宋_GB2312" w:cs="仿宋_GB2312"/>
                <w:sz w:val="28"/>
                <w:szCs w:val="28"/>
                <w:lang w:eastAsia="zh-CN"/>
              </w:rPr>
              <w:t>预算控制数</w:t>
            </w:r>
          </w:p>
        </w:tc>
        <w:tc>
          <w:tcPr>
            <w:tcW w:w="2100" w:type="dxa"/>
            <w:tcBorders>
              <w:top w:val="nil"/>
              <w:left w:val="nil"/>
              <w:bottom w:val="single" w:color="auto" w:sz="4" w:space="0"/>
              <w:right w:val="single" w:color="auto" w:sz="4" w:space="0"/>
            </w:tcBorders>
            <w:vAlign w:val="center"/>
          </w:tcPr>
          <w:p w14:paraId="343D3EEA">
            <w:pPr>
              <w:keepNext w:val="0"/>
              <w:keepLines w:val="0"/>
              <w:widowControl/>
              <w:suppressLineNumbers w:val="0"/>
              <w:spacing w:before="0" w:beforeAutospacing="0" w:after="0" w:afterAutospacing="0" w:line="520" w:lineRule="exact"/>
              <w:ind w:left="0" w:leftChars="0" w:right="0" w:rightChars="0"/>
              <w:jc w:val="center"/>
              <w:rPr>
                <w:rFonts w:ascii="仿宋_GB2312" w:hAnsi="宋体" w:eastAsia="仿宋_GB2312" w:cs="宋体"/>
                <w:color w:val="000000"/>
                <w:kern w:val="0"/>
                <w:sz w:val="28"/>
                <w:szCs w:val="28"/>
              </w:rPr>
            </w:pPr>
            <w:r>
              <w:rPr>
                <w:rFonts w:hint="eastAsia" w:ascii="仿宋_GB2312" w:hAnsi="仿宋_GB2312" w:eastAsia="仿宋_GB2312" w:cs="仿宋_GB2312"/>
                <w:sz w:val="28"/>
                <w:szCs w:val="28"/>
              </w:rPr>
              <w:t>≤</w:t>
            </w:r>
            <w:r>
              <w:rPr>
                <w:rFonts w:hint="eastAsia" w:ascii="仿宋_GB2312" w:hAnsi="仿宋" w:eastAsia="仿宋_GB2312" w:cs="Times New Roman"/>
                <w:sz w:val="28"/>
                <w:szCs w:val="28"/>
                <w:lang w:val="en-US" w:eastAsia="zh-CN"/>
              </w:rPr>
              <w:t>349.70</w:t>
            </w:r>
            <w:r>
              <w:rPr>
                <w:rFonts w:hint="eastAsia" w:ascii="仿宋_GB2312" w:hAnsi="仿宋_GB2312" w:eastAsia="仿宋_GB2312" w:cs="仿宋_GB2312"/>
                <w:sz w:val="28"/>
                <w:szCs w:val="28"/>
                <w:lang w:val="en-US" w:eastAsia="zh-CN"/>
              </w:rPr>
              <w:t>万元</w:t>
            </w:r>
            <w:r>
              <w:rPr>
                <w:rFonts w:hint="eastAsia" w:ascii="仿宋_GB2312" w:hAnsi="仿宋_GB2312" w:eastAsia="仿宋_GB2312" w:cs="仿宋_GB2312"/>
                <w:color w:val="000000"/>
                <w:kern w:val="0"/>
                <w:sz w:val="28"/>
                <w:szCs w:val="28"/>
              </w:rPr>
              <w:t>　</w:t>
            </w:r>
          </w:p>
        </w:tc>
        <w:tc>
          <w:tcPr>
            <w:tcW w:w="2100" w:type="dxa"/>
            <w:tcBorders>
              <w:top w:val="nil"/>
              <w:left w:val="nil"/>
              <w:bottom w:val="single" w:color="auto" w:sz="4" w:space="0"/>
              <w:right w:val="single" w:color="auto" w:sz="4" w:space="0"/>
            </w:tcBorders>
            <w:vAlign w:val="center"/>
          </w:tcPr>
          <w:p w14:paraId="175AE955">
            <w:pPr>
              <w:keepNext w:val="0"/>
              <w:keepLines w:val="0"/>
              <w:widowControl/>
              <w:suppressLineNumbers w:val="0"/>
              <w:spacing w:before="0" w:beforeAutospacing="0" w:after="0" w:afterAutospacing="0" w:line="520" w:lineRule="exact"/>
              <w:ind w:left="0" w:leftChars="0" w:right="0" w:rightChars="0"/>
              <w:jc w:val="center"/>
              <w:rPr>
                <w:rFonts w:ascii="仿宋_GB2312" w:hAnsi="宋体" w:eastAsia="仿宋_GB2312" w:cs="宋体"/>
                <w:color w:val="000000"/>
                <w:kern w:val="0"/>
                <w:sz w:val="28"/>
                <w:szCs w:val="28"/>
              </w:rPr>
            </w:pPr>
            <w:r>
              <w:rPr>
                <w:rFonts w:hint="eastAsia" w:ascii="仿宋_GB2312" w:hAnsi="仿宋_GB2312" w:eastAsia="仿宋_GB2312" w:cs="仿宋_GB2312"/>
                <w:sz w:val="28"/>
                <w:szCs w:val="28"/>
                <w:lang w:val="en-US" w:eastAsia="zh-CN"/>
              </w:rPr>
              <w:t>13634.47</w:t>
            </w:r>
            <w:r>
              <w:rPr>
                <w:rFonts w:hint="eastAsia" w:ascii="仿宋_GB2312" w:hAnsi="仿宋_GB2312" w:eastAsia="仿宋_GB2312" w:cs="仿宋_GB2312"/>
                <w:sz w:val="28"/>
                <w:szCs w:val="28"/>
              </w:rPr>
              <w:t>万元</w:t>
            </w:r>
            <w:r>
              <w:rPr>
                <w:rFonts w:hint="eastAsia" w:ascii="仿宋_GB2312" w:hAnsi="仿宋_GB2312" w:eastAsia="仿宋_GB2312" w:cs="仿宋_GB2312"/>
                <w:color w:val="000000"/>
                <w:kern w:val="0"/>
                <w:sz w:val="28"/>
                <w:szCs w:val="28"/>
              </w:rPr>
              <w:t>　　</w:t>
            </w:r>
          </w:p>
        </w:tc>
        <w:tc>
          <w:tcPr>
            <w:tcW w:w="7468" w:type="dxa"/>
            <w:tcBorders>
              <w:top w:val="nil"/>
              <w:left w:val="nil"/>
              <w:bottom w:val="single" w:color="auto" w:sz="4" w:space="0"/>
              <w:right w:val="single" w:color="auto" w:sz="4" w:space="0"/>
            </w:tcBorders>
            <w:vAlign w:val="center"/>
          </w:tcPr>
          <w:p w14:paraId="6E581F09">
            <w:pPr>
              <w:keepNext w:val="0"/>
              <w:keepLines w:val="0"/>
              <w:widowControl/>
              <w:suppressLineNumbers w:val="0"/>
              <w:spacing w:before="0" w:beforeAutospacing="0" w:after="0" w:afterAutospacing="0" w:line="520" w:lineRule="exact"/>
              <w:ind w:left="0" w:leftChars="0" w:right="0" w:rightChars="0"/>
              <w:jc w:val="left"/>
              <w:rPr>
                <w:rFonts w:ascii="仿宋_GB2312" w:hAnsi="宋体" w:eastAsia="仿宋_GB2312" w:cs="宋体"/>
                <w:color w:val="000000"/>
                <w:kern w:val="0"/>
                <w:sz w:val="28"/>
                <w:szCs w:val="28"/>
              </w:rPr>
            </w:pPr>
            <w:r>
              <w:rPr>
                <w:rFonts w:hint="eastAsia" w:ascii="仿宋_GB2312" w:hAnsi="仿宋_GB2312" w:eastAsia="仿宋_GB2312" w:cs="仿宋_GB2312"/>
                <w:sz w:val="28"/>
                <w:szCs w:val="28"/>
                <w:lang w:eastAsia="zh-CN"/>
              </w:rPr>
              <w:t>土地一级开发费用减少，下一步在预算编报及支付环节加强预算管理及绩效监督工作，合理利用资金，确保资金高效使用。</w:t>
            </w:r>
          </w:p>
        </w:tc>
      </w:tr>
    </w:tbl>
    <w:p w14:paraId="25761BAB">
      <w:pPr>
        <w:numPr>
          <w:ilvl w:val="0"/>
          <w:numId w:val="0"/>
        </w:numPr>
        <w:spacing w:line="580" w:lineRule="exact"/>
        <w:ind w:left="640" w:leftChars="0"/>
        <w:rPr>
          <w:rFonts w:hint="eastAsia" w:ascii="仿宋_GB2312" w:eastAsia="仿宋_GB2312"/>
          <w:sz w:val="32"/>
          <w:szCs w:val="32"/>
        </w:rPr>
      </w:pPr>
    </w:p>
    <w:p w14:paraId="77B8D49A">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2.效果实现情况分析</w:t>
      </w:r>
    </w:p>
    <w:p w14:paraId="219B05E4">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（1）经济效益</w:t>
      </w:r>
    </w:p>
    <w:tbl>
      <w:tblPr>
        <w:tblStyle w:val="10"/>
        <w:tblW w:w="14580" w:type="dxa"/>
        <w:tblInd w:w="108" w:type="dxa"/>
        <w:tblLayout w:type="fixed"/>
        <w:tblCellMar>
          <w:top w:w="0" w:type="dxa"/>
          <w:left w:w="108" w:type="dxa"/>
          <w:bottom w:w="0" w:type="dxa"/>
          <w:right w:w="108" w:type="dxa"/>
        </w:tblCellMar>
      </w:tblPr>
      <w:tblGrid>
        <w:gridCol w:w="800"/>
        <w:gridCol w:w="4443"/>
        <w:gridCol w:w="1250"/>
        <w:gridCol w:w="2025"/>
        <w:gridCol w:w="6062"/>
      </w:tblGrid>
      <w:tr w14:paraId="7C734A22">
        <w:tblPrEx>
          <w:tblCellMar>
            <w:top w:w="0" w:type="dxa"/>
            <w:left w:w="108" w:type="dxa"/>
            <w:bottom w:w="0" w:type="dxa"/>
            <w:right w:w="108" w:type="dxa"/>
          </w:tblCellMar>
        </w:tblPrEx>
        <w:trPr>
          <w:trHeight w:val="510" w:hRule="atLeast"/>
        </w:trPr>
        <w:tc>
          <w:tcPr>
            <w:tcW w:w="800" w:type="dxa"/>
            <w:tcBorders>
              <w:top w:val="single" w:color="auto" w:sz="4" w:space="0"/>
              <w:left w:val="single" w:color="auto" w:sz="4" w:space="0"/>
              <w:bottom w:val="single" w:color="auto" w:sz="4" w:space="0"/>
              <w:right w:val="single" w:color="auto" w:sz="4" w:space="0"/>
            </w:tcBorders>
            <w:vAlign w:val="center"/>
          </w:tcPr>
          <w:p w14:paraId="56ACCCE1">
            <w:pPr>
              <w:keepNext w:val="0"/>
              <w:keepLines w:val="0"/>
              <w:widowControl/>
              <w:suppressLineNumbers w:val="0"/>
              <w:spacing w:before="0" w:beforeAutospacing="0" w:after="0" w:afterAutospacing="0" w:line="520" w:lineRule="exact"/>
              <w:ind w:left="0" w:right="0"/>
              <w:jc w:val="center"/>
              <w:rPr>
                <w:rFonts w:hint="default"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序号</w:t>
            </w:r>
          </w:p>
        </w:tc>
        <w:tc>
          <w:tcPr>
            <w:tcW w:w="4443" w:type="dxa"/>
            <w:tcBorders>
              <w:top w:val="single" w:color="auto" w:sz="4" w:space="0"/>
              <w:left w:val="nil"/>
              <w:bottom w:val="single" w:color="auto" w:sz="4" w:space="0"/>
              <w:right w:val="single" w:color="auto" w:sz="4" w:space="0"/>
            </w:tcBorders>
            <w:vAlign w:val="center"/>
          </w:tcPr>
          <w:p w14:paraId="16767E5B">
            <w:pPr>
              <w:keepNext w:val="0"/>
              <w:keepLines w:val="0"/>
              <w:widowControl/>
              <w:suppressLineNumbers w:val="0"/>
              <w:spacing w:before="0" w:beforeAutospacing="0" w:after="0" w:afterAutospacing="0" w:line="520" w:lineRule="exact"/>
              <w:ind w:left="0" w:right="0"/>
              <w:jc w:val="center"/>
              <w:rPr>
                <w:rFonts w:hint="default"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三级指标</w:t>
            </w:r>
          </w:p>
        </w:tc>
        <w:tc>
          <w:tcPr>
            <w:tcW w:w="1250" w:type="dxa"/>
            <w:tcBorders>
              <w:top w:val="single" w:color="auto" w:sz="4" w:space="0"/>
              <w:left w:val="nil"/>
              <w:bottom w:val="single" w:color="auto" w:sz="4" w:space="0"/>
              <w:right w:val="single" w:color="auto" w:sz="4" w:space="0"/>
            </w:tcBorders>
            <w:vAlign w:val="center"/>
          </w:tcPr>
          <w:p w14:paraId="4416ED6B">
            <w:pPr>
              <w:keepNext w:val="0"/>
              <w:keepLines w:val="0"/>
              <w:widowControl/>
              <w:suppressLineNumbers w:val="0"/>
              <w:spacing w:before="0" w:beforeAutospacing="0" w:after="0" w:afterAutospacing="0" w:line="520" w:lineRule="exact"/>
              <w:ind w:left="0" w:right="0"/>
              <w:jc w:val="center"/>
              <w:rPr>
                <w:rFonts w:hint="default"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计划值</w:t>
            </w:r>
          </w:p>
        </w:tc>
        <w:tc>
          <w:tcPr>
            <w:tcW w:w="2025" w:type="dxa"/>
            <w:tcBorders>
              <w:top w:val="single" w:color="auto" w:sz="4" w:space="0"/>
              <w:left w:val="nil"/>
              <w:bottom w:val="single" w:color="auto" w:sz="4" w:space="0"/>
              <w:right w:val="single" w:color="auto" w:sz="4" w:space="0"/>
            </w:tcBorders>
            <w:vAlign w:val="center"/>
          </w:tcPr>
          <w:p w14:paraId="2D6181F6">
            <w:pPr>
              <w:keepNext w:val="0"/>
              <w:keepLines w:val="0"/>
              <w:widowControl/>
              <w:suppressLineNumbers w:val="0"/>
              <w:spacing w:before="0" w:beforeAutospacing="0" w:after="0" w:afterAutospacing="0" w:line="520" w:lineRule="exact"/>
              <w:ind w:left="0" w:right="0"/>
              <w:jc w:val="center"/>
              <w:rPr>
                <w:rFonts w:hint="default"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完成值</w:t>
            </w:r>
          </w:p>
        </w:tc>
        <w:tc>
          <w:tcPr>
            <w:tcW w:w="6062" w:type="dxa"/>
            <w:tcBorders>
              <w:top w:val="single" w:color="auto" w:sz="4" w:space="0"/>
              <w:left w:val="nil"/>
              <w:bottom w:val="single" w:color="auto" w:sz="4" w:space="0"/>
              <w:right w:val="single" w:color="auto" w:sz="4" w:space="0"/>
            </w:tcBorders>
            <w:vAlign w:val="center"/>
          </w:tcPr>
          <w:p w14:paraId="579F213D">
            <w:pPr>
              <w:keepNext w:val="0"/>
              <w:keepLines w:val="0"/>
              <w:widowControl/>
              <w:suppressLineNumbers w:val="0"/>
              <w:spacing w:before="0" w:beforeAutospacing="0" w:after="0" w:afterAutospacing="0" w:line="520" w:lineRule="exact"/>
              <w:ind w:left="0" w:right="0"/>
              <w:jc w:val="center"/>
              <w:rPr>
                <w:rFonts w:hint="default"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偏差原因</w:t>
            </w:r>
          </w:p>
        </w:tc>
      </w:tr>
      <w:tr w14:paraId="4B6F0B1B">
        <w:tblPrEx>
          <w:tblCellMar>
            <w:top w:w="0" w:type="dxa"/>
            <w:left w:w="108" w:type="dxa"/>
            <w:bottom w:w="0" w:type="dxa"/>
            <w:right w:w="108" w:type="dxa"/>
          </w:tblCellMar>
        </w:tblPrEx>
        <w:trPr>
          <w:trHeight w:val="730" w:hRule="atLeast"/>
        </w:trPr>
        <w:tc>
          <w:tcPr>
            <w:tcW w:w="800" w:type="dxa"/>
            <w:tcBorders>
              <w:top w:val="nil"/>
              <w:left w:val="single" w:color="auto" w:sz="4" w:space="0"/>
              <w:bottom w:val="single" w:color="auto" w:sz="4" w:space="0"/>
              <w:right w:val="single" w:color="auto" w:sz="4" w:space="0"/>
            </w:tcBorders>
            <w:vAlign w:val="center"/>
          </w:tcPr>
          <w:p w14:paraId="60B36625">
            <w:pPr>
              <w:keepNext w:val="0"/>
              <w:keepLines w:val="0"/>
              <w:widowControl/>
              <w:suppressLineNumbers w:val="0"/>
              <w:spacing w:before="0" w:beforeAutospacing="0" w:after="0" w:afterAutospacing="0" w:line="520" w:lineRule="exact"/>
              <w:ind w:left="0" w:right="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w:t>
            </w:r>
          </w:p>
        </w:tc>
        <w:tc>
          <w:tcPr>
            <w:tcW w:w="4443" w:type="dxa"/>
            <w:tcBorders>
              <w:top w:val="nil"/>
              <w:left w:val="nil"/>
              <w:bottom w:val="single" w:color="auto" w:sz="4" w:space="0"/>
              <w:right w:val="single" w:color="auto" w:sz="4" w:space="0"/>
            </w:tcBorders>
            <w:vAlign w:val="center"/>
          </w:tcPr>
          <w:p w14:paraId="65006361">
            <w:pPr>
              <w:keepNext w:val="0"/>
              <w:keepLines w:val="0"/>
              <w:widowControl/>
              <w:suppressLineNumbers w:val="0"/>
              <w:spacing w:before="0" w:beforeAutospacing="0" w:after="0" w:afterAutospacing="0" w:line="520" w:lineRule="exact"/>
              <w:ind w:left="0" w:right="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kern w:val="2"/>
                <w:sz w:val="28"/>
                <w:szCs w:val="28"/>
                <w:lang w:val="en-US" w:eastAsia="zh-CN" w:bidi="ar"/>
              </w:rPr>
              <w:t>拉动区域经济增长，加快土地入市</w:t>
            </w:r>
            <w:r>
              <w:rPr>
                <w:rFonts w:hint="eastAsia" w:ascii="仿宋_GB2312" w:hAnsi="仿宋_GB2312" w:eastAsia="仿宋_GB2312" w:cs="仿宋_GB2312"/>
                <w:color w:val="000000"/>
                <w:kern w:val="0"/>
                <w:sz w:val="28"/>
                <w:szCs w:val="28"/>
              </w:rPr>
              <w:t>　</w:t>
            </w:r>
          </w:p>
        </w:tc>
        <w:tc>
          <w:tcPr>
            <w:tcW w:w="1250" w:type="dxa"/>
            <w:tcBorders>
              <w:top w:val="nil"/>
              <w:left w:val="nil"/>
              <w:bottom w:val="single" w:color="auto" w:sz="4" w:space="0"/>
              <w:right w:val="single" w:color="auto" w:sz="4" w:space="0"/>
            </w:tcBorders>
            <w:vAlign w:val="center"/>
          </w:tcPr>
          <w:p w14:paraId="1796E1CA">
            <w:pPr>
              <w:keepNext w:val="0"/>
              <w:keepLines w:val="0"/>
              <w:widowControl/>
              <w:suppressLineNumbers w:val="0"/>
              <w:spacing w:before="0" w:beforeAutospacing="0" w:after="0" w:afterAutospacing="0" w:line="520" w:lineRule="exact"/>
              <w:ind w:left="0" w:right="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优</w:t>
            </w:r>
            <w:r>
              <w:rPr>
                <w:rFonts w:hint="eastAsia" w:ascii="仿宋_GB2312" w:hAnsi="仿宋_GB2312" w:eastAsia="仿宋_GB2312" w:cs="仿宋_GB2312"/>
                <w:color w:val="000000"/>
                <w:kern w:val="0"/>
                <w:sz w:val="28"/>
                <w:szCs w:val="28"/>
              </w:rPr>
              <w:t>　</w:t>
            </w:r>
          </w:p>
        </w:tc>
        <w:tc>
          <w:tcPr>
            <w:tcW w:w="2025" w:type="dxa"/>
            <w:tcBorders>
              <w:top w:val="nil"/>
              <w:left w:val="nil"/>
              <w:bottom w:val="single" w:color="auto" w:sz="4" w:space="0"/>
              <w:right w:val="single" w:color="auto" w:sz="4" w:space="0"/>
            </w:tcBorders>
            <w:vAlign w:val="center"/>
          </w:tcPr>
          <w:p w14:paraId="640C40D5">
            <w:pPr>
              <w:keepNext w:val="0"/>
              <w:keepLines w:val="0"/>
              <w:widowControl/>
              <w:suppressLineNumbers w:val="0"/>
              <w:spacing w:before="0" w:beforeAutospacing="0" w:after="0" w:afterAutospacing="0" w:line="520" w:lineRule="exact"/>
              <w:ind w:left="0" w:right="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sz w:val="28"/>
                <w:szCs w:val="28"/>
                <w:lang w:eastAsia="zh-CN"/>
              </w:rPr>
              <w:t>优</w:t>
            </w:r>
            <w:r>
              <w:rPr>
                <w:rFonts w:hint="eastAsia" w:ascii="仿宋_GB2312" w:hAnsi="仿宋_GB2312" w:eastAsia="仿宋_GB2312" w:cs="仿宋_GB2312"/>
                <w:color w:val="000000"/>
                <w:kern w:val="0"/>
                <w:sz w:val="28"/>
                <w:szCs w:val="28"/>
              </w:rPr>
              <w:t>　　</w:t>
            </w:r>
          </w:p>
        </w:tc>
        <w:tc>
          <w:tcPr>
            <w:tcW w:w="6062" w:type="dxa"/>
            <w:tcBorders>
              <w:top w:val="nil"/>
              <w:left w:val="nil"/>
              <w:bottom w:val="single" w:color="auto" w:sz="4" w:space="0"/>
              <w:right w:val="single" w:color="auto" w:sz="4" w:space="0"/>
            </w:tcBorders>
            <w:vAlign w:val="center"/>
          </w:tcPr>
          <w:p w14:paraId="24F4888F">
            <w:pPr>
              <w:keepNext w:val="0"/>
              <w:keepLines w:val="0"/>
              <w:widowControl/>
              <w:suppressLineNumbers w:val="0"/>
              <w:spacing w:before="0" w:beforeAutospacing="0" w:after="0" w:afterAutospacing="0" w:line="520" w:lineRule="exact"/>
              <w:ind w:left="0" w:right="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无</w:t>
            </w:r>
            <w:r>
              <w:rPr>
                <w:rFonts w:hint="eastAsia" w:ascii="仿宋_GB2312" w:hAnsi="仿宋_GB2312" w:eastAsia="仿宋_GB2312" w:cs="仿宋_GB2312"/>
                <w:color w:val="000000"/>
                <w:kern w:val="0"/>
                <w:sz w:val="28"/>
                <w:szCs w:val="28"/>
              </w:rPr>
              <w:t>　</w:t>
            </w:r>
          </w:p>
        </w:tc>
      </w:tr>
    </w:tbl>
    <w:p w14:paraId="5854A60A">
      <w:pPr>
        <w:spacing w:line="580" w:lineRule="exact"/>
        <w:ind w:firstLine="640"/>
        <w:rPr>
          <w:rFonts w:hint="eastAsia" w:ascii="仿宋_GB2312" w:eastAsia="仿宋_GB2312"/>
          <w:sz w:val="32"/>
          <w:szCs w:val="32"/>
        </w:rPr>
      </w:pPr>
    </w:p>
    <w:p w14:paraId="256EDF8C">
      <w:pPr>
        <w:numPr>
          <w:ilvl w:val="0"/>
          <w:numId w:val="3"/>
        </w:num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社会效益</w:t>
      </w:r>
    </w:p>
    <w:tbl>
      <w:tblPr>
        <w:tblStyle w:val="10"/>
        <w:tblW w:w="14580" w:type="dxa"/>
        <w:tblInd w:w="108" w:type="dxa"/>
        <w:tblLayout w:type="fixed"/>
        <w:tblCellMar>
          <w:top w:w="0" w:type="dxa"/>
          <w:left w:w="108" w:type="dxa"/>
          <w:bottom w:w="0" w:type="dxa"/>
          <w:right w:w="108" w:type="dxa"/>
        </w:tblCellMar>
      </w:tblPr>
      <w:tblGrid>
        <w:gridCol w:w="800"/>
        <w:gridCol w:w="4443"/>
        <w:gridCol w:w="1237"/>
        <w:gridCol w:w="2050"/>
        <w:gridCol w:w="6050"/>
      </w:tblGrid>
      <w:tr w14:paraId="2240DC77">
        <w:tblPrEx>
          <w:tblCellMar>
            <w:top w:w="0" w:type="dxa"/>
            <w:left w:w="108" w:type="dxa"/>
            <w:bottom w:w="0" w:type="dxa"/>
            <w:right w:w="108" w:type="dxa"/>
          </w:tblCellMar>
        </w:tblPrEx>
        <w:trPr>
          <w:trHeight w:val="510" w:hRule="atLeast"/>
        </w:trPr>
        <w:tc>
          <w:tcPr>
            <w:tcW w:w="800" w:type="dxa"/>
            <w:tcBorders>
              <w:top w:val="single" w:color="auto" w:sz="4" w:space="0"/>
              <w:left w:val="single" w:color="auto" w:sz="4" w:space="0"/>
              <w:bottom w:val="single" w:color="auto" w:sz="4" w:space="0"/>
              <w:right w:val="single" w:color="auto" w:sz="4" w:space="0"/>
            </w:tcBorders>
            <w:vAlign w:val="center"/>
          </w:tcPr>
          <w:p w14:paraId="6325595C">
            <w:pPr>
              <w:keepNext w:val="0"/>
              <w:keepLines w:val="0"/>
              <w:widowControl/>
              <w:suppressLineNumbers w:val="0"/>
              <w:spacing w:before="0" w:beforeAutospacing="0" w:after="0" w:afterAutospacing="0" w:line="520" w:lineRule="exact"/>
              <w:ind w:left="0" w:right="0"/>
              <w:jc w:val="center"/>
              <w:rPr>
                <w:rFonts w:hint="default"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序号</w:t>
            </w:r>
          </w:p>
        </w:tc>
        <w:tc>
          <w:tcPr>
            <w:tcW w:w="4443" w:type="dxa"/>
            <w:tcBorders>
              <w:top w:val="single" w:color="auto" w:sz="4" w:space="0"/>
              <w:left w:val="nil"/>
              <w:bottom w:val="single" w:color="auto" w:sz="4" w:space="0"/>
              <w:right w:val="single" w:color="auto" w:sz="4" w:space="0"/>
            </w:tcBorders>
            <w:vAlign w:val="center"/>
          </w:tcPr>
          <w:p w14:paraId="31CC28A6">
            <w:pPr>
              <w:keepNext w:val="0"/>
              <w:keepLines w:val="0"/>
              <w:widowControl/>
              <w:suppressLineNumbers w:val="0"/>
              <w:spacing w:before="0" w:beforeAutospacing="0" w:after="0" w:afterAutospacing="0" w:line="520" w:lineRule="exact"/>
              <w:ind w:left="0" w:right="0"/>
              <w:jc w:val="center"/>
              <w:rPr>
                <w:rFonts w:hint="default"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三级指标</w:t>
            </w:r>
          </w:p>
        </w:tc>
        <w:tc>
          <w:tcPr>
            <w:tcW w:w="1237" w:type="dxa"/>
            <w:tcBorders>
              <w:top w:val="single" w:color="auto" w:sz="4" w:space="0"/>
              <w:left w:val="nil"/>
              <w:bottom w:val="single" w:color="auto" w:sz="4" w:space="0"/>
              <w:right w:val="single" w:color="auto" w:sz="4" w:space="0"/>
            </w:tcBorders>
            <w:vAlign w:val="center"/>
          </w:tcPr>
          <w:p w14:paraId="6CCF928F">
            <w:pPr>
              <w:keepNext w:val="0"/>
              <w:keepLines w:val="0"/>
              <w:widowControl/>
              <w:suppressLineNumbers w:val="0"/>
              <w:spacing w:before="0" w:beforeAutospacing="0" w:after="0" w:afterAutospacing="0" w:line="520" w:lineRule="exact"/>
              <w:ind w:left="0" w:right="0"/>
              <w:jc w:val="center"/>
              <w:rPr>
                <w:rFonts w:hint="default"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计划值</w:t>
            </w:r>
          </w:p>
        </w:tc>
        <w:tc>
          <w:tcPr>
            <w:tcW w:w="2050" w:type="dxa"/>
            <w:tcBorders>
              <w:top w:val="single" w:color="auto" w:sz="4" w:space="0"/>
              <w:left w:val="nil"/>
              <w:bottom w:val="single" w:color="auto" w:sz="4" w:space="0"/>
              <w:right w:val="single" w:color="auto" w:sz="4" w:space="0"/>
            </w:tcBorders>
            <w:vAlign w:val="center"/>
          </w:tcPr>
          <w:p w14:paraId="2F9E2685">
            <w:pPr>
              <w:keepNext w:val="0"/>
              <w:keepLines w:val="0"/>
              <w:widowControl/>
              <w:suppressLineNumbers w:val="0"/>
              <w:spacing w:before="0" w:beforeAutospacing="0" w:after="0" w:afterAutospacing="0" w:line="520" w:lineRule="exact"/>
              <w:ind w:left="0" w:right="0"/>
              <w:jc w:val="center"/>
              <w:rPr>
                <w:rFonts w:hint="default"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完成值</w:t>
            </w:r>
          </w:p>
        </w:tc>
        <w:tc>
          <w:tcPr>
            <w:tcW w:w="6050" w:type="dxa"/>
            <w:tcBorders>
              <w:top w:val="single" w:color="auto" w:sz="4" w:space="0"/>
              <w:left w:val="nil"/>
              <w:bottom w:val="single" w:color="auto" w:sz="4" w:space="0"/>
              <w:right w:val="single" w:color="auto" w:sz="4" w:space="0"/>
            </w:tcBorders>
            <w:vAlign w:val="center"/>
          </w:tcPr>
          <w:p w14:paraId="7F7DC419">
            <w:pPr>
              <w:keepNext w:val="0"/>
              <w:keepLines w:val="0"/>
              <w:widowControl/>
              <w:suppressLineNumbers w:val="0"/>
              <w:spacing w:before="0" w:beforeAutospacing="0" w:after="0" w:afterAutospacing="0" w:line="520" w:lineRule="exact"/>
              <w:ind w:left="0" w:right="0"/>
              <w:jc w:val="center"/>
              <w:rPr>
                <w:rFonts w:hint="default"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偏差原因</w:t>
            </w:r>
          </w:p>
        </w:tc>
      </w:tr>
      <w:tr w14:paraId="4FF8B7B7">
        <w:tblPrEx>
          <w:tblCellMar>
            <w:top w:w="0" w:type="dxa"/>
            <w:left w:w="108" w:type="dxa"/>
            <w:bottom w:w="0" w:type="dxa"/>
            <w:right w:w="108" w:type="dxa"/>
          </w:tblCellMar>
        </w:tblPrEx>
        <w:trPr>
          <w:trHeight w:val="510" w:hRule="atLeast"/>
        </w:trPr>
        <w:tc>
          <w:tcPr>
            <w:tcW w:w="800" w:type="dxa"/>
            <w:tcBorders>
              <w:top w:val="nil"/>
              <w:left w:val="single" w:color="auto" w:sz="4" w:space="0"/>
              <w:bottom w:val="single" w:color="auto" w:sz="4" w:space="0"/>
              <w:right w:val="single" w:color="auto" w:sz="4" w:space="0"/>
            </w:tcBorders>
            <w:vAlign w:val="center"/>
          </w:tcPr>
          <w:p w14:paraId="68943844">
            <w:pPr>
              <w:keepNext w:val="0"/>
              <w:keepLines w:val="0"/>
              <w:widowControl/>
              <w:suppressLineNumbers w:val="0"/>
              <w:spacing w:before="0" w:beforeAutospacing="0" w:after="0" w:afterAutospacing="0" w:line="520" w:lineRule="exact"/>
              <w:ind w:left="0" w:right="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w:t>
            </w:r>
          </w:p>
        </w:tc>
        <w:tc>
          <w:tcPr>
            <w:tcW w:w="4443" w:type="dxa"/>
            <w:tcBorders>
              <w:top w:val="nil"/>
              <w:left w:val="nil"/>
              <w:bottom w:val="single" w:color="auto" w:sz="4" w:space="0"/>
              <w:right w:val="single" w:color="auto" w:sz="4" w:space="0"/>
            </w:tcBorders>
            <w:vAlign w:val="center"/>
          </w:tcPr>
          <w:p w14:paraId="39EAE10F">
            <w:pPr>
              <w:keepNext w:val="0"/>
              <w:keepLines w:val="0"/>
              <w:widowControl/>
              <w:suppressLineNumbers w:val="0"/>
              <w:spacing w:before="0" w:beforeAutospacing="0" w:after="0" w:afterAutospacing="0" w:line="520" w:lineRule="exact"/>
              <w:ind w:left="0" w:right="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kern w:val="2"/>
                <w:sz w:val="28"/>
                <w:szCs w:val="28"/>
                <w:lang w:val="en-US" w:eastAsia="zh-CN" w:bidi="ar"/>
              </w:rPr>
              <w:t>改善周边市政道路情况、提高居民居住条件</w:t>
            </w:r>
          </w:p>
        </w:tc>
        <w:tc>
          <w:tcPr>
            <w:tcW w:w="1237" w:type="dxa"/>
            <w:tcBorders>
              <w:top w:val="nil"/>
              <w:left w:val="nil"/>
              <w:bottom w:val="single" w:color="auto" w:sz="4" w:space="0"/>
              <w:right w:val="single" w:color="auto" w:sz="4" w:space="0"/>
            </w:tcBorders>
            <w:vAlign w:val="center"/>
          </w:tcPr>
          <w:p w14:paraId="6C2CB0D1">
            <w:pPr>
              <w:keepNext w:val="0"/>
              <w:keepLines w:val="0"/>
              <w:widowControl/>
              <w:suppressLineNumbers w:val="0"/>
              <w:spacing w:before="0" w:beforeAutospacing="0" w:after="0" w:afterAutospacing="0" w:line="520" w:lineRule="exact"/>
              <w:ind w:left="0" w:leftChars="0" w:right="0" w:rightChars="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优</w:t>
            </w:r>
            <w:r>
              <w:rPr>
                <w:rFonts w:hint="eastAsia" w:ascii="仿宋_GB2312" w:hAnsi="仿宋_GB2312" w:eastAsia="仿宋_GB2312" w:cs="仿宋_GB2312"/>
                <w:color w:val="000000"/>
                <w:kern w:val="0"/>
                <w:sz w:val="28"/>
                <w:szCs w:val="28"/>
              </w:rPr>
              <w:t>　</w:t>
            </w:r>
          </w:p>
        </w:tc>
        <w:tc>
          <w:tcPr>
            <w:tcW w:w="2050" w:type="dxa"/>
            <w:tcBorders>
              <w:top w:val="nil"/>
              <w:left w:val="nil"/>
              <w:bottom w:val="single" w:color="auto" w:sz="4" w:space="0"/>
              <w:right w:val="single" w:color="auto" w:sz="4" w:space="0"/>
            </w:tcBorders>
            <w:vAlign w:val="center"/>
          </w:tcPr>
          <w:p w14:paraId="31E5C2BD">
            <w:pPr>
              <w:keepNext w:val="0"/>
              <w:keepLines w:val="0"/>
              <w:widowControl/>
              <w:suppressLineNumbers w:val="0"/>
              <w:spacing w:before="0" w:beforeAutospacing="0" w:after="0" w:afterAutospacing="0" w:line="520" w:lineRule="exact"/>
              <w:ind w:left="0" w:leftChars="0" w:right="0" w:rightChars="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sz w:val="28"/>
                <w:szCs w:val="28"/>
                <w:lang w:eastAsia="zh-CN"/>
              </w:rPr>
              <w:t>优</w:t>
            </w:r>
            <w:r>
              <w:rPr>
                <w:rFonts w:hint="eastAsia" w:ascii="仿宋_GB2312" w:hAnsi="仿宋_GB2312" w:eastAsia="仿宋_GB2312" w:cs="仿宋_GB2312"/>
                <w:color w:val="000000"/>
                <w:kern w:val="0"/>
                <w:sz w:val="28"/>
                <w:szCs w:val="28"/>
              </w:rPr>
              <w:t>　　</w:t>
            </w:r>
          </w:p>
        </w:tc>
        <w:tc>
          <w:tcPr>
            <w:tcW w:w="6050" w:type="dxa"/>
            <w:tcBorders>
              <w:top w:val="nil"/>
              <w:left w:val="nil"/>
              <w:bottom w:val="single" w:color="auto" w:sz="4" w:space="0"/>
              <w:right w:val="single" w:color="auto" w:sz="4" w:space="0"/>
            </w:tcBorders>
            <w:vAlign w:val="center"/>
          </w:tcPr>
          <w:p w14:paraId="3DEB1DEE">
            <w:pPr>
              <w:keepNext w:val="0"/>
              <w:keepLines w:val="0"/>
              <w:widowControl/>
              <w:suppressLineNumbers w:val="0"/>
              <w:spacing w:before="0" w:beforeAutospacing="0" w:after="0" w:afterAutospacing="0" w:line="520" w:lineRule="exact"/>
              <w:ind w:left="0" w:right="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无</w:t>
            </w:r>
            <w:r>
              <w:rPr>
                <w:rFonts w:hint="eastAsia" w:ascii="仿宋_GB2312" w:hAnsi="仿宋_GB2312" w:eastAsia="仿宋_GB2312" w:cs="仿宋_GB2312"/>
                <w:color w:val="000000"/>
                <w:kern w:val="0"/>
                <w:sz w:val="28"/>
                <w:szCs w:val="28"/>
              </w:rPr>
              <w:t>　</w:t>
            </w:r>
          </w:p>
        </w:tc>
      </w:tr>
    </w:tbl>
    <w:p w14:paraId="22D8566E">
      <w:pPr>
        <w:numPr>
          <w:ilvl w:val="0"/>
          <w:numId w:val="0"/>
        </w:numPr>
        <w:spacing w:line="580" w:lineRule="exact"/>
        <w:rPr>
          <w:rFonts w:hint="eastAsia" w:ascii="仿宋_GB2312" w:eastAsia="仿宋_GB2312"/>
          <w:sz w:val="32"/>
          <w:szCs w:val="32"/>
        </w:rPr>
      </w:pPr>
    </w:p>
    <w:p w14:paraId="5B9EE209">
      <w:pPr>
        <w:numPr>
          <w:ilvl w:val="0"/>
          <w:numId w:val="3"/>
        </w:numPr>
        <w:spacing w:line="580" w:lineRule="exact"/>
        <w:ind w:left="0" w:leftChars="0" w:firstLine="560" w:firstLineChars="200"/>
        <w:rPr>
          <w:rFonts w:hint="eastAsia" w:ascii="仿宋_GB2312" w:eastAsia="仿宋_GB2312"/>
          <w:sz w:val="28"/>
          <w:szCs w:val="28"/>
        </w:rPr>
      </w:pPr>
      <w:r>
        <w:rPr>
          <w:rFonts w:hint="eastAsia" w:ascii="仿宋_GB2312" w:eastAsia="仿宋_GB2312"/>
          <w:sz w:val="28"/>
          <w:szCs w:val="28"/>
        </w:rPr>
        <w:t>环境效益</w:t>
      </w:r>
    </w:p>
    <w:tbl>
      <w:tblPr>
        <w:tblStyle w:val="10"/>
        <w:tblW w:w="14580" w:type="dxa"/>
        <w:tblInd w:w="108" w:type="dxa"/>
        <w:tblLayout w:type="fixed"/>
        <w:tblCellMar>
          <w:top w:w="0" w:type="dxa"/>
          <w:left w:w="108" w:type="dxa"/>
          <w:bottom w:w="0" w:type="dxa"/>
          <w:right w:w="108" w:type="dxa"/>
        </w:tblCellMar>
      </w:tblPr>
      <w:tblGrid>
        <w:gridCol w:w="800"/>
        <w:gridCol w:w="4830"/>
        <w:gridCol w:w="1650"/>
        <w:gridCol w:w="1275"/>
        <w:gridCol w:w="6025"/>
      </w:tblGrid>
      <w:tr w14:paraId="43F6082C">
        <w:tblPrEx>
          <w:tblCellMar>
            <w:top w:w="0" w:type="dxa"/>
            <w:left w:w="108" w:type="dxa"/>
            <w:bottom w:w="0" w:type="dxa"/>
            <w:right w:w="108" w:type="dxa"/>
          </w:tblCellMar>
        </w:tblPrEx>
        <w:trPr>
          <w:trHeight w:val="510" w:hRule="atLeast"/>
        </w:trPr>
        <w:tc>
          <w:tcPr>
            <w:tcW w:w="800" w:type="dxa"/>
            <w:tcBorders>
              <w:top w:val="single" w:color="auto" w:sz="4" w:space="0"/>
              <w:left w:val="single" w:color="auto" w:sz="4" w:space="0"/>
              <w:bottom w:val="single" w:color="auto" w:sz="4" w:space="0"/>
              <w:right w:val="single" w:color="auto" w:sz="4" w:space="0"/>
            </w:tcBorders>
            <w:vAlign w:val="center"/>
          </w:tcPr>
          <w:p w14:paraId="48F071C7">
            <w:pPr>
              <w:keepNext w:val="0"/>
              <w:keepLines w:val="0"/>
              <w:widowControl/>
              <w:suppressLineNumbers w:val="0"/>
              <w:spacing w:before="0" w:beforeAutospacing="0" w:after="0" w:afterAutospacing="0" w:line="520" w:lineRule="exact"/>
              <w:ind w:left="0" w:right="0"/>
              <w:jc w:val="center"/>
              <w:rPr>
                <w:rFonts w:hint="default"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序号</w:t>
            </w:r>
          </w:p>
        </w:tc>
        <w:tc>
          <w:tcPr>
            <w:tcW w:w="4830" w:type="dxa"/>
            <w:tcBorders>
              <w:top w:val="single" w:color="auto" w:sz="4" w:space="0"/>
              <w:left w:val="nil"/>
              <w:bottom w:val="single" w:color="auto" w:sz="4" w:space="0"/>
              <w:right w:val="single" w:color="auto" w:sz="4" w:space="0"/>
            </w:tcBorders>
            <w:vAlign w:val="center"/>
          </w:tcPr>
          <w:p w14:paraId="1163E411">
            <w:pPr>
              <w:keepNext w:val="0"/>
              <w:keepLines w:val="0"/>
              <w:widowControl/>
              <w:suppressLineNumbers w:val="0"/>
              <w:spacing w:before="0" w:beforeAutospacing="0" w:after="0" w:afterAutospacing="0" w:line="520" w:lineRule="exact"/>
              <w:ind w:left="0" w:right="0"/>
              <w:jc w:val="center"/>
              <w:rPr>
                <w:rFonts w:hint="default"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三级指标</w:t>
            </w:r>
          </w:p>
        </w:tc>
        <w:tc>
          <w:tcPr>
            <w:tcW w:w="1650" w:type="dxa"/>
            <w:tcBorders>
              <w:top w:val="single" w:color="auto" w:sz="4" w:space="0"/>
              <w:left w:val="nil"/>
              <w:bottom w:val="single" w:color="auto" w:sz="4" w:space="0"/>
              <w:right w:val="single" w:color="auto" w:sz="4" w:space="0"/>
            </w:tcBorders>
            <w:vAlign w:val="center"/>
          </w:tcPr>
          <w:p w14:paraId="4E394450">
            <w:pPr>
              <w:keepNext w:val="0"/>
              <w:keepLines w:val="0"/>
              <w:widowControl/>
              <w:suppressLineNumbers w:val="0"/>
              <w:spacing w:before="0" w:beforeAutospacing="0" w:after="0" w:afterAutospacing="0" w:line="520" w:lineRule="exact"/>
              <w:ind w:left="0" w:right="0"/>
              <w:jc w:val="center"/>
              <w:rPr>
                <w:rFonts w:hint="default"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计划值</w:t>
            </w:r>
          </w:p>
        </w:tc>
        <w:tc>
          <w:tcPr>
            <w:tcW w:w="1275" w:type="dxa"/>
            <w:tcBorders>
              <w:top w:val="single" w:color="auto" w:sz="4" w:space="0"/>
              <w:left w:val="nil"/>
              <w:bottom w:val="single" w:color="auto" w:sz="4" w:space="0"/>
              <w:right w:val="single" w:color="auto" w:sz="4" w:space="0"/>
            </w:tcBorders>
            <w:vAlign w:val="center"/>
          </w:tcPr>
          <w:p w14:paraId="684B0CB5">
            <w:pPr>
              <w:keepNext w:val="0"/>
              <w:keepLines w:val="0"/>
              <w:widowControl/>
              <w:suppressLineNumbers w:val="0"/>
              <w:spacing w:before="0" w:beforeAutospacing="0" w:after="0" w:afterAutospacing="0" w:line="520" w:lineRule="exact"/>
              <w:ind w:left="0" w:right="0"/>
              <w:jc w:val="center"/>
              <w:rPr>
                <w:rFonts w:hint="default"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完成值</w:t>
            </w:r>
          </w:p>
        </w:tc>
        <w:tc>
          <w:tcPr>
            <w:tcW w:w="6025" w:type="dxa"/>
            <w:tcBorders>
              <w:top w:val="single" w:color="auto" w:sz="4" w:space="0"/>
              <w:left w:val="nil"/>
              <w:bottom w:val="single" w:color="auto" w:sz="4" w:space="0"/>
              <w:right w:val="single" w:color="auto" w:sz="4" w:space="0"/>
            </w:tcBorders>
            <w:vAlign w:val="center"/>
          </w:tcPr>
          <w:p w14:paraId="6B705335">
            <w:pPr>
              <w:keepNext w:val="0"/>
              <w:keepLines w:val="0"/>
              <w:widowControl/>
              <w:suppressLineNumbers w:val="0"/>
              <w:spacing w:before="0" w:beforeAutospacing="0" w:after="0" w:afterAutospacing="0" w:line="520" w:lineRule="exact"/>
              <w:ind w:left="0" w:right="0"/>
              <w:jc w:val="center"/>
              <w:rPr>
                <w:rFonts w:hint="default"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偏差原因</w:t>
            </w:r>
          </w:p>
        </w:tc>
      </w:tr>
      <w:tr w14:paraId="67C3DC56">
        <w:tblPrEx>
          <w:tblCellMar>
            <w:top w:w="0" w:type="dxa"/>
            <w:left w:w="108" w:type="dxa"/>
            <w:bottom w:w="0" w:type="dxa"/>
            <w:right w:w="108" w:type="dxa"/>
          </w:tblCellMar>
        </w:tblPrEx>
        <w:trPr>
          <w:trHeight w:val="510" w:hRule="atLeast"/>
        </w:trPr>
        <w:tc>
          <w:tcPr>
            <w:tcW w:w="800" w:type="dxa"/>
            <w:tcBorders>
              <w:top w:val="nil"/>
              <w:left w:val="single" w:color="auto" w:sz="4" w:space="0"/>
              <w:bottom w:val="single" w:color="auto" w:sz="4" w:space="0"/>
              <w:right w:val="single" w:color="auto" w:sz="4" w:space="0"/>
            </w:tcBorders>
            <w:vAlign w:val="center"/>
          </w:tcPr>
          <w:p w14:paraId="61D03189">
            <w:pPr>
              <w:keepNext w:val="0"/>
              <w:keepLines w:val="0"/>
              <w:widowControl/>
              <w:suppressLineNumbers w:val="0"/>
              <w:spacing w:before="0" w:beforeAutospacing="0" w:after="0" w:afterAutospacing="0" w:line="520" w:lineRule="exact"/>
              <w:ind w:left="0" w:right="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w:t>
            </w:r>
          </w:p>
        </w:tc>
        <w:tc>
          <w:tcPr>
            <w:tcW w:w="4830" w:type="dxa"/>
            <w:tcBorders>
              <w:top w:val="nil"/>
              <w:left w:val="nil"/>
              <w:bottom w:val="single" w:color="auto" w:sz="4" w:space="0"/>
              <w:right w:val="single" w:color="auto" w:sz="4" w:space="0"/>
            </w:tcBorders>
            <w:vAlign w:val="center"/>
          </w:tcPr>
          <w:p w14:paraId="2CAAA755">
            <w:pPr>
              <w:keepNext w:val="0"/>
              <w:keepLines w:val="0"/>
              <w:widowControl/>
              <w:suppressLineNumbers w:val="0"/>
              <w:spacing w:before="0" w:beforeAutospacing="0" w:after="0" w:afterAutospacing="0" w:line="520" w:lineRule="exact"/>
              <w:ind w:left="0" w:right="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kern w:val="2"/>
                <w:sz w:val="28"/>
                <w:szCs w:val="28"/>
                <w:lang w:val="en-US" w:eastAsia="zh-CN" w:bidi="ar"/>
              </w:rPr>
              <w:t>项目的建设符合镇域发展规划，改善了群众居住条件，集约了土地利用方式。</w:t>
            </w:r>
          </w:p>
        </w:tc>
        <w:tc>
          <w:tcPr>
            <w:tcW w:w="1650" w:type="dxa"/>
            <w:tcBorders>
              <w:top w:val="nil"/>
              <w:left w:val="nil"/>
              <w:bottom w:val="single" w:color="auto" w:sz="4" w:space="0"/>
              <w:right w:val="single" w:color="auto" w:sz="4" w:space="0"/>
            </w:tcBorders>
            <w:vAlign w:val="center"/>
          </w:tcPr>
          <w:p w14:paraId="36FFF318">
            <w:pPr>
              <w:keepNext w:val="0"/>
              <w:keepLines w:val="0"/>
              <w:widowControl/>
              <w:suppressLineNumbers w:val="0"/>
              <w:spacing w:before="0" w:beforeAutospacing="0" w:after="0" w:afterAutospacing="0" w:line="520" w:lineRule="exact"/>
              <w:ind w:left="0" w:leftChars="0" w:right="0" w:rightChars="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优</w:t>
            </w:r>
            <w:r>
              <w:rPr>
                <w:rFonts w:hint="eastAsia" w:ascii="仿宋_GB2312" w:hAnsi="仿宋_GB2312" w:eastAsia="仿宋_GB2312" w:cs="仿宋_GB2312"/>
                <w:color w:val="000000"/>
                <w:kern w:val="0"/>
                <w:sz w:val="28"/>
                <w:szCs w:val="28"/>
              </w:rPr>
              <w:t>　</w:t>
            </w:r>
          </w:p>
        </w:tc>
        <w:tc>
          <w:tcPr>
            <w:tcW w:w="1275" w:type="dxa"/>
            <w:tcBorders>
              <w:top w:val="nil"/>
              <w:left w:val="nil"/>
              <w:bottom w:val="single" w:color="auto" w:sz="4" w:space="0"/>
              <w:right w:val="single" w:color="auto" w:sz="4" w:space="0"/>
            </w:tcBorders>
            <w:vAlign w:val="center"/>
          </w:tcPr>
          <w:p w14:paraId="1AEE223A">
            <w:pPr>
              <w:keepNext w:val="0"/>
              <w:keepLines w:val="0"/>
              <w:widowControl/>
              <w:suppressLineNumbers w:val="0"/>
              <w:spacing w:before="0" w:beforeAutospacing="0" w:after="0" w:afterAutospacing="0" w:line="520" w:lineRule="exact"/>
              <w:ind w:left="0" w:leftChars="0" w:right="0" w:rightChars="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sz w:val="28"/>
                <w:szCs w:val="28"/>
                <w:lang w:eastAsia="zh-CN"/>
              </w:rPr>
              <w:t>优</w:t>
            </w:r>
            <w:r>
              <w:rPr>
                <w:rFonts w:hint="eastAsia" w:ascii="仿宋_GB2312" w:hAnsi="仿宋_GB2312" w:eastAsia="仿宋_GB2312" w:cs="仿宋_GB2312"/>
                <w:color w:val="000000"/>
                <w:kern w:val="0"/>
                <w:sz w:val="28"/>
                <w:szCs w:val="28"/>
              </w:rPr>
              <w:t>　　</w:t>
            </w:r>
          </w:p>
        </w:tc>
        <w:tc>
          <w:tcPr>
            <w:tcW w:w="6025" w:type="dxa"/>
            <w:tcBorders>
              <w:top w:val="nil"/>
              <w:left w:val="nil"/>
              <w:bottom w:val="single" w:color="auto" w:sz="4" w:space="0"/>
              <w:right w:val="single" w:color="auto" w:sz="4" w:space="0"/>
            </w:tcBorders>
            <w:vAlign w:val="center"/>
          </w:tcPr>
          <w:p w14:paraId="34323276">
            <w:pPr>
              <w:keepNext w:val="0"/>
              <w:keepLines w:val="0"/>
              <w:widowControl/>
              <w:suppressLineNumbers w:val="0"/>
              <w:spacing w:before="0" w:beforeAutospacing="0" w:after="0" w:afterAutospacing="0" w:line="520" w:lineRule="exact"/>
              <w:ind w:left="0" w:right="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无</w:t>
            </w:r>
            <w:r>
              <w:rPr>
                <w:rFonts w:hint="eastAsia" w:ascii="仿宋_GB2312" w:hAnsi="仿宋_GB2312" w:eastAsia="仿宋_GB2312" w:cs="仿宋_GB2312"/>
                <w:color w:val="000000"/>
                <w:kern w:val="0"/>
                <w:sz w:val="28"/>
                <w:szCs w:val="28"/>
              </w:rPr>
              <w:t>　</w:t>
            </w:r>
          </w:p>
        </w:tc>
      </w:tr>
    </w:tbl>
    <w:p w14:paraId="5F4E0296">
      <w:pPr>
        <w:numPr>
          <w:ilvl w:val="0"/>
          <w:numId w:val="0"/>
        </w:numPr>
        <w:spacing w:line="580" w:lineRule="exact"/>
        <w:ind w:left="640" w:leftChars="0"/>
        <w:rPr>
          <w:rFonts w:hint="eastAsia" w:ascii="仿宋_GB2312" w:eastAsia="仿宋_GB2312"/>
          <w:sz w:val="32"/>
          <w:szCs w:val="32"/>
        </w:rPr>
      </w:pPr>
    </w:p>
    <w:p w14:paraId="6901D6FC">
      <w:pPr>
        <w:numPr>
          <w:ilvl w:val="0"/>
          <w:numId w:val="3"/>
        </w:numPr>
        <w:spacing w:line="580" w:lineRule="exact"/>
        <w:ind w:left="0" w:leftChars="0" w:firstLine="560" w:firstLineChars="200"/>
        <w:rPr>
          <w:rFonts w:hint="eastAsia" w:ascii="仿宋_GB2312" w:eastAsia="仿宋_GB2312"/>
          <w:sz w:val="28"/>
          <w:szCs w:val="28"/>
        </w:rPr>
      </w:pPr>
      <w:r>
        <w:rPr>
          <w:rFonts w:hint="eastAsia" w:ascii="仿宋_GB2312" w:eastAsia="仿宋_GB2312"/>
          <w:sz w:val="28"/>
          <w:szCs w:val="28"/>
        </w:rPr>
        <w:t>可持续影响</w:t>
      </w:r>
    </w:p>
    <w:tbl>
      <w:tblPr>
        <w:tblStyle w:val="10"/>
        <w:tblW w:w="14555" w:type="dxa"/>
        <w:tblInd w:w="108" w:type="dxa"/>
        <w:tblLayout w:type="fixed"/>
        <w:tblCellMar>
          <w:top w:w="0" w:type="dxa"/>
          <w:left w:w="108" w:type="dxa"/>
          <w:bottom w:w="0" w:type="dxa"/>
          <w:right w:w="108" w:type="dxa"/>
        </w:tblCellMar>
      </w:tblPr>
      <w:tblGrid>
        <w:gridCol w:w="800"/>
        <w:gridCol w:w="4818"/>
        <w:gridCol w:w="1662"/>
        <w:gridCol w:w="1275"/>
        <w:gridCol w:w="6000"/>
      </w:tblGrid>
      <w:tr w14:paraId="743F37EC">
        <w:tblPrEx>
          <w:tblCellMar>
            <w:top w:w="0" w:type="dxa"/>
            <w:left w:w="108" w:type="dxa"/>
            <w:bottom w:w="0" w:type="dxa"/>
            <w:right w:w="108" w:type="dxa"/>
          </w:tblCellMar>
        </w:tblPrEx>
        <w:trPr>
          <w:trHeight w:val="510" w:hRule="atLeast"/>
        </w:trPr>
        <w:tc>
          <w:tcPr>
            <w:tcW w:w="800" w:type="dxa"/>
            <w:tcBorders>
              <w:top w:val="single" w:color="auto" w:sz="4" w:space="0"/>
              <w:left w:val="single" w:color="auto" w:sz="4" w:space="0"/>
              <w:bottom w:val="single" w:color="auto" w:sz="4" w:space="0"/>
              <w:right w:val="single" w:color="auto" w:sz="4" w:space="0"/>
            </w:tcBorders>
            <w:vAlign w:val="center"/>
          </w:tcPr>
          <w:p w14:paraId="2D777429">
            <w:pPr>
              <w:keepNext w:val="0"/>
              <w:keepLines w:val="0"/>
              <w:widowControl/>
              <w:suppressLineNumbers w:val="0"/>
              <w:spacing w:before="0" w:beforeAutospacing="0" w:after="0" w:afterAutospacing="0" w:line="520" w:lineRule="exact"/>
              <w:ind w:left="0" w:right="0"/>
              <w:jc w:val="center"/>
              <w:rPr>
                <w:rFonts w:hint="default"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序号</w:t>
            </w:r>
          </w:p>
        </w:tc>
        <w:tc>
          <w:tcPr>
            <w:tcW w:w="4818" w:type="dxa"/>
            <w:tcBorders>
              <w:top w:val="single" w:color="auto" w:sz="4" w:space="0"/>
              <w:left w:val="nil"/>
              <w:bottom w:val="single" w:color="auto" w:sz="4" w:space="0"/>
              <w:right w:val="single" w:color="auto" w:sz="4" w:space="0"/>
            </w:tcBorders>
            <w:vAlign w:val="center"/>
          </w:tcPr>
          <w:p w14:paraId="6EBE8F48">
            <w:pPr>
              <w:keepNext w:val="0"/>
              <w:keepLines w:val="0"/>
              <w:widowControl/>
              <w:suppressLineNumbers w:val="0"/>
              <w:spacing w:before="0" w:beforeAutospacing="0" w:after="0" w:afterAutospacing="0" w:line="520" w:lineRule="exact"/>
              <w:ind w:left="0" w:right="0"/>
              <w:jc w:val="center"/>
              <w:rPr>
                <w:rFonts w:hint="default"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三级指标</w:t>
            </w:r>
          </w:p>
        </w:tc>
        <w:tc>
          <w:tcPr>
            <w:tcW w:w="1662" w:type="dxa"/>
            <w:tcBorders>
              <w:top w:val="single" w:color="auto" w:sz="4" w:space="0"/>
              <w:left w:val="nil"/>
              <w:bottom w:val="single" w:color="auto" w:sz="4" w:space="0"/>
              <w:right w:val="single" w:color="auto" w:sz="4" w:space="0"/>
            </w:tcBorders>
            <w:vAlign w:val="center"/>
          </w:tcPr>
          <w:p w14:paraId="59921674">
            <w:pPr>
              <w:keepNext w:val="0"/>
              <w:keepLines w:val="0"/>
              <w:widowControl/>
              <w:suppressLineNumbers w:val="0"/>
              <w:spacing w:before="0" w:beforeAutospacing="0" w:after="0" w:afterAutospacing="0" w:line="520" w:lineRule="exact"/>
              <w:ind w:left="0" w:right="0"/>
              <w:jc w:val="center"/>
              <w:rPr>
                <w:rFonts w:hint="default"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计划值</w:t>
            </w:r>
          </w:p>
        </w:tc>
        <w:tc>
          <w:tcPr>
            <w:tcW w:w="1275" w:type="dxa"/>
            <w:tcBorders>
              <w:top w:val="single" w:color="auto" w:sz="4" w:space="0"/>
              <w:left w:val="nil"/>
              <w:bottom w:val="single" w:color="auto" w:sz="4" w:space="0"/>
              <w:right w:val="single" w:color="auto" w:sz="4" w:space="0"/>
            </w:tcBorders>
            <w:vAlign w:val="center"/>
          </w:tcPr>
          <w:p w14:paraId="0D102041">
            <w:pPr>
              <w:keepNext w:val="0"/>
              <w:keepLines w:val="0"/>
              <w:widowControl/>
              <w:suppressLineNumbers w:val="0"/>
              <w:spacing w:before="0" w:beforeAutospacing="0" w:after="0" w:afterAutospacing="0" w:line="520" w:lineRule="exact"/>
              <w:ind w:left="0" w:right="0"/>
              <w:jc w:val="center"/>
              <w:rPr>
                <w:rFonts w:hint="default"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完成值</w:t>
            </w:r>
          </w:p>
        </w:tc>
        <w:tc>
          <w:tcPr>
            <w:tcW w:w="6000" w:type="dxa"/>
            <w:tcBorders>
              <w:top w:val="single" w:color="auto" w:sz="4" w:space="0"/>
              <w:left w:val="nil"/>
              <w:bottom w:val="single" w:color="auto" w:sz="4" w:space="0"/>
              <w:right w:val="single" w:color="auto" w:sz="4" w:space="0"/>
            </w:tcBorders>
            <w:vAlign w:val="center"/>
          </w:tcPr>
          <w:p w14:paraId="00D9F9D0">
            <w:pPr>
              <w:keepNext w:val="0"/>
              <w:keepLines w:val="0"/>
              <w:widowControl/>
              <w:suppressLineNumbers w:val="0"/>
              <w:spacing w:before="0" w:beforeAutospacing="0" w:after="0" w:afterAutospacing="0" w:line="520" w:lineRule="exact"/>
              <w:ind w:left="0" w:right="0"/>
              <w:jc w:val="center"/>
              <w:rPr>
                <w:rFonts w:hint="default"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偏差原因</w:t>
            </w:r>
          </w:p>
        </w:tc>
      </w:tr>
      <w:tr w14:paraId="105E11AD">
        <w:tblPrEx>
          <w:tblCellMar>
            <w:top w:w="0" w:type="dxa"/>
            <w:left w:w="108" w:type="dxa"/>
            <w:bottom w:w="0" w:type="dxa"/>
            <w:right w:w="108" w:type="dxa"/>
          </w:tblCellMar>
        </w:tblPrEx>
        <w:trPr>
          <w:trHeight w:val="510" w:hRule="atLeast"/>
        </w:trPr>
        <w:tc>
          <w:tcPr>
            <w:tcW w:w="800" w:type="dxa"/>
            <w:tcBorders>
              <w:top w:val="nil"/>
              <w:left w:val="single" w:color="auto" w:sz="4" w:space="0"/>
              <w:bottom w:val="single" w:color="auto" w:sz="4" w:space="0"/>
              <w:right w:val="single" w:color="auto" w:sz="4" w:space="0"/>
            </w:tcBorders>
            <w:vAlign w:val="center"/>
          </w:tcPr>
          <w:p w14:paraId="464E9638">
            <w:pPr>
              <w:keepNext w:val="0"/>
              <w:keepLines w:val="0"/>
              <w:widowControl/>
              <w:suppressLineNumbers w:val="0"/>
              <w:spacing w:before="0" w:beforeAutospacing="0" w:after="0" w:afterAutospacing="0" w:line="520" w:lineRule="exact"/>
              <w:ind w:left="0" w:right="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w:t>
            </w:r>
          </w:p>
        </w:tc>
        <w:tc>
          <w:tcPr>
            <w:tcW w:w="4818" w:type="dxa"/>
            <w:tcBorders>
              <w:top w:val="nil"/>
              <w:left w:val="nil"/>
              <w:bottom w:val="single" w:color="auto" w:sz="4" w:space="0"/>
              <w:right w:val="single" w:color="auto" w:sz="4" w:space="0"/>
            </w:tcBorders>
            <w:vAlign w:val="center"/>
          </w:tcPr>
          <w:p w14:paraId="14DA5021">
            <w:pPr>
              <w:keepNext w:val="0"/>
              <w:keepLines w:val="0"/>
              <w:widowControl/>
              <w:suppressLineNumbers w:val="0"/>
              <w:spacing w:before="0" w:beforeAutospacing="0" w:after="0" w:afterAutospacing="0" w:line="520" w:lineRule="exact"/>
              <w:ind w:left="0" w:right="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kern w:val="2"/>
                <w:sz w:val="28"/>
                <w:szCs w:val="28"/>
                <w:lang w:val="en-US" w:eastAsia="zh-CN" w:bidi="ar"/>
              </w:rPr>
              <w:t>提高农民生活水平、促进区域经济社会发展。</w:t>
            </w:r>
          </w:p>
        </w:tc>
        <w:tc>
          <w:tcPr>
            <w:tcW w:w="1662" w:type="dxa"/>
            <w:tcBorders>
              <w:top w:val="nil"/>
              <w:left w:val="nil"/>
              <w:bottom w:val="single" w:color="auto" w:sz="4" w:space="0"/>
              <w:right w:val="single" w:color="auto" w:sz="4" w:space="0"/>
            </w:tcBorders>
            <w:vAlign w:val="center"/>
          </w:tcPr>
          <w:p w14:paraId="4277D34B">
            <w:pPr>
              <w:keepNext w:val="0"/>
              <w:keepLines w:val="0"/>
              <w:widowControl/>
              <w:suppressLineNumbers w:val="0"/>
              <w:spacing w:before="0" w:beforeAutospacing="0" w:after="0" w:afterAutospacing="0" w:line="520" w:lineRule="exact"/>
              <w:ind w:left="0" w:right="0"/>
              <w:jc w:val="center"/>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sz w:val="28"/>
                <w:szCs w:val="28"/>
                <w:lang w:eastAsia="zh-CN"/>
              </w:rPr>
              <w:t>好</w:t>
            </w:r>
          </w:p>
        </w:tc>
        <w:tc>
          <w:tcPr>
            <w:tcW w:w="1275" w:type="dxa"/>
            <w:tcBorders>
              <w:top w:val="nil"/>
              <w:left w:val="nil"/>
              <w:bottom w:val="single" w:color="auto" w:sz="4" w:space="0"/>
              <w:right w:val="single" w:color="auto" w:sz="4" w:space="0"/>
            </w:tcBorders>
            <w:vAlign w:val="center"/>
          </w:tcPr>
          <w:p w14:paraId="69006713">
            <w:pPr>
              <w:keepNext w:val="0"/>
              <w:keepLines w:val="0"/>
              <w:widowControl/>
              <w:suppressLineNumbers w:val="0"/>
              <w:spacing w:before="0" w:beforeAutospacing="0" w:after="0" w:afterAutospacing="0" w:line="520" w:lineRule="exact"/>
              <w:ind w:left="0" w:right="0"/>
              <w:jc w:val="center"/>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sz w:val="28"/>
                <w:szCs w:val="28"/>
                <w:lang w:eastAsia="zh-CN"/>
              </w:rPr>
              <w:t>好</w:t>
            </w:r>
          </w:p>
        </w:tc>
        <w:tc>
          <w:tcPr>
            <w:tcW w:w="6000" w:type="dxa"/>
            <w:tcBorders>
              <w:top w:val="nil"/>
              <w:left w:val="nil"/>
              <w:bottom w:val="single" w:color="auto" w:sz="4" w:space="0"/>
              <w:right w:val="single" w:color="auto" w:sz="4" w:space="0"/>
            </w:tcBorders>
            <w:vAlign w:val="center"/>
          </w:tcPr>
          <w:p w14:paraId="6E852DFA">
            <w:pPr>
              <w:keepNext w:val="0"/>
              <w:keepLines w:val="0"/>
              <w:widowControl/>
              <w:suppressLineNumbers w:val="0"/>
              <w:spacing w:before="0" w:beforeAutospacing="0" w:after="0" w:afterAutospacing="0" w:line="520" w:lineRule="exact"/>
              <w:ind w:left="0" w:right="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无</w:t>
            </w:r>
            <w:r>
              <w:rPr>
                <w:rFonts w:hint="eastAsia" w:ascii="仿宋_GB2312" w:hAnsi="仿宋_GB2312" w:eastAsia="仿宋_GB2312" w:cs="仿宋_GB2312"/>
                <w:color w:val="000000"/>
                <w:kern w:val="0"/>
                <w:sz w:val="28"/>
                <w:szCs w:val="28"/>
              </w:rPr>
              <w:t>　</w:t>
            </w:r>
          </w:p>
        </w:tc>
      </w:tr>
    </w:tbl>
    <w:p w14:paraId="15853C6A">
      <w:pPr>
        <w:numPr>
          <w:ilvl w:val="0"/>
          <w:numId w:val="0"/>
        </w:numPr>
        <w:spacing w:line="580" w:lineRule="exact"/>
        <w:rPr>
          <w:rFonts w:hint="eastAsia" w:ascii="仿宋_GB2312" w:eastAsia="仿宋_GB2312"/>
          <w:sz w:val="28"/>
          <w:szCs w:val="28"/>
        </w:rPr>
      </w:pPr>
    </w:p>
    <w:p w14:paraId="500BDBD4">
      <w:pPr>
        <w:numPr>
          <w:ilvl w:val="0"/>
          <w:numId w:val="3"/>
        </w:numPr>
        <w:spacing w:line="580" w:lineRule="exact"/>
        <w:ind w:left="0" w:leftChars="0" w:firstLine="560" w:firstLineChars="200"/>
        <w:rPr>
          <w:rFonts w:hint="eastAsia" w:ascii="仿宋_GB2312" w:eastAsia="仿宋_GB2312"/>
          <w:sz w:val="28"/>
          <w:szCs w:val="28"/>
        </w:rPr>
      </w:pPr>
      <w:r>
        <w:rPr>
          <w:rFonts w:hint="eastAsia" w:ascii="仿宋_GB2312" w:eastAsia="仿宋_GB2312"/>
          <w:sz w:val="28"/>
          <w:szCs w:val="28"/>
        </w:rPr>
        <w:t>服务对象满意度</w:t>
      </w:r>
    </w:p>
    <w:tbl>
      <w:tblPr>
        <w:tblStyle w:val="10"/>
        <w:tblW w:w="14555" w:type="dxa"/>
        <w:tblInd w:w="108" w:type="dxa"/>
        <w:tblLayout w:type="fixed"/>
        <w:tblCellMar>
          <w:top w:w="0" w:type="dxa"/>
          <w:left w:w="108" w:type="dxa"/>
          <w:bottom w:w="0" w:type="dxa"/>
          <w:right w:w="108" w:type="dxa"/>
        </w:tblCellMar>
      </w:tblPr>
      <w:tblGrid>
        <w:gridCol w:w="800"/>
        <w:gridCol w:w="4805"/>
        <w:gridCol w:w="1688"/>
        <w:gridCol w:w="1262"/>
        <w:gridCol w:w="6000"/>
      </w:tblGrid>
      <w:tr w14:paraId="5E0533D3">
        <w:tblPrEx>
          <w:tblCellMar>
            <w:top w:w="0" w:type="dxa"/>
            <w:left w:w="108" w:type="dxa"/>
            <w:bottom w:w="0" w:type="dxa"/>
            <w:right w:w="108" w:type="dxa"/>
          </w:tblCellMar>
        </w:tblPrEx>
        <w:trPr>
          <w:trHeight w:val="510" w:hRule="atLeast"/>
        </w:trPr>
        <w:tc>
          <w:tcPr>
            <w:tcW w:w="800" w:type="dxa"/>
            <w:tcBorders>
              <w:top w:val="single" w:color="auto" w:sz="4" w:space="0"/>
              <w:left w:val="single" w:color="auto" w:sz="4" w:space="0"/>
              <w:bottom w:val="single" w:color="auto" w:sz="4" w:space="0"/>
              <w:right w:val="single" w:color="auto" w:sz="4" w:space="0"/>
            </w:tcBorders>
            <w:vAlign w:val="center"/>
          </w:tcPr>
          <w:p w14:paraId="24A32C9D">
            <w:pPr>
              <w:keepNext w:val="0"/>
              <w:keepLines w:val="0"/>
              <w:widowControl/>
              <w:suppressLineNumbers w:val="0"/>
              <w:spacing w:before="0" w:beforeAutospacing="0" w:after="0" w:afterAutospacing="0" w:line="520" w:lineRule="exact"/>
              <w:ind w:left="0" w:right="0"/>
              <w:jc w:val="center"/>
              <w:rPr>
                <w:rFonts w:hint="default"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序号</w:t>
            </w:r>
          </w:p>
        </w:tc>
        <w:tc>
          <w:tcPr>
            <w:tcW w:w="4805" w:type="dxa"/>
            <w:tcBorders>
              <w:top w:val="single" w:color="auto" w:sz="4" w:space="0"/>
              <w:left w:val="nil"/>
              <w:bottom w:val="single" w:color="auto" w:sz="4" w:space="0"/>
              <w:right w:val="single" w:color="auto" w:sz="4" w:space="0"/>
            </w:tcBorders>
            <w:vAlign w:val="center"/>
          </w:tcPr>
          <w:p w14:paraId="071912CA">
            <w:pPr>
              <w:keepNext w:val="0"/>
              <w:keepLines w:val="0"/>
              <w:widowControl/>
              <w:suppressLineNumbers w:val="0"/>
              <w:spacing w:before="0" w:beforeAutospacing="0" w:after="0" w:afterAutospacing="0" w:line="520" w:lineRule="exact"/>
              <w:ind w:left="0" w:right="0"/>
              <w:jc w:val="center"/>
              <w:rPr>
                <w:rFonts w:hint="default"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三级指标</w:t>
            </w:r>
          </w:p>
        </w:tc>
        <w:tc>
          <w:tcPr>
            <w:tcW w:w="1688" w:type="dxa"/>
            <w:tcBorders>
              <w:top w:val="single" w:color="auto" w:sz="4" w:space="0"/>
              <w:left w:val="nil"/>
              <w:bottom w:val="single" w:color="auto" w:sz="4" w:space="0"/>
              <w:right w:val="single" w:color="auto" w:sz="4" w:space="0"/>
            </w:tcBorders>
            <w:vAlign w:val="center"/>
          </w:tcPr>
          <w:p w14:paraId="23433B84">
            <w:pPr>
              <w:keepNext w:val="0"/>
              <w:keepLines w:val="0"/>
              <w:widowControl/>
              <w:suppressLineNumbers w:val="0"/>
              <w:spacing w:before="0" w:beforeAutospacing="0" w:after="0" w:afterAutospacing="0" w:line="520" w:lineRule="exact"/>
              <w:ind w:left="0" w:right="0"/>
              <w:jc w:val="center"/>
              <w:rPr>
                <w:rFonts w:hint="default"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计划值</w:t>
            </w:r>
          </w:p>
        </w:tc>
        <w:tc>
          <w:tcPr>
            <w:tcW w:w="1262" w:type="dxa"/>
            <w:tcBorders>
              <w:top w:val="single" w:color="auto" w:sz="4" w:space="0"/>
              <w:left w:val="nil"/>
              <w:bottom w:val="single" w:color="auto" w:sz="4" w:space="0"/>
              <w:right w:val="single" w:color="auto" w:sz="4" w:space="0"/>
            </w:tcBorders>
            <w:vAlign w:val="center"/>
          </w:tcPr>
          <w:p w14:paraId="6A5C06B4">
            <w:pPr>
              <w:keepNext w:val="0"/>
              <w:keepLines w:val="0"/>
              <w:widowControl/>
              <w:suppressLineNumbers w:val="0"/>
              <w:spacing w:before="0" w:beforeAutospacing="0" w:after="0" w:afterAutospacing="0" w:line="520" w:lineRule="exact"/>
              <w:ind w:left="0" w:right="0"/>
              <w:jc w:val="center"/>
              <w:rPr>
                <w:rFonts w:hint="default"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完成值</w:t>
            </w:r>
          </w:p>
        </w:tc>
        <w:tc>
          <w:tcPr>
            <w:tcW w:w="6000" w:type="dxa"/>
            <w:tcBorders>
              <w:top w:val="single" w:color="auto" w:sz="4" w:space="0"/>
              <w:left w:val="nil"/>
              <w:bottom w:val="single" w:color="auto" w:sz="4" w:space="0"/>
              <w:right w:val="single" w:color="auto" w:sz="4" w:space="0"/>
            </w:tcBorders>
            <w:vAlign w:val="center"/>
          </w:tcPr>
          <w:p w14:paraId="6210102D">
            <w:pPr>
              <w:keepNext w:val="0"/>
              <w:keepLines w:val="0"/>
              <w:widowControl/>
              <w:suppressLineNumbers w:val="0"/>
              <w:spacing w:before="0" w:beforeAutospacing="0" w:after="0" w:afterAutospacing="0" w:line="520" w:lineRule="exact"/>
              <w:ind w:left="0" w:right="0"/>
              <w:jc w:val="center"/>
              <w:rPr>
                <w:rFonts w:hint="default"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偏差原因</w:t>
            </w:r>
          </w:p>
        </w:tc>
      </w:tr>
      <w:tr w14:paraId="500F736C">
        <w:tblPrEx>
          <w:tblCellMar>
            <w:top w:w="0" w:type="dxa"/>
            <w:left w:w="108" w:type="dxa"/>
            <w:bottom w:w="0" w:type="dxa"/>
            <w:right w:w="108" w:type="dxa"/>
          </w:tblCellMar>
        </w:tblPrEx>
        <w:trPr>
          <w:trHeight w:val="510" w:hRule="atLeast"/>
        </w:trPr>
        <w:tc>
          <w:tcPr>
            <w:tcW w:w="800" w:type="dxa"/>
            <w:tcBorders>
              <w:top w:val="nil"/>
              <w:left w:val="single" w:color="auto" w:sz="4" w:space="0"/>
              <w:bottom w:val="single" w:color="auto" w:sz="4" w:space="0"/>
              <w:right w:val="single" w:color="auto" w:sz="4" w:space="0"/>
            </w:tcBorders>
            <w:vAlign w:val="center"/>
          </w:tcPr>
          <w:p w14:paraId="0022D751">
            <w:pPr>
              <w:keepNext w:val="0"/>
              <w:keepLines w:val="0"/>
              <w:widowControl/>
              <w:suppressLineNumbers w:val="0"/>
              <w:spacing w:before="0" w:beforeAutospacing="0" w:after="0" w:afterAutospacing="0" w:line="520" w:lineRule="exact"/>
              <w:ind w:left="0" w:right="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w:t>
            </w:r>
          </w:p>
        </w:tc>
        <w:tc>
          <w:tcPr>
            <w:tcW w:w="4805" w:type="dxa"/>
            <w:tcBorders>
              <w:top w:val="nil"/>
              <w:left w:val="nil"/>
              <w:bottom w:val="single" w:color="auto" w:sz="4" w:space="0"/>
              <w:right w:val="single" w:color="auto" w:sz="4" w:space="0"/>
            </w:tcBorders>
            <w:vAlign w:val="center"/>
          </w:tcPr>
          <w:p w14:paraId="1362D41D">
            <w:pPr>
              <w:keepNext w:val="0"/>
              <w:keepLines w:val="0"/>
              <w:widowControl/>
              <w:suppressLineNumbers w:val="0"/>
              <w:spacing w:before="0" w:beforeAutospacing="0" w:after="0" w:afterAutospacing="0" w:line="520" w:lineRule="exact"/>
              <w:ind w:left="0" w:right="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kern w:val="2"/>
                <w:sz w:val="28"/>
                <w:szCs w:val="28"/>
                <w:lang w:val="en-US" w:eastAsia="zh-CN" w:bidi="ar"/>
              </w:rPr>
              <w:t>实施单位对象满意度</w:t>
            </w:r>
            <w:r>
              <w:rPr>
                <w:rFonts w:hint="eastAsia" w:ascii="仿宋_GB2312" w:hAnsi="仿宋_GB2312" w:eastAsia="仿宋_GB2312" w:cs="仿宋_GB2312"/>
                <w:color w:val="000000"/>
                <w:kern w:val="0"/>
                <w:sz w:val="28"/>
                <w:szCs w:val="28"/>
              </w:rPr>
              <w:t>　</w:t>
            </w:r>
          </w:p>
        </w:tc>
        <w:tc>
          <w:tcPr>
            <w:tcW w:w="1688" w:type="dxa"/>
            <w:tcBorders>
              <w:top w:val="nil"/>
              <w:left w:val="nil"/>
              <w:bottom w:val="single" w:color="auto" w:sz="4" w:space="0"/>
              <w:right w:val="single" w:color="auto" w:sz="4" w:space="0"/>
            </w:tcBorders>
            <w:vAlign w:val="center"/>
          </w:tcPr>
          <w:p w14:paraId="382542CE">
            <w:pPr>
              <w:keepNext w:val="0"/>
              <w:keepLines w:val="0"/>
              <w:widowControl/>
              <w:suppressLineNumbers w:val="0"/>
              <w:spacing w:before="0" w:beforeAutospacing="0" w:after="0" w:afterAutospacing="0" w:line="520" w:lineRule="exact"/>
              <w:ind w:left="0" w:right="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95%</w:t>
            </w:r>
            <w:r>
              <w:rPr>
                <w:rFonts w:hint="eastAsia" w:ascii="仿宋_GB2312" w:hAnsi="仿宋_GB2312" w:eastAsia="仿宋_GB2312" w:cs="仿宋_GB2312"/>
                <w:color w:val="000000"/>
                <w:kern w:val="0"/>
                <w:sz w:val="28"/>
                <w:szCs w:val="28"/>
              </w:rPr>
              <w:t>　</w:t>
            </w:r>
          </w:p>
        </w:tc>
        <w:tc>
          <w:tcPr>
            <w:tcW w:w="1262" w:type="dxa"/>
            <w:tcBorders>
              <w:top w:val="nil"/>
              <w:left w:val="nil"/>
              <w:bottom w:val="single" w:color="auto" w:sz="4" w:space="0"/>
              <w:right w:val="single" w:color="auto" w:sz="4" w:space="0"/>
            </w:tcBorders>
            <w:vAlign w:val="center"/>
          </w:tcPr>
          <w:p w14:paraId="7C242924">
            <w:pPr>
              <w:keepNext w:val="0"/>
              <w:keepLines w:val="0"/>
              <w:widowControl/>
              <w:suppressLineNumbers w:val="0"/>
              <w:spacing w:before="0" w:beforeAutospacing="0" w:after="0" w:afterAutospacing="0" w:line="520" w:lineRule="exact"/>
              <w:ind w:left="0" w:right="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95%</w:t>
            </w:r>
            <w:r>
              <w:rPr>
                <w:rFonts w:hint="eastAsia" w:ascii="仿宋_GB2312" w:hAnsi="仿宋_GB2312" w:eastAsia="仿宋_GB2312" w:cs="仿宋_GB2312"/>
                <w:color w:val="000000"/>
                <w:kern w:val="0"/>
                <w:sz w:val="28"/>
                <w:szCs w:val="28"/>
              </w:rPr>
              <w:t>　　</w:t>
            </w:r>
          </w:p>
        </w:tc>
        <w:tc>
          <w:tcPr>
            <w:tcW w:w="6000" w:type="dxa"/>
            <w:tcBorders>
              <w:top w:val="nil"/>
              <w:left w:val="nil"/>
              <w:bottom w:val="single" w:color="auto" w:sz="4" w:space="0"/>
              <w:right w:val="single" w:color="auto" w:sz="4" w:space="0"/>
            </w:tcBorders>
            <w:vAlign w:val="center"/>
          </w:tcPr>
          <w:p w14:paraId="0CE52C5D">
            <w:pPr>
              <w:keepNext w:val="0"/>
              <w:keepLines w:val="0"/>
              <w:widowControl/>
              <w:suppressLineNumbers w:val="0"/>
              <w:spacing w:before="0" w:beforeAutospacing="0" w:after="0" w:afterAutospacing="0" w:line="520" w:lineRule="exact"/>
              <w:ind w:left="0" w:right="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无</w:t>
            </w:r>
            <w:r>
              <w:rPr>
                <w:rFonts w:hint="eastAsia" w:ascii="仿宋_GB2312" w:hAnsi="仿宋_GB2312" w:eastAsia="仿宋_GB2312" w:cs="仿宋_GB2312"/>
                <w:color w:val="000000"/>
                <w:kern w:val="0"/>
                <w:sz w:val="28"/>
                <w:szCs w:val="28"/>
              </w:rPr>
              <w:t>　</w:t>
            </w:r>
          </w:p>
        </w:tc>
      </w:tr>
    </w:tbl>
    <w:p w14:paraId="732EF31C">
      <w:pPr>
        <w:numPr>
          <w:ilvl w:val="0"/>
          <w:numId w:val="0"/>
        </w:numPr>
        <w:spacing w:line="580" w:lineRule="exact"/>
        <w:rPr>
          <w:rFonts w:hint="eastAsia" w:ascii="仿宋_GB2312" w:eastAsia="仿宋_GB2312"/>
          <w:sz w:val="32"/>
          <w:szCs w:val="32"/>
        </w:rPr>
      </w:pPr>
    </w:p>
    <w:p w14:paraId="5B0B7642">
      <w:pPr>
        <w:spacing w:line="580" w:lineRule="exact"/>
        <w:ind w:firstLine="640"/>
        <w:rPr>
          <w:rFonts w:hint="eastAsia" w:ascii="楷体_GB2312" w:eastAsia="楷体_GB2312"/>
          <w:b/>
          <w:sz w:val="32"/>
          <w:szCs w:val="32"/>
        </w:rPr>
      </w:pPr>
    </w:p>
    <w:p w14:paraId="1270D261">
      <w:pPr>
        <w:spacing w:line="580" w:lineRule="exact"/>
        <w:ind w:firstLine="640"/>
        <w:rPr>
          <w:rFonts w:hint="eastAsia" w:ascii="楷体_GB2312" w:eastAsia="楷体_GB2312"/>
          <w:b/>
          <w:sz w:val="32"/>
          <w:szCs w:val="32"/>
        </w:rPr>
      </w:pPr>
    </w:p>
    <w:p w14:paraId="31C8FE15">
      <w:pPr>
        <w:spacing w:line="580" w:lineRule="exact"/>
        <w:ind w:firstLine="640" w:firstLineChars="200"/>
        <w:rPr>
          <w:rFonts w:hint="eastAsia" w:ascii="楷体_GB2312" w:eastAsia="楷体_GB2312"/>
          <w:b/>
          <w:sz w:val="32"/>
          <w:szCs w:val="32"/>
        </w:rPr>
      </w:pPr>
    </w:p>
    <w:p w14:paraId="4F4D2A1E">
      <w:pPr>
        <w:spacing w:line="580" w:lineRule="exact"/>
        <w:ind w:firstLine="640" w:firstLineChars="200"/>
        <w:rPr>
          <w:rFonts w:hint="eastAsia" w:ascii="楷体_GB2312" w:eastAsia="楷体_GB2312"/>
          <w:b/>
          <w:sz w:val="32"/>
          <w:szCs w:val="32"/>
        </w:rPr>
      </w:pPr>
    </w:p>
    <w:p w14:paraId="0975CDF0">
      <w:pPr>
        <w:spacing w:line="580" w:lineRule="exact"/>
        <w:ind w:firstLine="640" w:firstLineChars="200"/>
        <w:rPr>
          <w:rFonts w:hint="eastAsia" w:ascii="楷体_GB2312" w:eastAsia="楷体_GB2312"/>
          <w:b/>
          <w:sz w:val="32"/>
          <w:szCs w:val="32"/>
        </w:rPr>
      </w:pPr>
    </w:p>
    <w:p w14:paraId="7307C9E8">
      <w:pPr>
        <w:spacing w:line="580" w:lineRule="exact"/>
        <w:ind w:firstLine="640" w:firstLineChars="200"/>
        <w:rPr>
          <w:rFonts w:hint="eastAsia" w:ascii="楷体_GB2312" w:eastAsia="楷体_GB2312"/>
          <w:b/>
          <w:sz w:val="32"/>
          <w:szCs w:val="32"/>
        </w:rPr>
      </w:pPr>
      <w:r>
        <w:rPr>
          <w:rFonts w:hint="eastAsia" w:ascii="楷体_GB2312" w:eastAsia="楷体_GB2312"/>
          <w:b/>
          <w:sz w:val="32"/>
          <w:szCs w:val="32"/>
        </w:rPr>
        <w:t>（四）预算管理情况分析</w:t>
      </w:r>
    </w:p>
    <w:p w14:paraId="21F60645">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1.财务管理</w:t>
      </w:r>
    </w:p>
    <w:p w14:paraId="42388DAD">
      <w:pPr>
        <w:spacing w:line="520" w:lineRule="exact"/>
        <w:ind w:firstLine="560" w:firstLineChars="200"/>
        <w:rPr>
          <w:rFonts w:hint="eastAsia" w:ascii="仿宋_GB2312" w:eastAsia="仿宋_GB2312"/>
          <w:sz w:val="28"/>
          <w:szCs w:val="28"/>
        </w:rPr>
      </w:pPr>
      <w:r>
        <w:rPr>
          <w:rFonts w:hint="eastAsia" w:ascii="仿宋_GB2312" w:eastAsia="仿宋_GB2312"/>
          <w:sz w:val="28"/>
          <w:szCs w:val="28"/>
        </w:rPr>
        <w:t>为规范土地储备管理行为，加强土地储备资金的监督管理，确保土地储备资金专款专用，提高土地储备资金的使用效益，严格按照《门头沟区土地储备项目专项资金管理办法》中涉及的财务、收支管理、财务监督检查等规定执行。</w:t>
      </w:r>
    </w:p>
    <w:p w14:paraId="0E049567">
      <w:pPr>
        <w:numPr>
          <w:ilvl w:val="0"/>
          <w:numId w:val="0"/>
        </w:numPr>
        <w:spacing w:line="580" w:lineRule="exact"/>
        <w:ind w:left="640" w:leftChars="0" w:firstLine="560" w:firstLineChars="200"/>
        <w:rPr>
          <w:rFonts w:hint="eastAsia" w:ascii="仿宋_GB2312" w:eastAsia="仿宋_GB2312"/>
          <w:sz w:val="28"/>
          <w:szCs w:val="28"/>
        </w:rPr>
      </w:pPr>
      <w:r>
        <w:rPr>
          <w:rFonts w:hint="eastAsia" w:ascii="仿宋_GB2312" w:eastAsia="仿宋_GB2312"/>
          <w:sz w:val="28"/>
          <w:szCs w:val="28"/>
          <w:lang w:val="en-US" w:eastAsia="zh-CN"/>
        </w:rPr>
        <w:t>2.</w:t>
      </w:r>
      <w:r>
        <w:rPr>
          <w:rFonts w:hint="eastAsia" w:ascii="仿宋_GB2312" w:eastAsia="仿宋_GB2312"/>
          <w:sz w:val="28"/>
          <w:szCs w:val="28"/>
        </w:rPr>
        <w:t>资产管理</w:t>
      </w:r>
    </w:p>
    <w:p w14:paraId="40158581">
      <w:pPr>
        <w:numPr>
          <w:ilvl w:val="0"/>
          <w:numId w:val="0"/>
        </w:numPr>
        <w:spacing w:line="520" w:lineRule="exact"/>
        <w:ind w:firstLine="560" w:firstLineChars="200"/>
        <w:rPr>
          <w:rFonts w:hint="eastAsia" w:ascii="仿宋_GB2312" w:eastAsia="仿宋_GB2312"/>
          <w:sz w:val="32"/>
          <w:szCs w:val="32"/>
          <w:lang w:eastAsia="zh-CN"/>
        </w:rPr>
      </w:pPr>
      <w:r>
        <w:rPr>
          <w:rFonts w:hint="eastAsia" w:ascii="仿宋_GB2312" w:eastAsia="仿宋_GB2312"/>
          <w:sz w:val="28"/>
          <w:szCs w:val="28"/>
        </w:rPr>
        <w:t>截止2025年12月31日，本单位账面资产总额为</w:t>
      </w:r>
      <w:r>
        <w:rPr>
          <w:rFonts w:hint="eastAsia" w:ascii="仿宋_GB2312" w:eastAsia="仿宋_GB2312"/>
          <w:sz w:val="28"/>
          <w:szCs w:val="28"/>
          <w:lang w:val="en-US" w:eastAsia="zh-CN"/>
        </w:rPr>
        <w:t>877.34</w:t>
      </w:r>
      <w:r>
        <w:rPr>
          <w:rFonts w:hint="eastAsia" w:ascii="仿宋_GB2312" w:eastAsia="仿宋_GB2312"/>
          <w:sz w:val="28"/>
          <w:szCs w:val="28"/>
        </w:rPr>
        <w:t>元，负债总额为</w:t>
      </w:r>
      <w:r>
        <w:rPr>
          <w:rFonts w:hint="eastAsia" w:ascii="仿宋_GB2312" w:eastAsia="仿宋_GB2312"/>
          <w:sz w:val="28"/>
          <w:szCs w:val="28"/>
          <w:lang w:val="en-US" w:eastAsia="zh-CN"/>
        </w:rPr>
        <w:t>14,521.27</w:t>
      </w:r>
      <w:r>
        <w:rPr>
          <w:rFonts w:hint="eastAsia" w:ascii="仿宋_GB2312" w:eastAsia="仿宋_GB2312"/>
          <w:sz w:val="28"/>
          <w:szCs w:val="28"/>
        </w:rPr>
        <w:t>元，国有资产总额</w:t>
      </w:r>
      <w:r>
        <w:rPr>
          <w:rFonts w:hint="eastAsia" w:ascii="仿宋_GB2312" w:eastAsia="仿宋_GB2312"/>
          <w:sz w:val="28"/>
          <w:szCs w:val="28"/>
          <w:lang w:val="en-US" w:eastAsia="zh-CN"/>
        </w:rPr>
        <w:t>-13,643.93</w:t>
      </w:r>
      <w:r>
        <w:rPr>
          <w:rFonts w:hint="eastAsia" w:ascii="仿宋_GB2312" w:eastAsia="仿宋_GB2312"/>
          <w:sz w:val="28"/>
          <w:szCs w:val="28"/>
        </w:rPr>
        <w:t>元。固定资产总额(净值)</w:t>
      </w:r>
      <w:r>
        <w:rPr>
          <w:rFonts w:hint="eastAsia" w:ascii="仿宋_GB2312" w:eastAsia="仿宋_GB2312"/>
          <w:sz w:val="28"/>
          <w:szCs w:val="28"/>
          <w:lang w:val="en-US" w:eastAsia="zh-CN"/>
        </w:rPr>
        <w:t>775.00</w:t>
      </w:r>
      <w:r>
        <w:rPr>
          <w:rFonts w:hint="eastAsia" w:ascii="仿宋_GB2312" w:eastAsia="仿宋_GB2312"/>
          <w:sz w:val="28"/>
          <w:szCs w:val="28"/>
        </w:rPr>
        <w:t>元、其中：土地房屋及构筑物</w:t>
      </w:r>
      <w:r>
        <w:rPr>
          <w:rFonts w:hint="eastAsia" w:ascii="仿宋_GB2312" w:eastAsia="仿宋_GB2312"/>
          <w:sz w:val="28"/>
          <w:szCs w:val="28"/>
          <w:lang w:val="en-US" w:eastAsia="zh-CN"/>
        </w:rPr>
        <w:t>0</w:t>
      </w:r>
      <w:r>
        <w:rPr>
          <w:rFonts w:hint="eastAsia" w:ascii="仿宋_GB2312" w:eastAsia="仿宋_GB2312"/>
          <w:sz w:val="28"/>
          <w:szCs w:val="28"/>
        </w:rPr>
        <w:t>元、设备0元、文物和陈列品0元、图书档案0元、家具用具装具及动植物</w:t>
      </w:r>
      <w:r>
        <w:rPr>
          <w:rFonts w:hint="eastAsia" w:ascii="仿宋_GB2312" w:eastAsia="仿宋_GB2312"/>
          <w:sz w:val="28"/>
          <w:szCs w:val="28"/>
          <w:lang w:val="en-US" w:eastAsia="zh-CN"/>
        </w:rPr>
        <w:t>775.00</w:t>
      </w:r>
      <w:r>
        <w:rPr>
          <w:rFonts w:hint="eastAsia" w:ascii="仿宋_GB2312" w:eastAsia="仿宋_GB2312"/>
          <w:sz w:val="28"/>
          <w:szCs w:val="28"/>
        </w:rPr>
        <w:t>元。本单位固定资产均为自用，没有出租出借、对外投资的情况。本单位严格履行国有资产管理制度和日常管理职责，做到固定资产明细账定期与固定资产卡片进行核对，定期或不定期的组织固定资产清查盘点，保证帐、卡、物相符。</w:t>
      </w:r>
    </w:p>
    <w:p w14:paraId="7533CA1E">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3.绩效管理</w:t>
      </w:r>
    </w:p>
    <w:p w14:paraId="257CE639">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（1）预算绩效管理制度情况</w:t>
      </w:r>
    </w:p>
    <w:p w14:paraId="55A703E5">
      <w:pPr>
        <w:spacing w:line="520" w:lineRule="exact"/>
        <w:ind w:firstLine="560" w:firstLineChars="200"/>
        <w:rPr>
          <w:rFonts w:hint="eastAsia" w:ascii="仿宋_GB2312" w:eastAsia="仿宋_GB2312"/>
          <w:sz w:val="28"/>
          <w:szCs w:val="28"/>
        </w:rPr>
      </w:pPr>
      <w:r>
        <w:rPr>
          <w:rFonts w:hint="eastAsia" w:ascii="仿宋_GB2312" w:eastAsia="仿宋_GB2312"/>
          <w:sz w:val="28"/>
          <w:szCs w:val="28"/>
        </w:rPr>
        <w:t>为了加强土地储备资金预算绩效管理，提高土地储备资金管理效率，严格按照《门头沟区土地储备项目专项资金管理办法》规定执行。土地储备项目资金实行预算管理，按照资金规模、筹资渠道等内容编制年度土地储备项目预算，项目预算下达后做好预算执行工作。已确定项目预算的项目，确因工作内容发生较大变化需要调整时，按照预算调整规定程序报批。</w:t>
      </w:r>
    </w:p>
    <w:p w14:paraId="2F455AA1">
      <w:pPr>
        <w:spacing w:line="580" w:lineRule="exact"/>
        <w:ind w:firstLine="640"/>
        <w:rPr>
          <w:rFonts w:hint="eastAsia" w:ascii="仿宋_GB2312" w:eastAsia="仿宋_GB2312"/>
          <w:sz w:val="32"/>
          <w:szCs w:val="32"/>
        </w:rPr>
      </w:pPr>
    </w:p>
    <w:p w14:paraId="0CD61F4D">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（2）绩效目标管理情况</w:t>
      </w:r>
    </w:p>
    <w:p w14:paraId="65A9AF0A">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2025年部门预算项目</w:t>
      </w:r>
      <w:r>
        <w:rPr>
          <w:rFonts w:hint="eastAsia" w:ascii="仿宋_GB2312" w:eastAsia="仿宋_GB2312"/>
          <w:sz w:val="28"/>
          <w:szCs w:val="28"/>
          <w:lang w:val="en-US" w:eastAsia="zh-CN"/>
        </w:rPr>
        <w:t>8</w:t>
      </w:r>
      <w:r>
        <w:rPr>
          <w:rFonts w:hint="eastAsia" w:ascii="仿宋_GB2312" w:eastAsia="仿宋_GB2312"/>
          <w:sz w:val="28"/>
          <w:szCs w:val="28"/>
        </w:rPr>
        <w:t>个，部门预算公开绩效目标的预算项目</w:t>
      </w:r>
      <w:r>
        <w:rPr>
          <w:rFonts w:hint="eastAsia" w:ascii="仿宋_GB2312" w:eastAsia="仿宋_GB2312"/>
          <w:sz w:val="28"/>
          <w:szCs w:val="28"/>
          <w:lang w:val="en-US" w:eastAsia="zh-CN"/>
        </w:rPr>
        <w:t>8</w:t>
      </w:r>
      <w:r>
        <w:rPr>
          <w:rFonts w:hint="eastAsia" w:ascii="仿宋_GB2312" w:eastAsia="仿宋_GB2312"/>
          <w:sz w:val="28"/>
          <w:szCs w:val="28"/>
        </w:rPr>
        <w:t>个，占本部门全部预算项目的</w:t>
      </w:r>
      <w:r>
        <w:rPr>
          <w:rFonts w:hint="eastAsia" w:ascii="仿宋_GB2312" w:eastAsia="仿宋_GB2312"/>
          <w:sz w:val="28"/>
          <w:szCs w:val="28"/>
          <w:lang w:val="en-US" w:eastAsia="zh-CN"/>
        </w:rPr>
        <w:t>100.0</w:t>
      </w:r>
      <w:r>
        <w:rPr>
          <w:rFonts w:hint="eastAsia" w:ascii="仿宋_GB2312" w:eastAsia="仿宋_GB2312"/>
          <w:sz w:val="28"/>
          <w:szCs w:val="28"/>
        </w:rPr>
        <w:t>%。</w:t>
      </w:r>
    </w:p>
    <w:p w14:paraId="19EC6576">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（3）绩效自评情况</w:t>
      </w:r>
    </w:p>
    <w:p w14:paraId="3CB53D6C">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2025年对本部门及所属单位2024年项目支出实施了绩效自评，评价项目</w:t>
      </w:r>
      <w:r>
        <w:rPr>
          <w:rFonts w:hint="eastAsia" w:ascii="仿宋_GB2312" w:eastAsia="仿宋_GB2312"/>
          <w:sz w:val="28"/>
          <w:szCs w:val="28"/>
          <w:lang w:val="en-US" w:eastAsia="zh-CN"/>
        </w:rPr>
        <w:t>8</w:t>
      </w:r>
      <w:r>
        <w:rPr>
          <w:rFonts w:hint="eastAsia" w:ascii="仿宋_GB2312" w:eastAsia="仿宋_GB2312"/>
          <w:sz w:val="28"/>
          <w:szCs w:val="28"/>
        </w:rPr>
        <w:t>个，涉及金额</w:t>
      </w:r>
      <w:r>
        <w:rPr>
          <w:rFonts w:hint="eastAsia" w:ascii="仿宋_GB2312" w:eastAsia="仿宋_GB2312"/>
          <w:sz w:val="28"/>
          <w:szCs w:val="28"/>
          <w:lang w:val="en-US" w:eastAsia="zh-CN"/>
        </w:rPr>
        <w:t>133,825,600.00</w:t>
      </w:r>
      <w:r>
        <w:rPr>
          <w:rFonts w:hint="eastAsia" w:ascii="仿宋_GB2312" w:eastAsia="仿宋_GB2312"/>
          <w:sz w:val="28"/>
          <w:szCs w:val="28"/>
        </w:rPr>
        <w:t>元。</w:t>
      </w:r>
    </w:p>
    <w:p w14:paraId="076D25C6">
      <w:pPr>
        <w:spacing w:line="580" w:lineRule="exact"/>
        <w:ind w:firstLine="640" w:firstLineChars="200"/>
        <w:rPr>
          <w:rFonts w:hint="eastAsia" w:ascii="楷体_GB2312" w:eastAsia="楷体_GB2312"/>
          <w:b/>
          <w:sz w:val="32"/>
          <w:szCs w:val="32"/>
        </w:rPr>
      </w:pPr>
      <w:r>
        <w:rPr>
          <w:rFonts w:hint="eastAsia" w:ascii="楷体_GB2312" w:eastAsia="楷体_GB2312"/>
          <w:b/>
          <w:sz w:val="32"/>
          <w:szCs w:val="32"/>
        </w:rPr>
        <w:t>（五）总体评价结论</w:t>
      </w:r>
    </w:p>
    <w:p w14:paraId="3891401B">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1.评价得分情况</w:t>
      </w:r>
    </w:p>
    <w:p w14:paraId="79230A4E">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绩效自评总分：</w:t>
      </w:r>
      <w:r>
        <w:rPr>
          <w:rFonts w:hint="eastAsia" w:ascii="仿宋_GB2312" w:eastAsia="仿宋_GB2312"/>
          <w:sz w:val="28"/>
          <w:szCs w:val="28"/>
          <w:lang w:val="en-US" w:eastAsia="zh-CN"/>
        </w:rPr>
        <w:t>97</w:t>
      </w:r>
      <w:r>
        <w:rPr>
          <w:rFonts w:hint="eastAsia" w:ascii="仿宋_GB2312" w:eastAsia="仿宋_GB2312"/>
          <w:sz w:val="28"/>
          <w:szCs w:val="28"/>
        </w:rPr>
        <w:t>分</w:t>
      </w:r>
    </w:p>
    <w:p w14:paraId="6290781F">
      <w:pPr>
        <w:spacing w:line="580" w:lineRule="exact"/>
        <w:ind w:firstLine="560" w:firstLineChars="200"/>
        <w:rPr>
          <w:rFonts w:hint="eastAsia" w:ascii="仿宋_GB2312" w:eastAsia="仿宋_GB2312"/>
          <w:sz w:val="28"/>
          <w:szCs w:val="28"/>
          <w:lang w:val="en-US" w:eastAsia="zh-CN"/>
        </w:rPr>
      </w:pPr>
      <w:r>
        <w:rPr>
          <w:rFonts w:hint="eastAsia" w:ascii="仿宋_GB2312" w:eastAsia="仿宋_GB2312"/>
          <w:sz w:val="28"/>
          <w:szCs w:val="28"/>
        </w:rPr>
        <w:t>绩效自评等级：</w:t>
      </w:r>
      <w:r>
        <w:rPr>
          <w:rFonts w:hint="eastAsia" w:ascii="仿宋_GB2312" w:eastAsia="仿宋_GB2312"/>
          <w:sz w:val="28"/>
          <w:szCs w:val="28"/>
          <w:lang w:eastAsia="zh-CN"/>
        </w:rPr>
        <w:t>优秀</w:t>
      </w:r>
    </w:p>
    <w:p w14:paraId="004E03FD">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2.存在的问题及原因分析</w:t>
      </w:r>
    </w:p>
    <w:p w14:paraId="613AD23D">
      <w:pPr>
        <w:spacing w:line="520" w:lineRule="exact"/>
        <w:ind w:firstLine="560" w:firstLineChars="200"/>
        <w:rPr>
          <w:rFonts w:hint="eastAsia" w:ascii="仿宋_GB2312" w:eastAsia="仿宋_GB2312"/>
          <w:sz w:val="28"/>
          <w:szCs w:val="28"/>
        </w:rPr>
      </w:pPr>
      <w:r>
        <w:rPr>
          <w:rFonts w:hint="eastAsia" w:ascii="仿宋_GB2312" w:eastAsia="仿宋_GB2312"/>
          <w:sz w:val="28"/>
          <w:szCs w:val="28"/>
        </w:rPr>
        <w:t>项目工程施工过程中，实施程度尚未达到可支付的条件，所以当年项目款支付有所减少。</w:t>
      </w:r>
    </w:p>
    <w:p w14:paraId="4641295A">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3.改进措施</w:t>
      </w:r>
    </w:p>
    <w:bookmarkEnd w:id="2"/>
    <w:p w14:paraId="577EDBE3">
      <w:pPr>
        <w:spacing w:line="520" w:lineRule="exact"/>
        <w:ind w:firstLine="560" w:firstLineChars="200"/>
        <w:rPr>
          <w:rFonts w:hint="eastAsia" w:ascii="仿宋_GB2312" w:eastAsia="仿宋_GB2312"/>
          <w:sz w:val="32"/>
          <w:szCs w:val="32"/>
        </w:rPr>
      </w:pPr>
      <w:r>
        <w:rPr>
          <w:rFonts w:hint="eastAsia" w:ascii="仿宋_GB2312" w:eastAsia="仿宋_GB2312"/>
          <w:sz w:val="28"/>
          <w:szCs w:val="28"/>
        </w:rPr>
        <w:t>项目工程施工过程中，实施程度尚未达到可支付的条件，所以当年项目款支付有所减少。</w:t>
      </w:r>
    </w:p>
    <w:p w14:paraId="4A74E2B7">
      <w:pPr>
        <w:spacing w:line="580" w:lineRule="exact"/>
        <w:ind w:firstLine="640"/>
        <w:rPr>
          <w:rFonts w:hint="eastAsia" w:ascii="黑体" w:hAnsi="黑体" w:eastAsia="黑体"/>
          <w:sz w:val="32"/>
          <w:szCs w:val="32"/>
        </w:rPr>
      </w:pPr>
    </w:p>
    <w:p w14:paraId="618F56C8">
      <w:pPr>
        <w:spacing w:line="580" w:lineRule="exact"/>
        <w:ind w:firstLine="640"/>
        <w:rPr>
          <w:rFonts w:hint="eastAsia" w:ascii="黑体" w:hAnsi="黑体" w:eastAsia="黑体"/>
          <w:sz w:val="32"/>
          <w:szCs w:val="32"/>
        </w:rPr>
      </w:pPr>
    </w:p>
    <w:p w14:paraId="3AB87C0B">
      <w:pPr>
        <w:spacing w:line="580" w:lineRule="exact"/>
        <w:ind w:firstLine="640" w:firstLineChars="200"/>
        <w:rPr>
          <w:rFonts w:hint="eastAsia" w:ascii="黑体" w:hAnsi="黑体" w:eastAsia="黑体"/>
          <w:sz w:val="32"/>
          <w:szCs w:val="32"/>
        </w:rPr>
      </w:pPr>
      <w:r>
        <w:rPr>
          <w:rFonts w:hint="eastAsia" w:ascii="黑体" w:hAnsi="黑体" w:eastAsia="黑体"/>
          <w:sz w:val="32"/>
          <w:szCs w:val="32"/>
        </w:rPr>
        <w:br w:type="textWrapping"/>
      </w:r>
    </w:p>
    <w:p w14:paraId="67D724E5">
      <w:pPr>
        <w:spacing w:line="580" w:lineRule="exact"/>
        <w:ind w:firstLine="640" w:firstLineChars="200"/>
        <w:rPr>
          <w:rFonts w:hint="eastAsia" w:ascii="黑体" w:hAnsi="黑体" w:eastAsia="黑体"/>
          <w:sz w:val="32"/>
          <w:szCs w:val="32"/>
        </w:rPr>
      </w:pPr>
      <w:r>
        <w:rPr>
          <w:rFonts w:hint="eastAsia" w:ascii="黑体" w:hAnsi="黑体" w:eastAsia="黑体"/>
          <w:sz w:val="32"/>
          <w:szCs w:val="32"/>
        </w:rPr>
        <w:t>二、项目支出绩效自评情况</w:t>
      </w:r>
    </w:p>
    <w:p w14:paraId="39EF4D92">
      <w:pPr>
        <w:spacing w:line="580" w:lineRule="exact"/>
        <w:ind w:firstLine="640" w:firstLineChars="200"/>
        <w:rPr>
          <w:rFonts w:hint="eastAsia" w:ascii="楷体_GB2312" w:hAnsi="仿宋" w:eastAsia="楷体_GB2312"/>
          <w:b/>
          <w:sz w:val="32"/>
          <w:szCs w:val="32"/>
        </w:rPr>
      </w:pPr>
      <w:r>
        <w:rPr>
          <w:rFonts w:hint="eastAsia" w:ascii="楷体_GB2312" w:hAnsi="仿宋" w:eastAsia="楷体_GB2312"/>
          <w:b/>
          <w:sz w:val="32"/>
          <w:szCs w:val="32"/>
        </w:rPr>
        <w:t>（一）绩效自评开展总体情况</w:t>
      </w:r>
    </w:p>
    <w:p w14:paraId="3D6EF2E4">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2025年度区财政批复项目支出预算项目</w:t>
      </w:r>
      <w:r>
        <w:rPr>
          <w:rFonts w:hint="eastAsia" w:ascii="仿宋_GB2312" w:eastAsia="仿宋_GB2312"/>
          <w:sz w:val="28"/>
          <w:szCs w:val="28"/>
          <w:lang w:val="en-US" w:eastAsia="zh-CN"/>
        </w:rPr>
        <w:t>8</w:t>
      </w:r>
      <w:r>
        <w:rPr>
          <w:rFonts w:hint="eastAsia" w:ascii="仿宋_GB2312" w:eastAsia="仿宋_GB2312"/>
          <w:sz w:val="28"/>
          <w:szCs w:val="28"/>
        </w:rPr>
        <w:t>个，涉及金额</w:t>
      </w:r>
      <w:r>
        <w:rPr>
          <w:rFonts w:hint="eastAsia" w:ascii="仿宋_GB2312" w:eastAsia="仿宋_GB2312"/>
          <w:sz w:val="28"/>
          <w:szCs w:val="28"/>
          <w:lang w:val="en-US" w:eastAsia="zh-CN"/>
        </w:rPr>
        <w:t>133,825,600.00</w:t>
      </w:r>
      <w:r>
        <w:rPr>
          <w:rFonts w:hint="eastAsia" w:ascii="仿宋_GB2312" w:eastAsia="仿宋_GB2312"/>
          <w:sz w:val="28"/>
          <w:szCs w:val="28"/>
        </w:rPr>
        <w:t>元。本次实施绩效自评项目</w:t>
      </w:r>
      <w:r>
        <w:rPr>
          <w:rFonts w:hint="eastAsia" w:ascii="仿宋_GB2312" w:eastAsia="仿宋_GB2312"/>
          <w:sz w:val="28"/>
          <w:szCs w:val="28"/>
          <w:lang w:val="en-US" w:eastAsia="zh-CN"/>
        </w:rPr>
        <w:t>8</w:t>
      </w:r>
      <w:r>
        <w:rPr>
          <w:rFonts w:hint="eastAsia" w:ascii="仿宋_GB2312" w:eastAsia="仿宋_GB2312"/>
          <w:sz w:val="28"/>
          <w:szCs w:val="28"/>
        </w:rPr>
        <w:t>个，涉及金额</w:t>
      </w:r>
      <w:r>
        <w:rPr>
          <w:rFonts w:hint="eastAsia" w:ascii="仿宋_GB2312" w:eastAsia="仿宋_GB2312"/>
          <w:sz w:val="28"/>
          <w:szCs w:val="28"/>
          <w:lang w:val="en-US" w:eastAsia="zh-CN"/>
        </w:rPr>
        <w:t>133,825,600.00</w:t>
      </w:r>
      <w:r>
        <w:rPr>
          <w:rFonts w:hint="eastAsia" w:ascii="仿宋_GB2312" w:eastAsia="仿宋_GB2312"/>
          <w:sz w:val="28"/>
          <w:szCs w:val="28"/>
        </w:rPr>
        <w:t>元。评价得分在90分（含90分）以上的</w:t>
      </w:r>
      <w:r>
        <w:rPr>
          <w:rFonts w:hint="eastAsia" w:ascii="仿宋_GB2312" w:eastAsia="仿宋_GB2312"/>
          <w:sz w:val="28"/>
          <w:szCs w:val="28"/>
          <w:lang w:val="en-US" w:eastAsia="zh-CN"/>
        </w:rPr>
        <w:t>8</w:t>
      </w:r>
      <w:r>
        <w:rPr>
          <w:rFonts w:hint="eastAsia" w:ascii="仿宋_GB2312" w:eastAsia="仿宋_GB2312"/>
          <w:sz w:val="28"/>
          <w:szCs w:val="28"/>
        </w:rPr>
        <w:t>个，评价得分在80-90分（含80分）的</w:t>
      </w:r>
      <w:r>
        <w:rPr>
          <w:rFonts w:hint="eastAsia" w:ascii="仿宋_GB2312" w:eastAsia="仿宋_GB2312"/>
          <w:sz w:val="28"/>
          <w:szCs w:val="28"/>
          <w:lang w:val="en-US" w:eastAsia="zh-CN"/>
        </w:rPr>
        <w:t>0</w:t>
      </w:r>
      <w:r>
        <w:rPr>
          <w:rFonts w:hint="eastAsia" w:ascii="仿宋_GB2312" w:eastAsia="仿宋_GB2312"/>
          <w:sz w:val="28"/>
          <w:szCs w:val="28"/>
        </w:rPr>
        <w:t>个，评价得分在60-80分（含60分）的</w:t>
      </w:r>
      <w:r>
        <w:rPr>
          <w:rFonts w:hint="eastAsia" w:ascii="仿宋_GB2312" w:eastAsia="仿宋_GB2312"/>
          <w:sz w:val="28"/>
          <w:szCs w:val="28"/>
          <w:lang w:val="en-US" w:eastAsia="zh-CN"/>
        </w:rPr>
        <w:t>0</w:t>
      </w:r>
      <w:r>
        <w:rPr>
          <w:rFonts w:hint="eastAsia" w:ascii="仿宋_GB2312" w:eastAsia="仿宋_GB2312"/>
          <w:sz w:val="28"/>
          <w:szCs w:val="28"/>
        </w:rPr>
        <w:t>个，评价得分在60分以下的</w:t>
      </w:r>
      <w:r>
        <w:rPr>
          <w:rFonts w:hint="eastAsia" w:ascii="仿宋_GB2312" w:eastAsia="仿宋_GB2312"/>
          <w:sz w:val="28"/>
          <w:szCs w:val="28"/>
          <w:lang w:val="en-US" w:eastAsia="zh-CN"/>
        </w:rPr>
        <w:t>0</w:t>
      </w:r>
      <w:r>
        <w:rPr>
          <w:rFonts w:hint="eastAsia" w:ascii="仿宋_GB2312" w:eastAsia="仿宋_GB2312"/>
          <w:sz w:val="28"/>
          <w:szCs w:val="28"/>
        </w:rPr>
        <w:t>个。</w:t>
      </w:r>
    </w:p>
    <w:p w14:paraId="473175FB">
      <w:pPr>
        <w:numPr>
          <w:ilvl w:val="0"/>
          <w:numId w:val="0"/>
        </w:numPr>
        <w:spacing w:line="580" w:lineRule="exact"/>
        <w:ind w:firstLine="640" w:firstLineChars="200"/>
        <w:rPr>
          <w:rFonts w:hint="eastAsia" w:ascii="楷体_GB2312" w:hAnsi="仿宋" w:eastAsia="楷体_GB2312"/>
          <w:b/>
          <w:sz w:val="32"/>
          <w:szCs w:val="32"/>
        </w:rPr>
      </w:pPr>
      <w:r>
        <w:rPr>
          <w:rFonts w:hint="eastAsia" w:ascii="楷体_GB2312" w:hAnsi="仿宋" w:eastAsia="楷体_GB2312"/>
          <w:b/>
          <w:sz w:val="32"/>
          <w:szCs w:val="32"/>
          <w:lang w:eastAsia="zh-CN"/>
        </w:rPr>
        <w:t>（二）</w:t>
      </w:r>
      <w:r>
        <w:rPr>
          <w:rFonts w:hint="eastAsia" w:ascii="楷体_GB2312" w:hAnsi="仿宋" w:eastAsia="楷体_GB2312"/>
          <w:b/>
          <w:sz w:val="32"/>
          <w:szCs w:val="32"/>
        </w:rPr>
        <w:t>重点支出项目绩效自评报告</w:t>
      </w:r>
    </w:p>
    <w:p w14:paraId="24663603">
      <w:pPr>
        <w:numPr>
          <w:ilvl w:val="0"/>
          <w:numId w:val="0"/>
        </w:numPr>
        <w:spacing w:line="580" w:lineRule="exact"/>
        <w:ind w:firstLine="640" w:firstLineChars="200"/>
        <w:rPr>
          <w:rFonts w:hint="eastAsia" w:ascii="仿宋_GB2312" w:eastAsia="仿宋_GB2312"/>
          <w:sz w:val="28"/>
          <w:szCs w:val="28"/>
        </w:rPr>
      </w:pPr>
      <w:r>
        <w:rPr>
          <w:rFonts w:hint="eastAsia" w:ascii="楷体_GB2312" w:hAnsi="仿宋" w:eastAsia="楷体_GB2312"/>
          <w:b/>
          <w:sz w:val="32"/>
          <w:szCs w:val="32"/>
        </w:rPr>
        <w:t>（三）项目支出绩效自评表</w:t>
      </w:r>
    </w:p>
    <w:p w14:paraId="4B908094">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附件：1.重点支出项目绩效自评报告</w:t>
      </w:r>
    </w:p>
    <w:p w14:paraId="4F2EB9A3">
      <w:pPr>
        <w:spacing w:line="580" w:lineRule="exact"/>
        <w:ind w:leftChars="400" w:firstLine="560" w:firstLineChars="200"/>
        <w:rPr>
          <w:rFonts w:hint="eastAsia" w:ascii="仿宋_GB2312" w:eastAsia="仿宋_GB2312"/>
          <w:sz w:val="28"/>
          <w:szCs w:val="28"/>
        </w:rPr>
      </w:pPr>
      <w:r>
        <w:rPr>
          <w:rFonts w:hint="eastAsia" w:ascii="仿宋_GB2312" w:eastAsia="仿宋_GB2312"/>
          <w:sz w:val="28"/>
          <w:szCs w:val="28"/>
        </w:rPr>
        <w:t>2.项目支出绩效自评表</w:t>
      </w:r>
    </w:p>
    <w:sectPr>
      <w:footerReference r:id="rId4" w:type="default"/>
      <w:footerReference r:id="rId5" w:type="even"/>
      <w:pgSz w:w="16838" w:h="11906" w:orient="landscape"/>
      <w:pgMar w:top="1134" w:right="1134" w:bottom="1134" w:left="1134"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Droid Sans">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C5F2C">
    <w:pPr>
      <w:pStyle w:val="7"/>
      <w:framePr w:wrap="around" w:vAnchor="text" w:hAnchor="margin" w:xAlign="center" w:y="1"/>
      <w:rPr>
        <w:rStyle w:val="13"/>
      </w:rPr>
    </w:pPr>
    <w:r>
      <w:fldChar w:fldCharType="begin"/>
    </w:r>
    <w:r>
      <w:rPr>
        <w:rStyle w:val="13"/>
      </w:rPr>
      <w:instrText xml:space="preserve">PAGE  </w:instrText>
    </w:r>
    <w:r>
      <w:fldChar w:fldCharType="separate"/>
    </w:r>
    <w:r>
      <w:rPr>
        <w:rStyle w:val="13"/>
      </w:rPr>
      <w:t>3</w:t>
    </w:r>
    <w:r>
      <w:fldChar w:fldCharType="end"/>
    </w:r>
  </w:p>
  <w:p w14:paraId="71217D7A">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E44D7">
    <w:pPr>
      <w:pStyle w:val="7"/>
      <w:framePr w:wrap="around" w:vAnchor="text" w:hAnchor="margin" w:xAlign="center" w:y="1"/>
      <w:rPr>
        <w:rStyle w:val="13"/>
      </w:rPr>
    </w:pPr>
    <w:r>
      <w:fldChar w:fldCharType="begin"/>
    </w:r>
    <w:r>
      <w:rPr>
        <w:rStyle w:val="13"/>
      </w:rPr>
      <w:instrText xml:space="preserve">PAGE  </w:instrText>
    </w:r>
    <w:r>
      <w:fldChar w:fldCharType="separate"/>
    </w:r>
    <w:r>
      <w:rPr>
        <w:rStyle w:val="13"/>
      </w:rPr>
      <w:t>16</w:t>
    </w:r>
    <w:r>
      <w:fldChar w:fldCharType="end"/>
    </w:r>
  </w:p>
  <w:p w14:paraId="038D99D3">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D51B9">
    <w:pPr>
      <w:pStyle w:val="7"/>
      <w:framePr w:wrap="around" w:vAnchor="text" w:hAnchor="margin" w:xAlign="center" w:y="1"/>
      <w:rPr>
        <w:rStyle w:val="13"/>
      </w:rPr>
    </w:pPr>
    <w:r>
      <w:fldChar w:fldCharType="begin"/>
    </w:r>
    <w:r>
      <w:rPr>
        <w:rStyle w:val="13"/>
      </w:rPr>
      <w:instrText xml:space="preserve">PAGE  </w:instrText>
    </w:r>
    <w:r>
      <w:fldChar w:fldCharType="separate"/>
    </w:r>
    <w:r>
      <w:rPr>
        <w:rStyle w:val="13"/>
      </w:rPr>
      <w:t>15</w:t>
    </w:r>
    <w:r>
      <w:fldChar w:fldCharType="end"/>
    </w:r>
  </w:p>
  <w:p w14:paraId="77B71964">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7E24ED"/>
    <w:multiLevelType w:val="singleLevel"/>
    <w:tmpl w:val="DA7E24ED"/>
    <w:lvl w:ilvl="0" w:tentative="0">
      <w:start w:val="2"/>
      <w:numFmt w:val="decimal"/>
      <w:suff w:val="nothing"/>
      <w:lvlText w:val="（%1）"/>
      <w:lvlJc w:val="left"/>
    </w:lvl>
  </w:abstractNum>
  <w:abstractNum w:abstractNumId="1">
    <w:nsid w:val="EAB7BF5B"/>
    <w:multiLevelType w:val="singleLevel"/>
    <w:tmpl w:val="EAB7BF5B"/>
    <w:lvl w:ilvl="0" w:tentative="0">
      <w:start w:val="2"/>
      <w:numFmt w:val="decimal"/>
      <w:suff w:val="nothing"/>
      <w:lvlText w:val="（%1）"/>
      <w:lvlJc w:val="left"/>
    </w:lvl>
  </w:abstractNum>
  <w:abstractNum w:abstractNumId="2">
    <w:nsid w:val="F7DAB614"/>
    <w:multiLevelType w:val="singleLevel"/>
    <w:tmpl w:val="F7DAB614"/>
    <w:lvl w:ilvl="0" w:tentative="0">
      <w:start w:val="2"/>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ZmNWE4NzRhMTczNjJlZDE5ZTE5YTczN2QxMzcyMjAifQ=="/>
  </w:docVars>
  <w:rsids>
    <w:rsidRoot w:val="00100246"/>
    <w:rsid w:val="00003B03"/>
    <w:rsid w:val="000040E6"/>
    <w:rsid w:val="00011D72"/>
    <w:rsid w:val="0002352D"/>
    <w:rsid w:val="00027CD5"/>
    <w:rsid w:val="00031B8E"/>
    <w:rsid w:val="00033EC1"/>
    <w:rsid w:val="00034224"/>
    <w:rsid w:val="00040275"/>
    <w:rsid w:val="0004719C"/>
    <w:rsid w:val="00047F6E"/>
    <w:rsid w:val="00051B00"/>
    <w:rsid w:val="000601B1"/>
    <w:rsid w:val="00063034"/>
    <w:rsid w:val="00066E19"/>
    <w:rsid w:val="0006752F"/>
    <w:rsid w:val="00071797"/>
    <w:rsid w:val="00071860"/>
    <w:rsid w:val="0007258E"/>
    <w:rsid w:val="00077A9E"/>
    <w:rsid w:val="00077F4A"/>
    <w:rsid w:val="00077FE5"/>
    <w:rsid w:val="00080447"/>
    <w:rsid w:val="00085663"/>
    <w:rsid w:val="00095948"/>
    <w:rsid w:val="00095C26"/>
    <w:rsid w:val="00096504"/>
    <w:rsid w:val="00096B86"/>
    <w:rsid w:val="000A1770"/>
    <w:rsid w:val="000A283C"/>
    <w:rsid w:val="000B15B7"/>
    <w:rsid w:val="000B70F1"/>
    <w:rsid w:val="000C4611"/>
    <w:rsid w:val="000D1B61"/>
    <w:rsid w:val="000D6854"/>
    <w:rsid w:val="000E0B26"/>
    <w:rsid w:val="000E3291"/>
    <w:rsid w:val="000F08FE"/>
    <w:rsid w:val="000F208B"/>
    <w:rsid w:val="000F2A48"/>
    <w:rsid w:val="000F49BE"/>
    <w:rsid w:val="00100246"/>
    <w:rsid w:val="0010682D"/>
    <w:rsid w:val="001073C6"/>
    <w:rsid w:val="00107DB5"/>
    <w:rsid w:val="00113613"/>
    <w:rsid w:val="0011483D"/>
    <w:rsid w:val="00115724"/>
    <w:rsid w:val="00130995"/>
    <w:rsid w:val="00131FF9"/>
    <w:rsid w:val="00132320"/>
    <w:rsid w:val="00135B6A"/>
    <w:rsid w:val="001369A7"/>
    <w:rsid w:val="001428C5"/>
    <w:rsid w:val="001503D8"/>
    <w:rsid w:val="00157540"/>
    <w:rsid w:val="0017111F"/>
    <w:rsid w:val="00173CF6"/>
    <w:rsid w:val="00180DAD"/>
    <w:rsid w:val="0018370E"/>
    <w:rsid w:val="001852E1"/>
    <w:rsid w:val="00191568"/>
    <w:rsid w:val="001A4277"/>
    <w:rsid w:val="001A7D2E"/>
    <w:rsid w:val="001B1DF9"/>
    <w:rsid w:val="001B1E93"/>
    <w:rsid w:val="001B375E"/>
    <w:rsid w:val="001B4A46"/>
    <w:rsid w:val="001B5E87"/>
    <w:rsid w:val="001B5E91"/>
    <w:rsid w:val="001B69BF"/>
    <w:rsid w:val="001B7988"/>
    <w:rsid w:val="001D78D9"/>
    <w:rsid w:val="001E0556"/>
    <w:rsid w:val="001E2355"/>
    <w:rsid w:val="001E2379"/>
    <w:rsid w:val="001E29A9"/>
    <w:rsid w:val="001F5857"/>
    <w:rsid w:val="00206EC3"/>
    <w:rsid w:val="0021047C"/>
    <w:rsid w:val="00211E4E"/>
    <w:rsid w:val="00213D1C"/>
    <w:rsid w:val="00214C3A"/>
    <w:rsid w:val="00217517"/>
    <w:rsid w:val="00222628"/>
    <w:rsid w:val="002253CB"/>
    <w:rsid w:val="002267A6"/>
    <w:rsid w:val="002326DE"/>
    <w:rsid w:val="00234314"/>
    <w:rsid w:val="00241724"/>
    <w:rsid w:val="0024390C"/>
    <w:rsid w:val="002441F4"/>
    <w:rsid w:val="00244204"/>
    <w:rsid w:val="002448A4"/>
    <w:rsid w:val="00245A0A"/>
    <w:rsid w:val="00246C42"/>
    <w:rsid w:val="002515CC"/>
    <w:rsid w:val="00253EC4"/>
    <w:rsid w:val="00254515"/>
    <w:rsid w:val="0026479D"/>
    <w:rsid w:val="002673C4"/>
    <w:rsid w:val="0027112B"/>
    <w:rsid w:val="00271C3F"/>
    <w:rsid w:val="00272460"/>
    <w:rsid w:val="00273070"/>
    <w:rsid w:val="0027394A"/>
    <w:rsid w:val="00274D50"/>
    <w:rsid w:val="002760D5"/>
    <w:rsid w:val="00276289"/>
    <w:rsid w:val="0028081D"/>
    <w:rsid w:val="0028458C"/>
    <w:rsid w:val="002911BD"/>
    <w:rsid w:val="00291C98"/>
    <w:rsid w:val="00294DE9"/>
    <w:rsid w:val="002A1488"/>
    <w:rsid w:val="002A4C2B"/>
    <w:rsid w:val="002B19D0"/>
    <w:rsid w:val="002B3682"/>
    <w:rsid w:val="002B5464"/>
    <w:rsid w:val="002C0443"/>
    <w:rsid w:val="002C12FB"/>
    <w:rsid w:val="002C24BC"/>
    <w:rsid w:val="002D03C6"/>
    <w:rsid w:val="002D0FDF"/>
    <w:rsid w:val="002D3955"/>
    <w:rsid w:val="002D68A9"/>
    <w:rsid w:val="002E06AE"/>
    <w:rsid w:val="002E4B75"/>
    <w:rsid w:val="002E68DD"/>
    <w:rsid w:val="002F17C2"/>
    <w:rsid w:val="002F32EE"/>
    <w:rsid w:val="002F4054"/>
    <w:rsid w:val="002F5574"/>
    <w:rsid w:val="00301D20"/>
    <w:rsid w:val="00302B19"/>
    <w:rsid w:val="00303428"/>
    <w:rsid w:val="003053C4"/>
    <w:rsid w:val="003058A3"/>
    <w:rsid w:val="00307204"/>
    <w:rsid w:val="00307DA5"/>
    <w:rsid w:val="0031169D"/>
    <w:rsid w:val="0031170D"/>
    <w:rsid w:val="00313E14"/>
    <w:rsid w:val="003167DD"/>
    <w:rsid w:val="00320C8B"/>
    <w:rsid w:val="00321BD8"/>
    <w:rsid w:val="00325687"/>
    <w:rsid w:val="00332C14"/>
    <w:rsid w:val="00335079"/>
    <w:rsid w:val="003352CE"/>
    <w:rsid w:val="00341D8E"/>
    <w:rsid w:val="003502B9"/>
    <w:rsid w:val="00351B8F"/>
    <w:rsid w:val="00353226"/>
    <w:rsid w:val="00353717"/>
    <w:rsid w:val="00354630"/>
    <w:rsid w:val="00365A24"/>
    <w:rsid w:val="003712DB"/>
    <w:rsid w:val="00373DDC"/>
    <w:rsid w:val="00382A86"/>
    <w:rsid w:val="00383BCC"/>
    <w:rsid w:val="00385243"/>
    <w:rsid w:val="003925D4"/>
    <w:rsid w:val="0039318C"/>
    <w:rsid w:val="00393366"/>
    <w:rsid w:val="003937DC"/>
    <w:rsid w:val="00393D75"/>
    <w:rsid w:val="003A2F2D"/>
    <w:rsid w:val="003A43AC"/>
    <w:rsid w:val="003A4EB6"/>
    <w:rsid w:val="003A7AE9"/>
    <w:rsid w:val="003A7BC5"/>
    <w:rsid w:val="003A7FF5"/>
    <w:rsid w:val="003B0352"/>
    <w:rsid w:val="003B4437"/>
    <w:rsid w:val="003B48C4"/>
    <w:rsid w:val="003B5E20"/>
    <w:rsid w:val="003B6DAD"/>
    <w:rsid w:val="003B735F"/>
    <w:rsid w:val="003C030C"/>
    <w:rsid w:val="003C55FC"/>
    <w:rsid w:val="003D0EC3"/>
    <w:rsid w:val="003D7274"/>
    <w:rsid w:val="003E4D82"/>
    <w:rsid w:val="003E5BC1"/>
    <w:rsid w:val="003F0D1B"/>
    <w:rsid w:val="003F1DD6"/>
    <w:rsid w:val="00401087"/>
    <w:rsid w:val="00402E26"/>
    <w:rsid w:val="00405701"/>
    <w:rsid w:val="004110BC"/>
    <w:rsid w:val="0041271F"/>
    <w:rsid w:val="0041688E"/>
    <w:rsid w:val="004170EF"/>
    <w:rsid w:val="0042093C"/>
    <w:rsid w:val="004233DD"/>
    <w:rsid w:val="00424405"/>
    <w:rsid w:val="00425B25"/>
    <w:rsid w:val="00425D24"/>
    <w:rsid w:val="00426A4D"/>
    <w:rsid w:val="00427687"/>
    <w:rsid w:val="00433231"/>
    <w:rsid w:val="004334CA"/>
    <w:rsid w:val="0043506A"/>
    <w:rsid w:val="00435830"/>
    <w:rsid w:val="0043619C"/>
    <w:rsid w:val="0044475D"/>
    <w:rsid w:val="00444D1E"/>
    <w:rsid w:val="0044571A"/>
    <w:rsid w:val="0044705D"/>
    <w:rsid w:val="0045090E"/>
    <w:rsid w:val="00453E36"/>
    <w:rsid w:val="00457286"/>
    <w:rsid w:val="00461FA5"/>
    <w:rsid w:val="00463566"/>
    <w:rsid w:val="00464182"/>
    <w:rsid w:val="00471C52"/>
    <w:rsid w:val="0047460C"/>
    <w:rsid w:val="00474FF2"/>
    <w:rsid w:val="00480098"/>
    <w:rsid w:val="00484A93"/>
    <w:rsid w:val="00485E12"/>
    <w:rsid w:val="004865DA"/>
    <w:rsid w:val="0048779C"/>
    <w:rsid w:val="00487AB7"/>
    <w:rsid w:val="00487ED0"/>
    <w:rsid w:val="00491D09"/>
    <w:rsid w:val="0049682C"/>
    <w:rsid w:val="004A168E"/>
    <w:rsid w:val="004A4EC7"/>
    <w:rsid w:val="004B0003"/>
    <w:rsid w:val="004C020A"/>
    <w:rsid w:val="004C03A3"/>
    <w:rsid w:val="004C44B8"/>
    <w:rsid w:val="004C7629"/>
    <w:rsid w:val="004D0D5D"/>
    <w:rsid w:val="004E27DD"/>
    <w:rsid w:val="004E3350"/>
    <w:rsid w:val="004E5292"/>
    <w:rsid w:val="004F2C5B"/>
    <w:rsid w:val="004F641B"/>
    <w:rsid w:val="004F71F3"/>
    <w:rsid w:val="005052FA"/>
    <w:rsid w:val="005069E1"/>
    <w:rsid w:val="00507E59"/>
    <w:rsid w:val="005122B5"/>
    <w:rsid w:val="0052381C"/>
    <w:rsid w:val="005346B3"/>
    <w:rsid w:val="0054051C"/>
    <w:rsid w:val="00546A84"/>
    <w:rsid w:val="00547BE2"/>
    <w:rsid w:val="0055353D"/>
    <w:rsid w:val="0056187C"/>
    <w:rsid w:val="00576B03"/>
    <w:rsid w:val="00581E1A"/>
    <w:rsid w:val="00591655"/>
    <w:rsid w:val="00591BEC"/>
    <w:rsid w:val="005940EA"/>
    <w:rsid w:val="00594448"/>
    <w:rsid w:val="005A1D6F"/>
    <w:rsid w:val="005A4D82"/>
    <w:rsid w:val="005A52A6"/>
    <w:rsid w:val="005B0DEC"/>
    <w:rsid w:val="005B368E"/>
    <w:rsid w:val="005B6E69"/>
    <w:rsid w:val="005C0015"/>
    <w:rsid w:val="005C1E82"/>
    <w:rsid w:val="005C2BCE"/>
    <w:rsid w:val="005C2CA5"/>
    <w:rsid w:val="005C7062"/>
    <w:rsid w:val="005C7788"/>
    <w:rsid w:val="005D10B9"/>
    <w:rsid w:val="005D18DA"/>
    <w:rsid w:val="005E00DC"/>
    <w:rsid w:val="005E3BBC"/>
    <w:rsid w:val="005E3EC6"/>
    <w:rsid w:val="005E4E07"/>
    <w:rsid w:val="005E4E46"/>
    <w:rsid w:val="005E5275"/>
    <w:rsid w:val="005E7DC8"/>
    <w:rsid w:val="005E7EC9"/>
    <w:rsid w:val="005F7087"/>
    <w:rsid w:val="00611BE4"/>
    <w:rsid w:val="0061219B"/>
    <w:rsid w:val="00621419"/>
    <w:rsid w:val="00626446"/>
    <w:rsid w:val="00626BE8"/>
    <w:rsid w:val="00631827"/>
    <w:rsid w:val="00632804"/>
    <w:rsid w:val="006376DA"/>
    <w:rsid w:val="006459DA"/>
    <w:rsid w:val="006502E8"/>
    <w:rsid w:val="00654A2B"/>
    <w:rsid w:val="0065675C"/>
    <w:rsid w:val="0065793F"/>
    <w:rsid w:val="0066263B"/>
    <w:rsid w:val="0066713A"/>
    <w:rsid w:val="0067195C"/>
    <w:rsid w:val="006724F7"/>
    <w:rsid w:val="0067511A"/>
    <w:rsid w:val="0067539B"/>
    <w:rsid w:val="00675543"/>
    <w:rsid w:val="00677396"/>
    <w:rsid w:val="00677AD9"/>
    <w:rsid w:val="00681970"/>
    <w:rsid w:val="00690641"/>
    <w:rsid w:val="00690D88"/>
    <w:rsid w:val="00691844"/>
    <w:rsid w:val="00693DDF"/>
    <w:rsid w:val="00696F9E"/>
    <w:rsid w:val="006A374A"/>
    <w:rsid w:val="006A505E"/>
    <w:rsid w:val="006A513E"/>
    <w:rsid w:val="006A5265"/>
    <w:rsid w:val="006B0CB9"/>
    <w:rsid w:val="006B2609"/>
    <w:rsid w:val="006B2750"/>
    <w:rsid w:val="006B3678"/>
    <w:rsid w:val="006B7390"/>
    <w:rsid w:val="006C0084"/>
    <w:rsid w:val="006C107D"/>
    <w:rsid w:val="006C3600"/>
    <w:rsid w:val="006C4534"/>
    <w:rsid w:val="006C5205"/>
    <w:rsid w:val="006C75F6"/>
    <w:rsid w:val="006D3F53"/>
    <w:rsid w:val="006D60AF"/>
    <w:rsid w:val="006E4722"/>
    <w:rsid w:val="00701651"/>
    <w:rsid w:val="007049BF"/>
    <w:rsid w:val="00704E79"/>
    <w:rsid w:val="00707A26"/>
    <w:rsid w:val="0071120F"/>
    <w:rsid w:val="00716380"/>
    <w:rsid w:val="00722165"/>
    <w:rsid w:val="00724B1C"/>
    <w:rsid w:val="007428F0"/>
    <w:rsid w:val="007512EF"/>
    <w:rsid w:val="007551AC"/>
    <w:rsid w:val="0076101C"/>
    <w:rsid w:val="00763D87"/>
    <w:rsid w:val="007670B2"/>
    <w:rsid w:val="00771795"/>
    <w:rsid w:val="00774925"/>
    <w:rsid w:val="0079279F"/>
    <w:rsid w:val="00793E69"/>
    <w:rsid w:val="007A063C"/>
    <w:rsid w:val="007A16B0"/>
    <w:rsid w:val="007A19EA"/>
    <w:rsid w:val="007A6092"/>
    <w:rsid w:val="007A60B7"/>
    <w:rsid w:val="007A64A6"/>
    <w:rsid w:val="007A6EE1"/>
    <w:rsid w:val="007A7C89"/>
    <w:rsid w:val="007B1487"/>
    <w:rsid w:val="007B2A43"/>
    <w:rsid w:val="007B326F"/>
    <w:rsid w:val="007B6A58"/>
    <w:rsid w:val="007B6C06"/>
    <w:rsid w:val="007B7B78"/>
    <w:rsid w:val="007C32B1"/>
    <w:rsid w:val="007C7A22"/>
    <w:rsid w:val="007C7C62"/>
    <w:rsid w:val="007D1076"/>
    <w:rsid w:val="007D12B7"/>
    <w:rsid w:val="007D2A49"/>
    <w:rsid w:val="007D5E38"/>
    <w:rsid w:val="007D7AC4"/>
    <w:rsid w:val="007E0340"/>
    <w:rsid w:val="007E1D4A"/>
    <w:rsid w:val="007E53C0"/>
    <w:rsid w:val="007E7703"/>
    <w:rsid w:val="007F4558"/>
    <w:rsid w:val="007F64DF"/>
    <w:rsid w:val="008050EF"/>
    <w:rsid w:val="0080652C"/>
    <w:rsid w:val="0080715F"/>
    <w:rsid w:val="008113D6"/>
    <w:rsid w:val="00812BA7"/>
    <w:rsid w:val="00813A87"/>
    <w:rsid w:val="00813F63"/>
    <w:rsid w:val="00815926"/>
    <w:rsid w:val="00815F57"/>
    <w:rsid w:val="0081760B"/>
    <w:rsid w:val="008218AC"/>
    <w:rsid w:val="00825359"/>
    <w:rsid w:val="00825E13"/>
    <w:rsid w:val="00826F07"/>
    <w:rsid w:val="008337CB"/>
    <w:rsid w:val="00834A3C"/>
    <w:rsid w:val="008360A0"/>
    <w:rsid w:val="00837658"/>
    <w:rsid w:val="00837CD4"/>
    <w:rsid w:val="00837F78"/>
    <w:rsid w:val="008400EE"/>
    <w:rsid w:val="00840791"/>
    <w:rsid w:val="00845576"/>
    <w:rsid w:val="00850708"/>
    <w:rsid w:val="00851024"/>
    <w:rsid w:val="008526D7"/>
    <w:rsid w:val="0086238C"/>
    <w:rsid w:val="008655DC"/>
    <w:rsid w:val="0086732D"/>
    <w:rsid w:val="00870183"/>
    <w:rsid w:val="00875726"/>
    <w:rsid w:val="00877F10"/>
    <w:rsid w:val="0088225D"/>
    <w:rsid w:val="00882F8D"/>
    <w:rsid w:val="00884FB0"/>
    <w:rsid w:val="008853A5"/>
    <w:rsid w:val="008944DA"/>
    <w:rsid w:val="00894D78"/>
    <w:rsid w:val="008A6A18"/>
    <w:rsid w:val="008B033F"/>
    <w:rsid w:val="008B4003"/>
    <w:rsid w:val="008B7443"/>
    <w:rsid w:val="008C179E"/>
    <w:rsid w:val="008C2379"/>
    <w:rsid w:val="008C4FF7"/>
    <w:rsid w:val="008C5C4C"/>
    <w:rsid w:val="008C7056"/>
    <w:rsid w:val="008C706D"/>
    <w:rsid w:val="008D3145"/>
    <w:rsid w:val="008E1A54"/>
    <w:rsid w:val="008E1F95"/>
    <w:rsid w:val="008E36B6"/>
    <w:rsid w:val="008E4267"/>
    <w:rsid w:val="008E4847"/>
    <w:rsid w:val="008E5FF1"/>
    <w:rsid w:val="008E63D2"/>
    <w:rsid w:val="008E6E14"/>
    <w:rsid w:val="008F1528"/>
    <w:rsid w:val="008F1AE5"/>
    <w:rsid w:val="008F55D9"/>
    <w:rsid w:val="009057DE"/>
    <w:rsid w:val="00905F97"/>
    <w:rsid w:val="00906FA3"/>
    <w:rsid w:val="0091239D"/>
    <w:rsid w:val="00912825"/>
    <w:rsid w:val="009129B8"/>
    <w:rsid w:val="00912B99"/>
    <w:rsid w:val="00912C78"/>
    <w:rsid w:val="00927892"/>
    <w:rsid w:val="009319B9"/>
    <w:rsid w:val="009351E9"/>
    <w:rsid w:val="00937862"/>
    <w:rsid w:val="00942279"/>
    <w:rsid w:val="009524EB"/>
    <w:rsid w:val="00962013"/>
    <w:rsid w:val="00963942"/>
    <w:rsid w:val="0096716C"/>
    <w:rsid w:val="009672B2"/>
    <w:rsid w:val="00971C66"/>
    <w:rsid w:val="00972363"/>
    <w:rsid w:val="0098419C"/>
    <w:rsid w:val="009843EF"/>
    <w:rsid w:val="009867F2"/>
    <w:rsid w:val="00991347"/>
    <w:rsid w:val="00996018"/>
    <w:rsid w:val="0099738E"/>
    <w:rsid w:val="009A493E"/>
    <w:rsid w:val="009A531F"/>
    <w:rsid w:val="009A6931"/>
    <w:rsid w:val="009B1F9A"/>
    <w:rsid w:val="009B1FA9"/>
    <w:rsid w:val="009B349F"/>
    <w:rsid w:val="009B4293"/>
    <w:rsid w:val="009B6715"/>
    <w:rsid w:val="009C7B74"/>
    <w:rsid w:val="009D0BE2"/>
    <w:rsid w:val="009D114E"/>
    <w:rsid w:val="009D210F"/>
    <w:rsid w:val="009D309C"/>
    <w:rsid w:val="009D37B1"/>
    <w:rsid w:val="009D4717"/>
    <w:rsid w:val="009D694D"/>
    <w:rsid w:val="009E264E"/>
    <w:rsid w:val="009F0C98"/>
    <w:rsid w:val="009F0F81"/>
    <w:rsid w:val="009F2543"/>
    <w:rsid w:val="009F256D"/>
    <w:rsid w:val="009F341E"/>
    <w:rsid w:val="009F57CE"/>
    <w:rsid w:val="00A117CA"/>
    <w:rsid w:val="00A12225"/>
    <w:rsid w:val="00A14C18"/>
    <w:rsid w:val="00A25898"/>
    <w:rsid w:val="00A3071D"/>
    <w:rsid w:val="00A3182E"/>
    <w:rsid w:val="00A31A89"/>
    <w:rsid w:val="00A32F06"/>
    <w:rsid w:val="00A34934"/>
    <w:rsid w:val="00A34EFE"/>
    <w:rsid w:val="00A36546"/>
    <w:rsid w:val="00A4069C"/>
    <w:rsid w:val="00A413B5"/>
    <w:rsid w:val="00A429CB"/>
    <w:rsid w:val="00A44E87"/>
    <w:rsid w:val="00A5063C"/>
    <w:rsid w:val="00A52749"/>
    <w:rsid w:val="00A5422E"/>
    <w:rsid w:val="00A56EC1"/>
    <w:rsid w:val="00A6350C"/>
    <w:rsid w:val="00A6370B"/>
    <w:rsid w:val="00A63A73"/>
    <w:rsid w:val="00A6655C"/>
    <w:rsid w:val="00A66CBB"/>
    <w:rsid w:val="00A6704E"/>
    <w:rsid w:val="00A67EA4"/>
    <w:rsid w:val="00A773FF"/>
    <w:rsid w:val="00A83AA1"/>
    <w:rsid w:val="00A906F4"/>
    <w:rsid w:val="00A9343A"/>
    <w:rsid w:val="00A9706C"/>
    <w:rsid w:val="00A97B34"/>
    <w:rsid w:val="00AA1B5C"/>
    <w:rsid w:val="00AA7A27"/>
    <w:rsid w:val="00AB3FB0"/>
    <w:rsid w:val="00AB465D"/>
    <w:rsid w:val="00AB713D"/>
    <w:rsid w:val="00AC114C"/>
    <w:rsid w:val="00AC1478"/>
    <w:rsid w:val="00AC6C2D"/>
    <w:rsid w:val="00AC6E17"/>
    <w:rsid w:val="00AD2FF3"/>
    <w:rsid w:val="00AD7764"/>
    <w:rsid w:val="00AD7FE2"/>
    <w:rsid w:val="00AE1284"/>
    <w:rsid w:val="00AE1B18"/>
    <w:rsid w:val="00AE7339"/>
    <w:rsid w:val="00AF1B0B"/>
    <w:rsid w:val="00AF242C"/>
    <w:rsid w:val="00AF3CC4"/>
    <w:rsid w:val="00B05903"/>
    <w:rsid w:val="00B12C7A"/>
    <w:rsid w:val="00B12E10"/>
    <w:rsid w:val="00B22BC3"/>
    <w:rsid w:val="00B25865"/>
    <w:rsid w:val="00B272B6"/>
    <w:rsid w:val="00B2771B"/>
    <w:rsid w:val="00B336E9"/>
    <w:rsid w:val="00B33AE5"/>
    <w:rsid w:val="00B35BE5"/>
    <w:rsid w:val="00B46965"/>
    <w:rsid w:val="00B54ED0"/>
    <w:rsid w:val="00B55D47"/>
    <w:rsid w:val="00B6204E"/>
    <w:rsid w:val="00B649EC"/>
    <w:rsid w:val="00B728DD"/>
    <w:rsid w:val="00B72D43"/>
    <w:rsid w:val="00B74121"/>
    <w:rsid w:val="00B80ABA"/>
    <w:rsid w:val="00B859FF"/>
    <w:rsid w:val="00B85C1B"/>
    <w:rsid w:val="00B85FF0"/>
    <w:rsid w:val="00B86150"/>
    <w:rsid w:val="00B878F9"/>
    <w:rsid w:val="00B9044A"/>
    <w:rsid w:val="00B960F3"/>
    <w:rsid w:val="00B96A31"/>
    <w:rsid w:val="00BA05E6"/>
    <w:rsid w:val="00BA51B0"/>
    <w:rsid w:val="00BA6319"/>
    <w:rsid w:val="00BC03B0"/>
    <w:rsid w:val="00BC06A3"/>
    <w:rsid w:val="00BC0CEA"/>
    <w:rsid w:val="00BC2220"/>
    <w:rsid w:val="00BC26B9"/>
    <w:rsid w:val="00BC26FA"/>
    <w:rsid w:val="00BC4E01"/>
    <w:rsid w:val="00BC73F6"/>
    <w:rsid w:val="00BD1177"/>
    <w:rsid w:val="00BD1374"/>
    <w:rsid w:val="00BD3531"/>
    <w:rsid w:val="00BD4E35"/>
    <w:rsid w:val="00BE34CA"/>
    <w:rsid w:val="00BF116A"/>
    <w:rsid w:val="00C0623C"/>
    <w:rsid w:val="00C06A07"/>
    <w:rsid w:val="00C132B6"/>
    <w:rsid w:val="00C21A6C"/>
    <w:rsid w:val="00C24A10"/>
    <w:rsid w:val="00C27003"/>
    <w:rsid w:val="00C27597"/>
    <w:rsid w:val="00C32BD4"/>
    <w:rsid w:val="00C33E48"/>
    <w:rsid w:val="00C3618B"/>
    <w:rsid w:val="00C403FB"/>
    <w:rsid w:val="00C4316E"/>
    <w:rsid w:val="00C441A2"/>
    <w:rsid w:val="00C5076B"/>
    <w:rsid w:val="00C512D4"/>
    <w:rsid w:val="00C51CF4"/>
    <w:rsid w:val="00C531E2"/>
    <w:rsid w:val="00C53204"/>
    <w:rsid w:val="00C57E34"/>
    <w:rsid w:val="00C64659"/>
    <w:rsid w:val="00C662E9"/>
    <w:rsid w:val="00C66C2D"/>
    <w:rsid w:val="00C7190B"/>
    <w:rsid w:val="00C76852"/>
    <w:rsid w:val="00C77210"/>
    <w:rsid w:val="00C777FA"/>
    <w:rsid w:val="00C77989"/>
    <w:rsid w:val="00C811F4"/>
    <w:rsid w:val="00C81E51"/>
    <w:rsid w:val="00C87B73"/>
    <w:rsid w:val="00C92444"/>
    <w:rsid w:val="00C92FBB"/>
    <w:rsid w:val="00C93327"/>
    <w:rsid w:val="00C97B4D"/>
    <w:rsid w:val="00CA5602"/>
    <w:rsid w:val="00CA5CA9"/>
    <w:rsid w:val="00CA78E2"/>
    <w:rsid w:val="00CB1BBE"/>
    <w:rsid w:val="00CB65DB"/>
    <w:rsid w:val="00CB6BD9"/>
    <w:rsid w:val="00CC293A"/>
    <w:rsid w:val="00CE19F6"/>
    <w:rsid w:val="00CE6B76"/>
    <w:rsid w:val="00CF366B"/>
    <w:rsid w:val="00CF5D9D"/>
    <w:rsid w:val="00CF606C"/>
    <w:rsid w:val="00CF7423"/>
    <w:rsid w:val="00D001F5"/>
    <w:rsid w:val="00D03E80"/>
    <w:rsid w:val="00D1505F"/>
    <w:rsid w:val="00D15B9F"/>
    <w:rsid w:val="00D15DD6"/>
    <w:rsid w:val="00D25548"/>
    <w:rsid w:val="00D2601F"/>
    <w:rsid w:val="00D27759"/>
    <w:rsid w:val="00D30028"/>
    <w:rsid w:val="00D325D3"/>
    <w:rsid w:val="00D408D6"/>
    <w:rsid w:val="00D511DD"/>
    <w:rsid w:val="00D55C2A"/>
    <w:rsid w:val="00D571C1"/>
    <w:rsid w:val="00D602F4"/>
    <w:rsid w:val="00D6457E"/>
    <w:rsid w:val="00D742E2"/>
    <w:rsid w:val="00D7580E"/>
    <w:rsid w:val="00D87DAF"/>
    <w:rsid w:val="00D9446D"/>
    <w:rsid w:val="00DA2994"/>
    <w:rsid w:val="00DB08E8"/>
    <w:rsid w:val="00DB0DED"/>
    <w:rsid w:val="00DB3073"/>
    <w:rsid w:val="00DB3BA9"/>
    <w:rsid w:val="00DB50FE"/>
    <w:rsid w:val="00DB5EDA"/>
    <w:rsid w:val="00DC2349"/>
    <w:rsid w:val="00DC3026"/>
    <w:rsid w:val="00DD1EDB"/>
    <w:rsid w:val="00DD57AA"/>
    <w:rsid w:val="00DE1578"/>
    <w:rsid w:val="00DE7F67"/>
    <w:rsid w:val="00DF0529"/>
    <w:rsid w:val="00DF09EF"/>
    <w:rsid w:val="00DF0D0F"/>
    <w:rsid w:val="00DF13D6"/>
    <w:rsid w:val="00DF27D6"/>
    <w:rsid w:val="00DF2BEA"/>
    <w:rsid w:val="00DF4488"/>
    <w:rsid w:val="00DF5B98"/>
    <w:rsid w:val="00DF6FA8"/>
    <w:rsid w:val="00DF701E"/>
    <w:rsid w:val="00DF7BE5"/>
    <w:rsid w:val="00E00D49"/>
    <w:rsid w:val="00E019A8"/>
    <w:rsid w:val="00E03A46"/>
    <w:rsid w:val="00E03C6D"/>
    <w:rsid w:val="00E0476F"/>
    <w:rsid w:val="00E04899"/>
    <w:rsid w:val="00E0796F"/>
    <w:rsid w:val="00E10948"/>
    <w:rsid w:val="00E24371"/>
    <w:rsid w:val="00E243AB"/>
    <w:rsid w:val="00E26641"/>
    <w:rsid w:val="00E2778F"/>
    <w:rsid w:val="00E278B0"/>
    <w:rsid w:val="00E33023"/>
    <w:rsid w:val="00E331F3"/>
    <w:rsid w:val="00E3498D"/>
    <w:rsid w:val="00E42425"/>
    <w:rsid w:val="00E43E55"/>
    <w:rsid w:val="00E4554E"/>
    <w:rsid w:val="00E46D22"/>
    <w:rsid w:val="00E4768F"/>
    <w:rsid w:val="00E53C0E"/>
    <w:rsid w:val="00E54F7E"/>
    <w:rsid w:val="00E560CE"/>
    <w:rsid w:val="00E5674E"/>
    <w:rsid w:val="00E63783"/>
    <w:rsid w:val="00E650E2"/>
    <w:rsid w:val="00E75CAD"/>
    <w:rsid w:val="00E76922"/>
    <w:rsid w:val="00E8595B"/>
    <w:rsid w:val="00E915EC"/>
    <w:rsid w:val="00EA11B1"/>
    <w:rsid w:val="00EA2224"/>
    <w:rsid w:val="00EA7194"/>
    <w:rsid w:val="00EB1329"/>
    <w:rsid w:val="00EB2987"/>
    <w:rsid w:val="00EB2D75"/>
    <w:rsid w:val="00EB34BE"/>
    <w:rsid w:val="00EB571A"/>
    <w:rsid w:val="00EC2804"/>
    <w:rsid w:val="00EC6117"/>
    <w:rsid w:val="00EC6138"/>
    <w:rsid w:val="00ED1DCF"/>
    <w:rsid w:val="00ED43C9"/>
    <w:rsid w:val="00EE2C60"/>
    <w:rsid w:val="00EE2E58"/>
    <w:rsid w:val="00EE487A"/>
    <w:rsid w:val="00EE734C"/>
    <w:rsid w:val="00EF6907"/>
    <w:rsid w:val="00EF6D91"/>
    <w:rsid w:val="00F01F54"/>
    <w:rsid w:val="00F04D4D"/>
    <w:rsid w:val="00F11DD8"/>
    <w:rsid w:val="00F12745"/>
    <w:rsid w:val="00F13766"/>
    <w:rsid w:val="00F20A77"/>
    <w:rsid w:val="00F22C60"/>
    <w:rsid w:val="00F231A4"/>
    <w:rsid w:val="00F23252"/>
    <w:rsid w:val="00F27B2A"/>
    <w:rsid w:val="00F31762"/>
    <w:rsid w:val="00F345D3"/>
    <w:rsid w:val="00F356ED"/>
    <w:rsid w:val="00F359B5"/>
    <w:rsid w:val="00F4144F"/>
    <w:rsid w:val="00F433F3"/>
    <w:rsid w:val="00F47F64"/>
    <w:rsid w:val="00F522D9"/>
    <w:rsid w:val="00F52F54"/>
    <w:rsid w:val="00F53584"/>
    <w:rsid w:val="00F61B24"/>
    <w:rsid w:val="00F62DE5"/>
    <w:rsid w:val="00F63F8A"/>
    <w:rsid w:val="00F6514E"/>
    <w:rsid w:val="00F703DC"/>
    <w:rsid w:val="00F71D06"/>
    <w:rsid w:val="00F73B46"/>
    <w:rsid w:val="00F73D01"/>
    <w:rsid w:val="00F7642B"/>
    <w:rsid w:val="00F76A43"/>
    <w:rsid w:val="00F80334"/>
    <w:rsid w:val="00F8139D"/>
    <w:rsid w:val="00F83DF9"/>
    <w:rsid w:val="00F85DA0"/>
    <w:rsid w:val="00F930AF"/>
    <w:rsid w:val="00F9352C"/>
    <w:rsid w:val="00F975B0"/>
    <w:rsid w:val="00FA15F1"/>
    <w:rsid w:val="00FA19F5"/>
    <w:rsid w:val="00FA4A69"/>
    <w:rsid w:val="00FA649A"/>
    <w:rsid w:val="00FB1248"/>
    <w:rsid w:val="00FB208D"/>
    <w:rsid w:val="00FB3CF4"/>
    <w:rsid w:val="00FB4A27"/>
    <w:rsid w:val="00FB4A49"/>
    <w:rsid w:val="00FB69B3"/>
    <w:rsid w:val="00FC6FBE"/>
    <w:rsid w:val="00FD1162"/>
    <w:rsid w:val="00FD2232"/>
    <w:rsid w:val="00FD4AE7"/>
    <w:rsid w:val="00FD65A9"/>
    <w:rsid w:val="00FD7508"/>
    <w:rsid w:val="00FE1E51"/>
    <w:rsid w:val="00FE2496"/>
    <w:rsid w:val="00FE6A2B"/>
    <w:rsid w:val="00FF0275"/>
    <w:rsid w:val="00FF07B3"/>
    <w:rsid w:val="00FF1E37"/>
    <w:rsid w:val="02F120AB"/>
    <w:rsid w:val="032B5196"/>
    <w:rsid w:val="04C3537C"/>
    <w:rsid w:val="079004AC"/>
    <w:rsid w:val="0BA148CA"/>
    <w:rsid w:val="0C1165C4"/>
    <w:rsid w:val="0D6D544B"/>
    <w:rsid w:val="0DD136FE"/>
    <w:rsid w:val="0F8E2C57"/>
    <w:rsid w:val="1059665E"/>
    <w:rsid w:val="10AC13BA"/>
    <w:rsid w:val="11980797"/>
    <w:rsid w:val="145A6C1B"/>
    <w:rsid w:val="14B73493"/>
    <w:rsid w:val="167A2FF9"/>
    <w:rsid w:val="17E05399"/>
    <w:rsid w:val="18581C69"/>
    <w:rsid w:val="186D28E5"/>
    <w:rsid w:val="1AEC0734"/>
    <w:rsid w:val="1B1EF454"/>
    <w:rsid w:val="1C203C3A"/>
    <w:rsid w:val="1DEF20B0"/>
    <w:rsid w:val="1FE3FA88"/>
    <w:rsid w:val="1FFEB77C"/>
    <w:rsid w:val="214243FA"/>
    <w:rsid w:val="21AD613C"/>
    <w:rsid w:val="22467189"/>
    <w:rsid w:val="257A14F5"/>
    <w:rsid w:val="27196C26"/>
    <w:rsid w:val="29EF086F"/>
    <w:rsid w:val="2A014A0F"/>
    <w:rsid w:val="2EFFE297"/>
    <w:rsid w:val="2FE5318A"/>
    <w:rsid w:val="301437CA"/>
    <w:rsid w:val="32791381"/>
    <w:rsid w:val="349D1F0A"/>
    <w:rsid w:val="34DD0473"/>
    <w:rsid w:val="3B7E8220"/>
    <w:rsid w:val="3C181CA7"/>
    <w:rsid w:val="3C684897"/>
    <w:rsid w:val="3DFF9FC5"/>
    <w:rsid w:val="3FD0E071"/>
    <w:rsid w:val="417F4C35"/>
    <w:rsid w:val="41C6204F"/>
    <w:rsid w:val="433E495C"/>
    <w:rsid w:val="45DEEE21"/>
    <w:rsid w:val="47761A01"/>
    <w:rsid w:val="489F2FD7"/>
    <w:rsid w:val="4AC27CB3"/>
    <w:rsid w:val="4BF72BEF"/>
    <w:rsid w:val="4CBD72E3"/>
    <w:rsid w:val="4E84B742"/>
    <w:rsid w:val="4EFB29BA"/>
    <w:rsid w:val="4FA90297"/>
    <w:rsid w:val="4FC41A43"/>
    <w:rsid w:val="51DB3C59"/>
    <w:rsid w:val="53FF3529"/>
    <w:rsid w:val="550C0952"/>
    <w:rsid w:val="55762E42"/>
    <w:rsid w:val="57A7B272"/>
    <w:rsid w:val="58470068"/>
    <w:rsid w:val="58747CAC"/>
    <w:rsid w:val="5A1720F9"/>
    <w:rsid w:val="5A7BA0C4"/>
    <w:rsid w:val="5B9C37C2"/>
    <w:rsid w:val="5BA7C654"/>
    <w:rsid w:val="5E978FD1"/>
    <w:rsid w:val="5F3F0EDE"/>
    <w:rsid w:val="5FDF0FCE"/>
    <w:rsid w:val="5FDFF7DF"/>
    <w:rsid w:val="60A54109"/>
    <w:rsid w:val="61D01CDF"/>
    <w:rsid w:val="64C0607C"/>
    <w:rsid w:val="65756C86"/>
    <w:rsid w:val="674D385B"/>
    <w:rsid w:val="676F09E1"/>
    <w:rsid w:val="67BFC17A"/>
    <w:rsid w:val="6B773199"/>
    <w:rsid w:val="6F9F6977"/>
    <w:rsid w:val="6FFDA43E"/>
    <w:rsid w:val="71793A80"/>
    <w:rsid w:val="7357290B"/>
    <w:rsid w:val="779AF483"/>
    <w:rsid w:val="796A9383"/>
    <w:rsid w:val="798524E4"/>
    <w:rsid w:val="79D7E868"/>
    <w:rsid w:val="79F57427"/>
    <w:rsid w:val="7A7F1C49"/>
    <w:rsid w:val="7B5B7AE6"/>
    <w:rsid w:val="7B7B6628"/>
    <w:rsid w:val="7BA7071E"/>
    <w:rsid w:val="7BDF6DA8"/>
    <w:rsid w:val="7BDF7589"/>
    <w:rsid w:val="7C7EDC1A"/>
    <w:rsid w:val="7CCED98D"/>
    <w:rsid w:val="7D08410F"/>
    <w:rsid w:val="7D2759BE"/>
    <w:rsid w:val="7DB96DED"/>
    <w:rsid w:val="7DCBD52B"/>
    <w:rsid w:val="7DD3AD81"/>
    <w:rsid w:val="7E6E2F2E"/>
    <w:rsid w:val="7E7E45DA"/>
    <w:rsid w:val="7F7FE70F"/>
    <w:rsid w:val="7FEC2162"/>
    <w:rsid w:val="7FF5EC7B"/>
    <w:rsid w:val="7FFE2936"/>
    <w:rsid w:val="7FFF772F"/>
    <w:rsid w:val="95F35EF6"/>
    <w:rsid w:val="9BFFD860"/>
    <w:rsid w:val="AC5F73DE"/>
    <w:rsid w:val="AFC7657B"/>
    <w:rsid w:val="AFF60D58"/>
    <w:rsid w:val="B3ECC409"/>
    <w:rsid w:val="B5DDD2C8"/>
    <w:rsid w:val="B9DFABD9"/>
    <w:rsid w:val="BBFF027A"/>
    <w:rsid w:val="BC0D83FC"/>
    <w:rsid w:val="BF3BDEFB"/>
    <w:rsid w:val="BFF719D8"/>
    <w:rsid w:val="C75F6086"/>
    <w:rsid w:val="C7F7ED2D"/>
    <w:rsid w:val="CA6777C3"/>
    <w:rsid w:val="CBFFC643"/>
    <w:rsid w:val="CDFD54C7"/>
    <w:rsid w:val="CFAF854E"/>
    <w:rsid w:val="D4C6F117"/>
    <w:rsid w:val="D8D7928E"/>
    <w:rsid w:val="D8FE3136"/>
    <w:rsid w:val="DABD462D"/>
    <w:rsid w:val="DBC716BE"/>
    <w:rsid w:val="DBFDD7DE"/>
    <w:rsid w:val="DDDE60B7"/>
    <w:rsid w:val="DE9F6A22"/>
    <w:rsid w:val="DF4FCE6A"/>
    <w:rsid w:val="DF9DE058"/>
    <w:rsid w:val="DFDF6DD5"/>
    <w:rsid w:val="E4FED278"/>
    <w:rsid w:val="E8DFC6A7"/>
    <w:rsid w:val="EDAA365C"/>
    <w:rsid w:val="EDADFC12"/>
    <w:rsid w:val="EFF5BD1C"/>
    <w:rsid w:val="F2FD229B"/>
    <w:rsid w:val="F7F709E9"/>
    <w:rsid w:val="F7FF3690"/>
    <w:rsid w:val="F97E86C0"/>
    <w:rsid w:val="F9BD3900"/>
    <w:rsid w:val="FBE9E17E"/>
    <w:rsid w:val="FC8B9876"/>
    <w:rsid w:val="FCFFFB5F"/>
    <w:rsid w:val="FEDFF218"/>
    <w:rsid w:val="FEDFFFFF"/>
    <w:rsid w:val="FF7F331C"/>
    <w:rsid w:val="FFFF63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100" w:beforeAutospacing="1" w:after="100" w:afterAutospacing="1"/>
      <w:outlineLvl w:val="1"/>
    </w:pPr>
    <w:rPr>
      <w:rFonts w:ascii="Cambria" w:hAnsi="Cambria" w:eastAsia="黑体"/>
      <w:b/>
      <w:bCs/>
      <w:kern w:val="0"/>
      <w:sz w:val="36"/>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200" w:firstLineChars="200"/>
    </w:pPr>
  </w:style>
  <w:style w:type="paragraph" w:styleId="4">
    <w:name w:val="Body Text Indent"/>
    <w:basedOn w:val="1"/>
    <w:qFormat/>
    <w:uiPriority w:val="0"/>
    <w:pPr>
      <w:ind w:firstLine="645"/>
    </w:pPr>
    <w:rPr>
      <w:rFonts w:ascii="仿宋_GB2312" w:hAnsi="Calibri" w:eastAsia="仿宋_GB2312"/>
      <w:sz w:val="32"/>
      <w:szCs w:val="32"/>
    </w:rPr>
  </w:style>
  <w:style w:type="paragraph" w:styleId="5">
    <w:name w:val="Date"/>
    <w:basedOn w:val="1"/>
    <w:next w:val="1"/>
    <w:qFormat/>
    <w:uiPriority w:val="0"/>
    <w:pPr>
      <w:ind w:left="100" w:leftChars="2500"/>
    </w:pPr>
  </w:style>
  <w:style w:type="paragraph" w:styleId="6">
    <w:name w:val="Balloon Text"/>
    <w:basedOn w:val="1"/>
    <w:semiHidden/>
    <w:qFormat/>
    <w:uiPriority w:val="0"/>
    <w:rPr>
      <w:sz w:val="18"/>
      <w:szCs w:val="18"/>
    </w:rPr>
  </w:style>
  <w:style w:type="paragraph" w:styleId="7">
    <w:name w:val="footer"/>
    <w:basedOn w:val="1"/>
    <w:link w:val="14"/>
    <w:qFormat/>
    <w:uiPriority w:val="0"/>
    <w:pPr>
      <w:tabs>
        <w:tab w:val="center" w:pos="4153"/>
        <w:tab w:val="right" w:pos="8306"/>
      </w:tabs>
      <w:snapToGrid w:val="0"/>
      <w:jc w:val="left"/>
    </w:pPr>
    <w:rPr>
      <w:sz w:val="18"/>
      <w:szCs w:val="18"/>
    </w:rPr>
  </w:style>
  <w:style w:type="paragraph" w:styleId="8">
    <w:name w:val="header"/>
    <w:basedOn w:val="1"/>
    <w:link w:val="15"/>
    <w:qFormat/>
    <w:uiPriority w:val="0"/>
    <w:pPr>
      <w:pBdr>
        <w:bottom w:val="single" w:color="auto" w:sz="6" w:space="1"/>
      </w:pBdr>
      <w:tabs>
        <w:tab w:val="center" w:pos="4153"/>
        <w:tab w:val="right" w:pos="8306"/>
      </w:tabs>
      <w:snapToGrid w:val="0"/>
      <w:jc w:val="center"/>
    </w:pPr>
    <w:rPr>
      <w:rFonts w:ascii="Calibri" w:hAnsi="Calibri"/>
      <w:sz w:val="18"/>
      <w:szCs w:val="18"/>
    </w:rPr>
  </w:style>
  <w:style w:type="paragraph" w:styleId="9">
    <w:name w:val="Normal (Web)"/>
    <w:basedOn w:val="1"/>
    <w:unhideWhenUsed/>
    <w:qFormat/>
    <w:uiPriority w:val="0"/>
    <w:pPr>
      <w:spacing w:before="100" w:beforeAutospacing="1" w:after="100" w:afterAutospacing="1"/>
      <w:ind w:right="238"/>
      <w:jc w:val="left"/>
    </w:pPr>
    <w:rPr>
      <w:b/>
      <w:kern w:val="0"/>
      <w:sz w:val="24"/>
      <w:szCs w:val="20"/>
    </w:rPr>
  </w:style>
  <w:style w:type="character" w:styleId="12">
    <w:name w:val="Strong"/>
    <w:qFormat/>
    <w:uiPriority w:val="0"/>
    <w:rPr>
      <w:b/>
    </w:rPr>
  </w:style>
  <w:style w:type="character" w:styleId="13">
    <w:name w:val="page number"/>
    <w:qFormat/>
    <w:uiPriority w:val="0"/>
  </w:style>
  <w:style w:type="character" w:customStyle="1" w:styleId="14">
    <w:name w:val="页脚 Char"/>
    <w:link w:val="7"/>
    <w:qFormat/>
    <w:uiPriority w:val="0"/>
    <w:rPr>
      <w:rFonts w:eastAsia="宋体"/>
      <w:kern w:val="2"/>
      <w:sz w:val="18"/>
      <w:szCs w:val="18"/>
      <w:lang w:val="en-US" w:eastAsia="zh-CN" w:bidi="ar-SA"/>
    </w:rPr>
  </w:style>
  <w:style w:type="character" w:customStyle="1" w:styleId="15">
    <w:name w:val="页眉 Char"/>
    <w:link w:val="8"/>
    <w:qFormat/>
    <w:uiPriority w:val="0"/>
    <w:rPr>
      <w:rFonts w:ascii="Calibri" w:hAnsi="Calibri" w:eastAsia="宋体"/>
      <w:kern w:val="2"/>
      <w:sz w:val="18"/>
      <w:szCs w:val="18"/>
      <w:lang w:val="en-US" w:eastAsia="zh-CN" w:bidi="ar-SA"/>
    </w:rPr>
  </w:style>
  <w:style w:type="paragraph" w:customStyle="1" w:styleId="16">
    <w:name w:val="Char Char Char Char Char Char Char"/>
    <w:basedOn w:val="1"/>
    <w:qFormat/>
    <w:uiPriority w:val="0"/>
    <w:rPr>
      <w:rFonts w:ascii="Tahoma" w:hAnsi="Tahoma"/>
      <w:sz w:val="24"/>
      <w:szCs w:val="20"/>
    </w:rPr>
  </w:style>
  <w:style w:type="paragraph" w:customStyle="1" w:styleId="17">
    <w:name w:val="Char1 Char Char Char"/>
    <w:basedOn w:val="1"/>
    <w:qFormat/>
    <w:uiPriority w:val="0"/>
    <w:pPr>
      <w:widowControl/>
      <w:spacing w:after="160" w:line="240" w:lineRule="exact"/>
      <w:jc w:val="left"/>
    </w:pPr>
    <w:rPr>
      <w:szCs w:val="20"/>
    </w:rPr>
  </w:style>
  <w:style w:type="paragraph" w:customStyle="1" w:styleId="18">
    <w:name w:val="Char"/>
    <w:basedOn w:val="1"/>
    <w:qFormat/>
    <w:uiPriority w:val="0"/>
    <w:rPr>
      <w:rFonts w:ascii="Tahoma" w:hAnsi="Tahoma"/>
      <w:sz w:val="24"/>
      <w:szCs w:val="20"/>
    </w:rPr>
  </w:style>
  <w:style w:type="paragraph" w:customStyle="1" w:styleId="19">
    <w:name w:val="Char Char3 Char Char"/>
    <w:basedOn w:val="1"/>
    <w:qFormat/>
    <w:uiPriority w:val="0"/>
    <w:rPr>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收入</c:v>
                </c:pt>
              </c:strCache>
            </c:strRef>
          </c:tx>
          <c:explosion val="0"/>
          <c:dPt>
            <c:idx val="0"/>
            <c:bubble3D val="0"/>
          </c:dPt>
          <c:dPt>
            <c:idx val="1"/>
            <c:bubble3D val="0"/>
          </c:dPt>
          <c:dPt>
            <c:idx val="2"/>
            <c:bubble3D val="0"/>
          </c:dPt>
          <c:dPt>
            <c:idx val="3"/>
            <c:bubble3D val="0"/>
          </c:dPt>
          <c:dPt>
            <c:idx val="4"/>
            <c:bubble3D val="0"/>
          </c:dPt>
          <c:dPt>
            <c:idx val="5"/>
            <c:bubble3D val="0"/>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t>100%</a:t>
                    </a:r>
                  </a:p>
                </c:rich>
              </c:tx>
              <c:dLblPos val="bestFit"/>
              <c:showLegendKey val="0"/>
              <c:showVal val="0"/>
              <c:showCatName val="0"/>
              <c:showSerName val="0"/>
              <c:showPercent val="1"/>
              <c:showBubbleSize val="0"/>
              <c:extLst>
                <c:ext xmlns:c15="http://schemas.microsoft.com/office/drawing/2012/chart" uri="{CE6537A1-D6FC-4f65-9D91-7224C49458BB}"/>
              </c:extLst>
            </c:dLbl>
            <c:dLbl>
              <c:idx val="1"/>
              <c:delete val="1"/>
            </c:dLbl>
            <c:dLbl>
              <c:idx val="2"/>
              <c:delete val="1"/>
            </c:dLbl>
            <c:dLbl>
              <c:idx val="3"/>
              <c:delete val="1"/>
            </c:dLbl>
            <c:dLbl>
              <c:idx val="4"/>
              <c:delete val="1"/>
            </c:dLbl>
            <c:dLbl>
              <c:idx val="5"/>
              <c:delete val="1"/>
            </c:dLbl>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ext>
            </c:extLst>
          </c:dLbls>
          <c:cat>
            <c:strRef>
              <c:f>Sheet1!$A$2:$A$7</c:f>
              <c:strCache>
                <c:ptCount val="6"/>
                <c:pt idx="0">
                  <c:v>财政拨款收入</c:v>
                </c:pt>
                <c:pt idx="1">
                  <c:v>上级补助收入</c:v>
                </c:pt>
                <c:pt idx="2">
                  <c:v>事业收入</c:v>
                </c:pt>
                <c:pt idx="3">
                  <c:v>经营收入</c:v>
                </c:pt>
                <c:pt idx="4">
                  <c:v>附属单位上缴</c:v>
                </c:pt>
                <c:pt idx="5">
                  <c:v>其他收入</c:v>
                </c:pt>
              </c:strCache>
            </c:strRef>
          </c:cat>
          <c:val>
            <c:numRef>
              <c:f>Sheet1!$B$2:$B$7</c:f>
              <c:numCache>
                <c:formatCode>General</c:formatCode>
                <c:ptCount val="6"/>
                <c:pt idx="0">
                  <c:v>13056.67</c:v>
                </c:pt>
                <c:pt idx="1">
                  <c:v>0</c:v>
                </c:pt>
                <c:pt idx="2">
                  <c:v>0</c:v>
                </c:pt>
                <c:pt idx="3">
                  <c:v>0</c:v>
                </c:pt>
                <c:pt idx="4">
                  <c:v>0</c:v>
                </c:pt>
                <c:pt idx="5">
                  <c:v>0</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8cdb968d-2c6b-4d17-9157-3ef28a9bc827}"/>
      </c:ext>
    </c:extLst>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Sheet0!$B$1</c:f>
              <c:strCache>
                <c:ptCount val="1"/>
                <c:pt idx="0">
                  <c:v>支出</c:v>
                </c:pt>
              </c:strCache>
            </c:strRef>
          </c:tx>
          <c:explosion val="0"/>
          <c:dPt>
            <c:idx val="0"/>
            <c:bubble3D val="0"/>
            <c:spPr>
              <a:solidFill>
                <a:srgbClr val="4F81BD"/>
              </a:solidFill>
              <a:ln w="19050">
                <a:solidFill>
                  <a:srgbClr val="FFFFFF"/>
                </a:solidFill>
              </a:ln>
              <a:effectLst/>
            </c:spPr>
          </c:dPt>
          <c:dPt>
            <c:idx val="1"/>
            <c:bubble3D val="0"/>
            <c:spPr>
              <a:solidFill>
                <a:srgbClr val="C0504D"/>
              </a:solidFill>
              <a:ln w="19050">
                <a:solidFill>
                  <a:srgbClr val="FFFFFF"/>
                </a:solidFill>
              </a:ln>
              <a:effectLst/>
            </c:spPr>
          </c:dPt>
          <c:dPt>
            <c:idx val="2"/>
            <c:bubble3D val="0"/>
            <c:spPr>
              <a:solidFill>
                <a:srgbClr val="9BBB59"/>
              </a:solidFill>
              <a:ln w="19050">
                <a:solidFill>
                  <a:srgbClr val="FFFFFF"/>
                </a:solidFill>
              </a:ln>
              <a:effectLst/>
            </c:spPr>
          </c:dPt>
          <c:dPt>
            <c:idx val="3"/>
            <c:bubble3D val="0"/>
            <c:spPr>
              <a:solidFill>
                <a:srgbClr val="8064A2"/>
              </a:solidFill>
              <a:ln w="19050">
                <a:solidFill>
                  <a:srgbClr val="FFFFFF"/>
                </a:solidFill>
              </a:ln>
              <a:effectLst/>
            </c:spPr>
          </c:dPt>
          <c:dPt>
            <c:idx val="4"/>
            <c:bubble3D val="0"/>
            <c:spPr>
              <a:solidFill>
                <a:srgbClr val="4BACC6"/>
              </a:solidFill>
              <a:ln w="19050">
                <a:solidFill>
                  <a:srgbClr val="FFFFFF"/>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solidFill>
                        <a:latin typeface="+mn-lt"/>
                        <a:ea typeface="+mn-ea"/>
                        <a:cs typeface="+mn-cs"/>
                      </a:defRPr>
                    </a:pPr>
                    <a:r>
                      <a:rPr lang="en-US" altLang="zh-CN"/>
                      <a:t>2</a:t>
                    </a:r>
                    <a:r>
                      <a:t>%</a:t>
                    </a:r>
                  </a:p>
                </c:rich>
              </c:tx>
              <c:dLblPos val="bestFit"/>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solidFill>
                        <a:latin typeface="+mn-lt"/>
                        <a:ea typeface="+mn-ea"/>
                        <a:cs typeface="+mn-cs"/>
                      </a:defRPr>
                    </a:pPr>
                    <a:r>
                      <a:t>98%</a:t>
                    </a:r>
                  </a:p>
                </c:rich>
              </c:tx>
              <c:dLblPos val="bestFit"/>
              <c:showLegendKey val="0"/>
              <c:showVal val="0"/>
              <c:showCatName val="0"/>
              <c:showSerName val="0"/>
              <c:showPercent val="1"/>
              <c:showBubbleSize val="0"/>
              <c:extLst>
                <c:ext xmlns:c15="http://schemas.microsoft.com/office/drawing/2012/chart" uri="{CE6537A1-D6FC-4f65-9D91-7224C49458BB}"/>
              </c:extLst>
            </c:dLbl>
            <c:dLbl>
              <c:idx val="2"/>
              <c:delete val="1"/>
            </c:dLbl>
            <c:dLbl>
              <c:idx val="3"/>
              <c:delete val="1"/>
            </c:dLbl>
            <c:dLbl>
              <c:idx val="4"/>
              <c:delete val="1"/>
            </c:dLbl>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prstDash val="solid"/>
                      <a:round/>
                    </a:ln>
                    <a:effectLst/>
                  </c:spPr>
                </c15:leaderLines>
              </c:ext>
            </c:extLst>
          </c:dLbls>
          <c:cat>
            <c:strRef>
              <c:f>Sheet0!$A$2:$A$6</c:f>
              <c:strCache>
                <c:ptCount val="5"/>
                <c:pt idx="0">
                  <c:v>基本支出</c:v>
                </c:pt>
                <c:pt idx="1">
                  <c:v>项目支出</c:v>
                </c:pt>
                <c:pt idx="2">
                  <c:v>上缴上级支出</c:v>
                </c:pt>
                <c:pt idx="3">
                  <c:v>经营支出</c:v>
                </c:pt>
                <c:pt idx="4">
                  <c:v>对附属单位补助支出</c:v>
                </c:pt>
              </c:strCache>
            </c:strRef>
          </c:cat>
          <c:val>
            <c:numRef>
              <c:f>Sheet0!$B$2:$B$6</c:f>
              <c:numCache>
                <c:formatCode>General</c:formatCode>
                <c:ptCount val="5"/>
                <c:pt idx="0">
                  <c:v>251.91</c:v>
                </c:pt>
                <c:pt idx="1">
                  <c:v>12804.76</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egendEntry>
        <c:idx val="0"/>
        <c:txPr>
          <a:bodyPr rot="0" spcFirstLastPara="0" vertOverflow="ellipsis" vert="horz" wrap="square" anchor="ctr" anchorCtr="1"/>
          <a:lstStyle/>
          <a:p>
            <a:pPr>
              <a:defRPr lang="zh-CN" sz="900" b="0" i="0" u="none" strike="noStrike" kern="1200" baseline="0">
                <a:solidFill>
                  <a:schemeClr val="tx1"/>
                </a:solidFill>
                <a:latin typeface="+mn-lt"/>
                <a:ea typeface="+mn-ea"/>
                <a:cs typeface="+mn-cs"/>
              </a:defRPr>
            </a:pPr>
          </a:p>
        </c:txPr>
      </c:legendEntry>
      <c:legendEntry>
        <c:idx val="1"/>
        <c:txPr>
          <a:bodyPr rot="0" spcFirstLastPara="0" vertOverflow="ellipsis" vert="horz" wrap="square" anchor="ctr" anchorCtr="1"/>
          <a:lstStyle/>
          <a:p>
            <a:pPr>
              <a:defRPr lang="zh-CN" sz="900" b="0" i="0" u="none" strike="noStrike" kern="1200" baseline="0">
                <a:solidFill>
                  <a:schemeClr val="tx1"/>
                </a:solidFill>
                <a:latin typeface="+mn-lt"/>
                <a:ea typeface="+mn-ea"/>
                <a:cs typeface="+mn-cs"/>
              </a:defRPr>
            </a:pPr>
          </a:p>
        </c:txPr>
      </c:legendEntry>
      <c:legendEntry>
        <c:idx val="2"/>
        <c:txPr>
          <a:bodyPr rot="0" spcFirstLastPara="0" vertOverflow="ellipsis" vert="horz" wrap="square" anchor="ctr" anchorCtr="1"/>
          <a:lstStyle/>
          <a:p>
            <a:pPr>
              <a:defRPr lang="zh-CN" sz="900" b="0" i="0" u="none" strike="noStrike" kern="1200" baseline="0">
                <a:solidFill>
                  <a:schemeClr val="tx1"/>
                </a:solidFill>
                <a:latin typeface="+mn-lt"/>
                <a:ea typeface="+mn-ea"/>
                <a:cs typeface="+mn-cs"/>
              </a:defRPr>
            </a:pPr>
          </a:p>
        </c:txPr>
      </c:legendEntry>
      <c:legendEntry>
        <c:idx val="3"/>
        <c:txPr>
          <a:bodyPr rot="0" spcFirstLastPara="0" vertOverflow="ellipsis" vert="horz" wrap="square" anchor="ctr" anchorCtr="1"/>
          <a:lstStyle/>
          <a:p>
            <a:pPr>
              <a:defRPr lang="zh-CN" sz="900" b="0" i="0" u="none" strike="noStrike" kern="1200" baseline="0">
                <a:solidFill>
                  <a:schemeClr val="tx1"/>
                </a:solidFill>
                <a:latin typeface="+mn-lt"/>
                <a:ea typeface="+mn-ea"/>
                <a:cs typeface="+mn-cs"/>
              </a:defRPr>
            </a:pPr>
          </a:p>
        </c:txPr>
      </c:legendEntry>
      <c:legendEntry>
        <c:idx val="4"/>
        <c:txPr>
          <a:bodyPr rot="0" spcFirstLastPara="0" vertOverflow="ellipsis" vert="horz" wrap="square" anchor="ctr" anchorCtr="1"/>
          <a:lstStyle/>
          <a:p>
            <a:pPr>
              <a:defRPr lang="zh-CN" sz="900" b="0" i="0" u="none" strike="noStrike" kern="1200" baseline="0">
                <a:solidFill>
                  <a:schemeClr val="tx1"/>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4cc27d6f-57d1-4777-abce-5c277ba889c0}"/>
      </c:ext>
    </c:extLst>
  </c:chart>
  <c:spPr>
    <a:ln w="9525" cap="flat" cmpd="sng" algn="ctr">
      <a:solidFill>
        <a:srgbClr val="D9D9D9">
          <a:lumMod val="15000"/>
          <a:lumOff val="85000"/>
        </a:srgb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18</Pages>
  <Words>3958</Words>
  <Characters>6108</Characters>
  <Lines>47</Lines>
  <Paragraphs>13</Paragraphs>
  <TotalTime>25</TotalTime>
  <ScaleCrop>false</ScaleCrop>
  <LinksUpToDate>false</LinksUpToDate>
  <CharactersWithSpaces>6191</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2017-07-13T15:16:00Z</dcterms:created>
  <dc:creator>常程</dc:creator>
  <cp:lastModifiedBy>user</cp:lastModifiedBy>
  <cp:lastPrinted>2026-08-20T19:49:00Z</cp:lastPrinted>
  <dcterms:modified xsi:type="dcterms:W3CDTF">2026-08-21T09:55:38Z</dcterms:modified>
  <dc:title>北京市财政局关于做好向市人大常委会报送2015年度市级部门决算（草案）</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65EAF69879BC7C472C5D856A17E09903_43</vt:lpwstr>
  </property>
  <property fmtid="{D5CDD505-2E9C-101B-9397-08002B2CF9AE}" pid="4" name="KSOTemplateDocerSaveRecord">
    <vt:lpwstr>eyJoZGlkIjoiYjNlN2I2OGQxOGI1NmIxMWI3ZTg2MzgyOGIwNzE1YjAiLCJ1c2VySWQiOiI2NzgwOTI3MjgifQ==</vt:lpwstr>
  </property>
</Properties>
</file>