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sz w:val="28"/>
          <w:szCs w:val="28"/>
        </w:rPr>
        <w:t>附件2：</w:t>
      </w:r>
    </w:p>
    <w:p>
      <w:pPr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门头沟区石龙高新技术产业用地土地一级开发项目绩效</w:t>
      </w:r>
      <w:r>
        <w:rPr>
          <w:rFonts w:asciiTheme="minorEastAsia" w:hAnsiTheme="minorEastAsia"/>
          <w:b/>
          <w:sz w:val="36"/>
          <w:szCs w:val="36"/>
        </w:rPr>
        <w:t>自评报告</w:t>
      </w:r>
    </w:p>
    <w:p>
      <w:pPr>
        <w:jc w:val="center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（2</w:t>
      </w:r>
      <w:r>
        <w:rPr>
          <w:rFonts w:ascii="仿宋_GB2312" w:hAnsi="Times New Roman" w:eastAsia="仿宋_GB2312"/>
          <w:sz w:val="32"/>
          <w:szCs w:val="32"/>
        </w:rPr>
        <w:t>023</w:t>
      </w:r>
      <w:r>
        <w:rPr>
          <w:rFonts w:hint="eastAsia" w:ascii="仿宋_GB2312" w:hAnsi="Times New Roman" w:eastAsia="仿宋_GB2312"/>
          <w:sz w:val="32"/>
          <w:szCs w:val="32"/>
        </w:rPr>
        <w:t>年度）</w:t>
      </w:r>
    </w:p>
    <w:p>
      <w:pPr>
        <w:spacing w:line="520" w:lineRule="exact"/>
        <w:rPr>
          <w:rFonts w:ascii="仿宋_GB2312" w:eastAsia="仿宋_GB2312"/>
          <w:sz w:val="28"/>
          <w:szCs w:val="28"/>
        </w:rPr>
      </w:pPr>
    </w:p>
    <w:p>
      <w:pPr>
        <w:spacing w:line="52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一、基本情况</w:t>
      </w:r>
    </w:p>
    <w:p>
      <w:pPr>
        <w:spacing w:line="520" w:lineRule="exact"/>
        <w:ind w:firstLine="640" w:firstLineChars="200"/>
        <w:outlineLvl w:val="0"/>
        <w:rPr>
          <w:rFonts w:ascii="楷体_GB2312" w:eastAsia="楷体_GB2312"/>
          <w:color w:val="000000"/>
          <w:sz w:val="32"/>
          <w:szCs w:val="32"/>
        </w:rPr>
      </w:pPr>
      <w:r>
        <w:rPr>
          <w:rFonts w:hint="eastAsia" w:ascii="楷体_GB2312" w:eastAsia="楷体_GB2312"/>
          <w:color w:val="000000"/>
          <w:sz w:val="32"/>
          <w:szCs w:val="32"/>
        </w:rPr>
        <w:t>（一）项目概况</w:t>
      </w:r>
    </w:p>
    <w:p>
      <w:pPr>
        <w:spacing w:line="520" w:lineRule="exact"/>
        <w:ind w:firstLine="640" w:firstLineChars="200"/>
        <w:outlineLvl w:val="0"/>
        <w:rPr>
          <w:rFonts w:hint="eastAsia" w:ascii="仿宋_GB2312" w:eastAsia="仿宋_GB2312"/>
          <w:color w:val="000000"/>
          <w:sz w:val="32"/>
          <w:szCs w:val="32"/>
          <w:highlight w:val="none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石龙高新技术产业用地土地一级开发项目（以下简称“石龙五期项目”或“项目”）位于门头沟区永定镇石龙经济开发区内，分A、B两区，项目规划用地总面积54.50公顷，规划地上建筑规模59.62万平方米，其中工业研发用地51.34万平方米，商业用地3.65万平方米，市政配套等其他设施预计4.63万平方米。</w:t>
      </w:r>
    </w:p>
    <w:p>
      <w:pPr>
        <w:spacing w:line="520" w:lineRule="exact"/>
        <w:ind w:firstLine="640" w:firstLineChars="200"/>
        <w:outlineLvl w:val="0"/>
        <w:rPr>
          <w:rFonts w:hint="eastAsia" w:ascii="仿宋_GB2312" w:eastAsia="仿宋_GB2312"/>
          <w:color w:val="000000"/>
          <w:sz w:val="32"/>
          <w:szCs w:val="32"/>
          <w:highlight w:val="yellow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2017年3月项目取得授权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批复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。目前已完成A、B两区全部征地工作，项目高精尖产业用地（规划西苑路以西）控规已获得市政府批复，市政配套用地（规划西苑路以东）控规已通过区政府审议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市政方面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市政道路已完成招标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工作，中标单位为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北京城乡建设集团有限责任公司，目前完成施工计划的75%，预计2024年完成竣工验收移交。20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完成第三次阶段性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成本预审报告，审定总成本23.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亿元。石龙高新技术产业用地土地一级开发项目共计十五块高精尖产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业用地已具备入市条件。</w:t>
      </w:r>
    </w:p>
    <w:p>
      <w:pPr>
        <w:spacing w:line="520" w:lineRule="exact"/>
        <w:ind w:firstLine="640" w:firstLineChars="200"/>
        <w:outlineLvl w:val="0"/>
        <w:rPr>
          <w:rFonts w:ascii="楷体_GB2312" w:eastAsia="楷体_GB2312"/>
          <w:color w:val="000000"/>
          <w:sz w:val="32"/>
          <w:szCs w:val="32"/>
        </w:rPr>
      </w:pPr>
      <w:r>
        <w:rPr>
          <w:rFonts w:hint="eastAsia" w:ascii="楷体_GB2312" w:eastAsia="楷体_GB2312"/>
          <w:color w:val="000000"/>
          <w:sz w:val="32"/>
          <w:szCs w:val="32"/>
        </w:rPr>
        <w:t>（二）项目资金到位及执行情况</w:t>
      </w:r>
    </w:p>
    <w:p>
      <w:pPr>
        <w:spacing w:line="520" w:lineRule="exact"/>
        <w:ind w:firstLine="640" w:firstLineChars="200"/>
        <w:outlineLvl w:val="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本项目预算总额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7,653.58</w:t>
      </w:r>
      <w:r>
        <w:rPr>
          <w:rFonts w:hint="eastAsia" w:ascii="仿宋_GB2312" w:eastAsia="仿宋_GB2312"/>
          <w:color w:val="000000"/>
          <w:sz w:val="32"/>
          <w:szCs w:val="32"/>
        </w:rPr>
        <w:t>万元，其中：区级财政资金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7,653.58</w:t>
      </w:r>
      <w:r>
        <w:rPr>
          <w:rFonts w:hint="eastAsia" w:ascii="仿宋_GB2312" w:eastAsia="仿宋_GB2312"/>
          <w:color w:val="000000"/>
          <w:sz w:val="32"/>
          <w:szCs w:val="32"/>
        </w:rPr>
        <w:t>万元、</w:t>
      </w:r>
      <w:r>
        <w:rPr>
          <w:rFonts w:ascii="仿宋_GB2312" w:eastAsia="仿宋_GB2312"/>
          <w:color w:val="000000"/>
          <w:sz w:val="32"/>
          <w:szCs w:val="32"/>
        </w:rPr>
        <w:t>其他资金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0.00</w:t>
      </w:r>
      <w:r>
        <w:rPr>
          <w:rFonts w:hint="eastAsia" w:ascii="仿宋_GB2312" w:eastAsia="仿宋_GB2312"/>
          <w:color w:val="000000"/>
          <w:sz w:val="32"/>
          <w:szCs w:val="32"/>
        </w:rPr>
        <w:t>万元。本项目全年共支出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7,653.58</w:t>
      </w:r>
      <w:r>
        <w:rPr>
          <w:rFonts w:hint="eastAsia" w:ascii="仿宋_GB2312" w:eastAsia="仿宋_GB2312"/>
          <w:color w:val="000000"/>
          <w:sz w:val="32"/>
          <w:szCs w:val="32"/>
        </w:rPr>
        <w:t>万元，其中：区级财政资金支出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7,653.58</w:t>
      </w:r>
      <w:r>
        <w:rPr>
          <w:rFonts w:hint="eastAsia" w:ascii="仿宋_GB2312" w:eastAsia="仿宋_GB2312"/>
          <w:color w:val="000000"/>
          <w:sz w:val="32"/>
          <w:szCs w:val="32"/>
        </w:rPr>
        <w:t>万元、</w:t>
      </w:r>
      <w:r>
        <w:rPr>
          <w:rFonts w:ascii="仿宋_GB2312" w:eastAsia="仿宋_GB2312"/>
          <w:color w:val="000000"/>
          <w:sz w:val="32"/>
          <w:szCs w:val="32"/>
        </w:rPr>
        <w:t>其他资金</w:t>
      </w:r>
      <w:r>
        <w:rPr>
          <w:rFonts w:hint="eastAsia" w:ascii="仿宋_GB2312" w:eastAsia="仿宋_GB2312"/>
          <w:color w:val="000000"/>
          <w:sz w:val="32"/>
          <w:szCs w:val="32"/>
        </w:rPr>
        <w:t>支出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0.00</w:t>
      </w:r>
      <w:r>
        <w:rPr>
          <w:rFonts w:hint="eastAsia" w:ascii="仿宋_GB2312" w:eastAsia="仿宋_GB2312"/>
          <w:color w:val="000000"/>
          <w:sz w:val="32"/>
          <w:szCs w:val="32"/>
        </w:rPr>
        <w:t>万元。</w:t>
      </w:r>
    </w:p>
    <w:p>
      <w:pPr>
        <w:spacing w:line="520" w:lineRule="exact"/>
        <w:ind w:firstLine="640" w:firstLineChars="200"/>
        <w:outlineLvl w:val="0"/>
        <w:rPr>
          <w:rFonts w:ascii="楷体_GB2312" w:eastAsia="楷体_GB2312"/>
          <w:color w:val="000000"/>
          <w:sz w:val="32"/>
          <w:szCs w:val="32"/>
        </w:rPr>
      </w:pPr>
      <w:r>
        <w:rPr>
          <w:rFonts w:hint="eastAsia" w:ascii="楷体_GB2312" w:eastAsia="楷体_GB2312"/>
          <w:color w:val="000000"/>
          <w:sz w:val="32"/>
          <w:szCs w:val="32"/>
        </w:rPr>
        <w:t>（三）项目绩效目标、绩效指标设定情况</w:t>
      </w:r>
    </w:p>
    <w:p>
      <w:pPr>
        <w:spacing w:line="520" w:lineRule="exact"/>
        <w:ind w:firstLine="640" w:firstLineChars="200"/>
        <w:outlineLvl w:val="0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按要求持续推进市政道路建设工程。</w:t>
      </w:r>
    </w:p>
    <w:p>
      <w:pPr>
        <w:spacing w:line="520" w:lineRule="exact"/>
        <w:ind w:firstLine="640" w:firstLineChars="200"/>
        <w:outlineLvl w:val="0"/>
        <w:rPr>
          <w:rFonts w:ascii="楷体_GB2312" w:eastAsia="楷体_GB2312"/>
          <w:color w:val="000000"/>
          <w:sz w:val="32"/>
          <w:szCs w:val="32"/>
        </w:rPr>
      </w:pPr>
      <w:r>
        <w:rPr>
          <w:rFonts w:hint="eastAsia" w:ascii="楷体_GB2312" w:eastAsia="楷体_GB2312"/>
          <w:color w:val="000000"/>
          <w:sz w:val="32"/>
          <w:szCs w:val="32"/>
        </w:rPr>
        <w:t>（四）项目资金管理情况分析</w:t>
      </w:r>
    </w:p>
    <w:p>
      <w:pPr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为规范土地储备管理行为，加强土地储备资金的监督管理，确保土地储备资金专款专用，提高土地储备资金的使用效益，严格按照《门头沟区土地储备项目专项资金管理办法》中涉及的财务、收支管理、财务监督检查等规定执行。</w:t>
      </w:r>
    </w:p>
    <w:p>
      <w:pPr>
        <w:spacing w:line="52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二、绩效自评结论</w:t>
      </w:r>
    </w:p>
    <w:p>
      <w:pPr>
        <w:spacing w:line="520" w:lineRule="exact"/>
        <w:ind w:firstLine="640" w:firstLineChars="200"/>
        <w:rPr>
          <w:rFonts w:ascii="仿宋_GB2312" w:hAnsi="黑体" w:eastAsia="仿宋_GB2312" w:cs="黑体"/>
          <w:bCs/>
          <w:sz w:val="32"/>
          <w:szCs w:val="32"/>
        </w:rPr>
      </w:pPr>
      <w:r>
        <w:rPr>
          <w:rFonts w:hint="eastAsia" w:ascii="仿宋_GB2312" w:hAnsi="黑体" w:eastAsia="仿宋_GB2312" w:cs="黑体"/>
          <w:bCs/>
          <w:sz w:val="32"/>
          <w:szCs w:val="32"/>
        </w:rPr>
        <w:t>绩效自评总分：</w:t>
      </w:r>
      <w:r>
        <w:rPr>
          <w:rFonts w:hint="eastAsia" w:ascii="仿宋_GB2312" w:hAnsi="黑体" w:eastAsia="仿宋_GB2312" w:cs="黑体"/>
          <w:bCs/>
          <w:sz w:val="32"/>
          <w:szCs w:val="32"/>
          <w:lang w:val="en-US" w:eastAsia="zh-CN"/>
        </w:rPr>
        <w:t>100</w:t>
      </w:r>
      <w:r>
        <w:rPr>
          <w:rFonts w:hint="eastAsia" w:ascii="仿宋_GB2312" w:hAnsi="黑体" w:eastAsia="仿宋_GB2312" w:cs="黑体"/>
          <w:bCs/>
          <w:sz w:val="32"/>
          <w:szCs w:val="32"/>
        </w:rPr>
        <w:t>分</w:t>
      </w:r>
    </w:p>
    <w:p>
      <w:pPr>
        <w:spacing w:line="520" w:lineRule="exact"/>
        <w:ind w:firstLine="640" w:firstLineChars="200"/>
        <w:rPr>
          <w:rFonts w:ascii="仿宋_GB2312" w:hAnsi="黑体" w:eastAsia="仿宋_GB2312" w:cs="黑体"/>
          <w:bCs/>
          <w:sz w:val="32"/>
          <w:szCs w:val="32"/>
        </w:rPr>
      </w:pPr>
      <w:r>
        <w:rPr>
          <w:rFonts w:hint="eastAsia" w:ascii="仿宋_GB2312" w:hAnsi="黑体" w:eastAsia="仿宋_GB2312" w:cs="黑体"/>
          <w:bCs/>
          <w:sz w:val="32"/>
          <w:szCs w:val="32"/>
        </w:rPr>
        <w:t>绩效自评等级：优秀</w:t>
      </w:r>
    </w:p>
    <w:p>
      <w:pPr>
        <w:spacing w:line="52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三、绩效目标完成情况分析</w:t>
      </w:r>
    </w:p>
    <w:p>
      <w:pPr>
        <w:spacing w:line="520" w:lineRule="exact"/>
        <w:ind w:firstLine="640" w:firstLineChars="200"/>
        <w:outlineLvl w:val="0"/>
        <w:rPr>
          <w:rFonts w:ascii="楷体_GB2312" w:eastAsia="楷体_GB2312"/>
          <w:color w:val="000000"/>
          <w:sz w:val="32"/>
          <w:szCs w:val="32"/>
        </w:rPr>
      </w:pPr>
      <w:r>
        <w:rPr>
          <w:rFonts w:hint="eastAsia" w:ascii="楷体_GB2312" w:eastAsia="楷体_GB2312"/>
          <w:color w:val="000000"/>
          <w:sz w:val="32"/>
          <w:szCs w:val="32"/>
        </w:rPr>
        <w:t>（一）总体绩效目标完成情况分析</w:t>
      </w:r>
    </w:p>
    <w:p>
      <w:pPr>
        <w:spacing w:line="520" w:lineRule="exact"/>
        <w:ind w:firstLine="640" w:firstLineChars="200"/>
        <w:outlineLvl w:val="0"/>
        <w:rPr>
          <w:rFonts w:hint="eastAsia" w:ascii="楷体_GB2312" w:eastAsia="楷体_GB2312"/>
          <w:color w:val="000000"/>
          <w:sz w:val="32"/>
          <w:szCs w:val="32"/>
        </w:rPr>
      </w:pPr>
      <w:r>
        <w:rPr>
          <w:rFonts w:hint="eastAsia" w:ascii="楷体_GB2312" w:eastAsia="楷体_GB2312"/>
          <w:color w:val="000000"/>
          <w:sz w:val="32"/>
          <w:szCs w:val="32"/>
        </w:rPr>
        <w:t>按要求持续推进市政道路建设工程。</w:t>
      </w:r>
    </w:p>
    <w:p>
      <w:pPr>
        <w:spacing w:line="520" w:lineRule="exact"/>
        <w:ind w:firstLine="640" w:firstLineChars="200"/>
        <w:outlineLvl w:val="0"/>
        <w:rPr>
          <w:rFonts w:ascii="楷体_GB2312" w:eastAsia="楷体_GB2312"/>
          <w:color w:val="000000"/>
          <w:sz w:val="32"/>
          <w:szCs w:val="32"/>
        </w:rPr>
      </w:pPr>
      <w:r>
        <w:rPr>
          <w:rFonts w:hint="eastAsia" w:ascii="楷体_GB2312" w:eastAsia="楷体_GB2312"/>
          <w:color w:val="000000"/>
          <w:sz w:val="32"/>
          <w:szCs w:val="32"/>
        </w:rPr>
        <w:t>（二）项目绩效指标完成情况分析</w:t>
      </w:r>
    </w:p>
    <w:p>
      <w:pPr>
        <w:spacing w:line="520" w:lineRule="exact"/>
        <w:ind w:firstLine="640" w:firstLineChars="200"/>
        <w:rPr>
          <w:rFonts w:ascii="仿宋_GB2312" w:hAnsi="黑体" w:eastAsia="仿宋_GB2312" w:cs="黑体"/>
          <w:bCs/>
          <w:sz w:val="32"/>
          <w:szCs w:val="32"/>
        </w:rPr>
      </w:pPr>
      <w:r>
        <w:rPr>
          <w:rFonts w:hint="eastAsia" w:ascii="仿宋_GB2312" w:hAnsi="黑体" w:eastAsia="仿宋_GB2312" w:cs="黑体"/>
          <w:bCs/>
          <w:sz w:val="32"/>
          <w:szCs w:val="32"/>
        </w:rPr>
        <w:t>1.产出指标完成情况分析。</w:t>
      </w:r>
    </w:p>
    <w:p>
      <w:pPr>
        <w:spacing w:line="520" w:lineRule="exact"/>
        <w:ind w:firstLine="640" w:firstLineChars="200"/>
        <w:rPr>
          <w:rFonts w:hint="eastAsia" w:ascii="仿宋_GB2312" w:hAnsi="黑体" w:eastAsia="仿宋_GB2312" w:cs="黑体"/>
          <w:bCs/>
          <w:sz w:val="32"/>
          <w:szCs w:val="32"/>
        </w:rPr>
      </w:pPr>
      <w:r>
        <w:rPr>
          <w:rFonts w:hint="eastAsia" w:ascii="仿宋_GB2312" w:hAnsi="黑体" w:eastAsia="仿宋_GB2312" w:cs="黑体"/>
          <w:bCs/>
          <w:sz w:val="32"/>
          <w:szCs w:val="32"/>
        </w:rPr>
        <w:t>（1）数量指标。</w:t>
      </w:r>
    </w:p>
    <w:p>
      <w:pPr>
        <w:spacing w:line="520" w:lineRule="exact"/>
        <w:ind w:firstLine="640" w:firstLineChars="200"/>
        <w:rPr>
          <w:rFonts w:hint="eastAsia" w:ascii="仿宋_GB2312" w:hAnsi="黑体" w:eastAsia="仿宋_GB2312" w:cs="黑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 w:cs="黑体"/>
          <w:bCs/>
          <w:color w:val="auto"/>
          <w:sz w:val="32"/>
          <w:szCs w:val="32"/>
          <w:lang w:eastAsia="zh-CN"/>
        </w:rPr>
        <w:t>完成</w:t>
      </w:r>
      <w:r>
        <w:rPr>
          <w:rFonts w:hint="eastAsia" w:ascii="仿宋_GB2312" w:hAnsi="黑体" w:eastAsia="仿宋_GB2312" w:cs="黑体"/>
          <w:bCs/>
          <w:color w:val="auto"/>
          <w:sz w:val="32"/>
          <w:szCs w:val="32"/>
        </w:rPr>
        <w:t>现场巡查</w:t>
      </w:r>
      <w:r>
        <w:rPr>
          <w:rFonts w:hint="eastAsia" w:ascii="仿宋_GB2312" w:hAnsi="黑体" w:eastAsia="仿宋_GB2312" w:cs="黑体"/>
          <w:bCs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黑体" w:eastAsia="仿宋_GB2312" w:cs="黑体"/>
          <w:bCs/>
          <w:color w:val="auto"/>
          <w:sz w:val="32"/>
          <w:szCs w:val="32"/>
        </w:rPr>
        <w:t>次</w:t>
      </w:r>
      <w:r>
        <w:rPr>
          <w:rFonts w:hint="eastAsia" w:ascii="仿宋_GB2312" w:hAnsi="黑体" w:eastAsia="仿宋_GB2312" w:cs="黑体"/>
          <w:bCs/>
          <w:color w:val="auto"/>
          <w:sz w:val="32"/>
          <w:szCs w:val="32"/>
          <w:lang w:eastAsia="zh-CN"/>
        </w:rPr>
        <w:t>；现场保安到岗</w:t>
      </w:r>
      <w:r>
        <w:rPr>
          <w:rFonts w:hint="eastAsia" w:ascii="仿宋_GB2312" w:hAnsi="黑体" w:eastAsia="仿宋_GB2312" w:cs="黑体"/>
          <w:bCs/>
          <w:color w:val="auto"/>
          <w:sz w:val="32"/>
          <w:szCs w:val="32"/>
          <w:lang w:val="en-US" w:eastAsia="zh-CN"/>
        </w:rPr>
        <w:t>365天。</w:t>
      </w:r>
    </w:p>
    <w:p>
      <w:pPr>
        <w:numPr>
          <w:ilvl w:val="0"/>
          <w:numId w:val="1"/>
        </w:numPr>
        <w:spacing w:line="52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质量指标。</w:t>
      </w:r>
      <w:bookmarkStart w:id="0" w:name="_GoBack"/>
      <w:bookmarkEnd w:id="0"/>
    </w:p>
    <w:p>
      <w:pPr>
        <w:numPr>
          <w:ilvl w:val="0"/>
          <w:numId w:val="0"/>
        </w:numPr>
        <w:spacing w:line="52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市政工程按协议约定的质量要求完成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；项目资金报审资料完整通过率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100%。</w:t>
      </w:r>
    </w:p>
    <w:p>
      <w:pPr>
        <w:numPr>
          <w:ilvl w:val="0"/>
          <w:numId w:val="1"/>
        </w:numPr>
        <w:spacing w:line="52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时效</w:t>
      </w:r>
      <w:r>
        <w:rPr>
          <w:rFonts w:hint="eastAsia" w:ascii="仿宋_GB2312" w:eastAsia="仿宋_GB2312"/>
          <w:color w:val="auto"/>
          <w:sz w:val="32"/>
          <w:szCs w:val="32"/>
        </w:rPr>
        <w:t>指标。</w:t>
      </w:r>
    </w:p>
    <w:p>
      <w:pPr>
        <w:numPr>
          <w:ilvl w:val="0"/>
          <w:numId w:val="0"/>
        </w:numPr>
        <w:spacing w:line="52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按季度支付保安服务费执行率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100%；根据进度支付市政工程进度款100%。</w:t>
      </w:r>
    </w:p>
    <w:p>
      <w:pPr>
        <w:numPr>
          <w:ilvl w:val="0"/>
          <w:numId w:val="1"/>
        </w:num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成本指标。</w:t>
      </w:r>
    </w:p>
    <w:p>
      <w:pPr>
        <w:numPr>
          <w:ilvl w:val="0"/>
          <w:numId w:val="0"/>
        </w:numPr>
        <w:spacing w:line="520" w:lineRule="exac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项目总成本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7,653.58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2.效益指标完成情况分析。</w:t>
      </w:r>
    </w:p>
    <w:p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（1）经济效益。</w:t>
      </w:r>
    </w:p>
    <w:p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拉动区域经济增长，加快土地入市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社会效益。</w:t>
      </w:r>
    </w:p>
    <w:p>
      <w:pPr>
        <w:numPr>
          <w:ilvl w:val="0"/>
          <w:numId w:val="0"/>
        </w:numPr>
        <w:spacing w:line="520" w:lineRule="exac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改善周边市政道路情况、提高居民居住条件。</w:t>
      </w:r>
    </w:p>
    <w:p>
      <w:pPr>
        <w:numPr>
          <w:ilvl w:val="0"/>
          <w:numId w:val="2"/>
        </w:num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生态效益。</w:t>
      </w:r>
    </w:p>
    <w:p>
      <w:pPr>
        <w:numPr>
          <w:ilvl w:val="0"/>
          <w:numId w:val="0"/>
        </w:numPr>
        <w:spacing w:line="520" w:lineRule="exac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重视环境保护，强化生态管控。</w:t>
      </w:r>
    </w:p>
    <w:p>
      <w:pPr>
        <w:numPr>
          <w:ilvl w:val="0"/>
          <w:numId w:val="2"/>
        </w:num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可持续影响。</w:t>
      </w:r>
    </w:p>
    <w:p>
      <w:pPr>
        <w:numPr>
          <w:ilvl w:val="0"/>
          <w:numId w:val="0"/>
        </w:numPr>
        <w:spacing w:line="520" w:lineRule="exac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提高农民生活水平、促进区域经济社会发展。</w:t>
      </w:r>
    </w:p>
    <w:p>
      <w:pPr>
        <w:numPr>
          <w:ilvl w:val="0"/>
          <w:numId w:val="3"/>
        </w:num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满意度指标完成情况分析。</w:t>
      </w:r>
    </w:p>
    <w:p>
      <w:pPr>
        <w:numPr>
          <w:ilvl w:val="0"/>
          <w:numId w:val="0"/>
        </w:numPr>
        <w:spacing w:line="520" w:lineRule="exac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实施主体满意度100%。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四、发现的主要问题和改进措施</w:t>
      </w:r>
    </w:p>
    <w:p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五、有关</w:t>
      </w:r>
      <w:r>
        <w:rPr>
          <w:rFonts w:ascii="黑体" w:hAnsi="黑体" w:eastAsia="黑体"/>
          <w:sz w:val="32"/>
          <w:szCs w:val="32"/>
        </w:rPr>
        <w:t>建议及</w:t>
      </w:r>
      <w:r>
        <w:rPr>
          <w:rFonts w:hint="eastAsia" w:ascii="黑体" w:hAnsi="黑体" w:eastAsia="黑体"/>
          <w:sz w:val="32"/>
          <w:szCs w:val="32"/>
        </w:rPr>
        <w:t>其他需要说明的情况</w:t>
      </w:r>
    </w:p>
    <w:p>
      <w:pPr>
        <w:spacing w:line="520" w:lineRule="exact"/>
        <w:ind w:firstLine="640" w:firstLineChars="20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无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520" w:lineRule="exact"/>
        <w:ind w:firstLine="6400" w:firstLineChars="20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                   </w:t>
      </w:r>
    </w:p>
    <w:p>
      <w:pPr>
        <w:spacing w:line="520" w:lineRule="exact"/>
        <w:ind w:left="6660" w:leftChars="200" w:hanging="6240" w:hangingChars="195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北京市门头沟区土地储备事务中心                       </w:t>
      </w:r>
    </w:p>
    <w:p>
      <w:pPr>
        <w:spacing w:line="520" w:lineRule="exact"/>
        <w:ind w:firstLine="5120" w:firstLineChars="160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年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月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26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日</w:t>
      </w:r>
    </w:p>
    <w:p>
      <w:pPr>
        <w:spacing w:line="520" w:lineRule="exact"/>
        <w:ind w:firstLine="6400" w:firstLineChars="2000"/>
        <w:jc w:val="left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27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043A3"/>
    <w:multiLevelType w:val="singleLevel"/>
    <w:tmpl w:val="665043A3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66504508"/>
    <w:multiLevelType w:val="singleLevel"/>
    <w:tmpl w:val="66504508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66504557"/>
    <w:multiLevelType w:val="singleLevel"/>
    <w:tmpl w:val="66504557"/>
    <w:lvl w:ilvl="0" w:tentative="0">
      <w:start w:val="3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B17"/>
    <w:rsid w:val="00013E3D"/>
    <w:rsid w:val="00022E11"/>
    <w:rsid w:val="000269DC"/>
    <w:rsid w:val="00047DC0"/>
    <w:rsid w:val="000A23F6"/>
    <w:rsid w:val="00101019"/>
    <w:rsid w:val="001451E0"/>
    <w:rsid w:val="001F4635"/>
    <w:rsid w:val="00203391"/>
    <w:rsid w:val="00205468"/>
    <w:rsid w:val="00210B4C"/>
    <w:rsid w:val="002140C0"/>
    <w:rsid w:val="002E58C9"/>
    <w:rsid w:val="0031524F"/>
    <w:rsid w:val="00330537"/>
    <w:rsid w:val="003727E8"/>
    <w:rsid w:val="00377BDC"/>
    <w:rsid w:val="00392D09"/>
    <w:rsid w:val="003B3B58"/>
    <w:rsid w:val="003C42FF"/>
    <w:rsid w:val="004503E3"/>
    <w:rsid w:val="004B7FE1"/>
    <w:rsid w:val="004F49B9"/>
    <w:rsid w:val="0054688F"/>
    <w:rsid w:val="00554136"/>
    <w:rsid w:val="00565DE2"/>
    <w:rsid w:val="005D4ED9"/>
    <w:rsid w:val="005E6415"/>
    <w:rsid w:val="00611E84"/>
    <w:rsid w:val="006305D3"/>
    <w:rsid w:val="0064412D"/>
    <w:rsid w:val="00676705"/>
    <w:rsid w:val="006D4D7E"/>
    <w:rsid w:val="006D6351"/>
    <w:rsid w:val="006E4B81"/>
    <w:rsid w:val="007C3E7C"/>
    <w:rsid w:val="007D661E"/>
    <w:rsid w:val="007F46A7"/>
    <w:rsid w:val="00845359"/>
    <w:rsid w:val="00851994"/>
    <w:rsid w:val="008651F7"/>
    <w:rsid w:val="008728BA"/>
    <w:rsid w:val="009127C3"/>
    <w:rsid w:val="00917FE5"/>
    <w:rsid w:val="009976F0"/>
    <w:rsid w:val="009B27A6"/>
    <w:rsid w:val="00A127E4"/>
    <w:rsid w:val="00A4171D"/>
    <w:rsid w:val="00A52489"/>
    <w:rsid w:val="00A61FC1"/>
    <w:rsid w:val="00AD7689"/>
    <w:rsid w:val="00BF6BCD"/>
    <w:rsid w:val="00C01D2B"/>
    <w:rsid w:val="00C531AA"/>
    <w:rsid w:val="00C75ABE"/>
    <w:rsid w:val="00C8361D"/>
    <w:rsid w:val="00CA72AB"/>
    <w:rsid w:val="00CD1D34"/>
    <w:rsid w:val="00D22818"/>
    <w:rsid w:val="00D374F7"/>
    <w:rsid w:val="00D50DEF"/>
    <w:rsid w:val="00D60B17"/>
    <w:rsid w:val="00D66A17"/>
    <w:rsid w:val="00D91ABE"/>
    <w:rsid w:val="00E37F80"/>
    <w:rsid w:val="00E67831"/>
    <w:rsid w:val="00EC6591"/>
    <w:rsid w:val="00EF109F"/>
    <w:rsid w:val="00F207A8"/>
    <w:rsid w:val="00F922BE"/>
    <w:rsid w:val="03136D9F"/>
    <w:rsid w:val="03D84E19"/>
    <w:rsid w:val="09BB0BF3"/>
    <w:rsid w:val="1972093A"/>
    <w:rsid w:val="1BBB0FEA"/>
    <w:rsid w:val="1D6279B0"/>
    <w:rsid w:val="252E550F"/>
    <w:rsid w:val="26AF1E2E"/>
    <w:rsid w:val="2C7939C6"/>
    <w:rsid w:val="2F5F7CD6"/>
    <w:rsid w:val="31C62224"/>
    <w:rsid w:val="32D10975"/>
    <w:rsid w:val="333D57EB"/>
    <w:rsid w:val="3448719B"/>
    <w:rsid w:val="423D1585"/>
    <w:rsid w:val="43721CCF"/>
    <w:rsid w:val="488B64FE"/>
    <w:rsid w:val="49763F16"/>
    <w:rsid w:val="51E57838"/>
    <w:rsid w:val="589D7BF2"/>
    <w:rsid w:val="59FB1127"/>
    <w:rsid w:val="637C741D"/>
    <w:rsid w:val="678B4DEC"/>
    <w:rsid w:val="69544F46"/>
    <w:rsid w:val="6B43076E"/>
    <w:rsid w:val="6CE03C87"/>
    <w:rsid w:val="6F3828F3"/>
    <w:rsid w:val="705A0813"/>
    <w:rsid w:val="7164047C"/>
    <w:rsid w:val="75A43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120</Words>
  <Characters>686</Characters>
  <Lines>5</Lines>
  <Paragraphs>1</Paragraphs>
  <ScaleCrop>false</ScaleCrop>
  <LinksUpToDate>false</LinksUpToDate>
  <CharactersWithSpaces>805</CharactersWithSpaces>
  <Application>WPS Office_10.8.0.6370_F1E327BC-269C-435d-A152-05C5408002CA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2024-04-08T02:05:00Z</dcterms:created>
  <dc:creator>井文胜</dc:creator>
  <cp:lastModifiedBy>孔娟</cp:lastModifiedBy>
  <dcterms:modified xsi:type="dcterms:W3CDTF">2024-05-27T03:20:35Z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