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eastAsia="黑体"/>
          <w:b/>
          <w:bCs/>
          <w:sz w:val="52"/>
          <w:szCs w:val="52"/>
        </w:rPr>
      </w:pPr>
      <w:bookmarkStart w:id="49" w:name="_GoBack"/>
      <w:r>
        <w:rPr>
          <w:rFonts w:ascii="黑体" w:eastAsia="黑体"/>
          <w:b/>
          <w:bCs/>
          <w:sz w:val="52"/>
          <w:szCs w:val="52"/>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-914400</wp:posOffset>
                </wp:positionV>
                <wp:extent cx="7591425" cy="10686415"/>
                <wp:effectExtent l="0" t="0" r="9525" b="1270"/>
                <wp:wrapNone/>
                <wp:docPr id="792270449" name="矩形 1"/>
                <wp:cNvGraphicFramePr/>
                <a:graphic xmlns:a="http://schemas.openxmlformats.org/drawingml/2006/main">
                  <a:graphicData uri="http://schemas.microsoft.com/office/word/2010/wordprocessingShape">
                    <wps:wsp>
                      <wps:cNvSpPr/>
                      <wps:spPr>
                        <a:xfrm>
                          <a:off x="0" y="0"/>
                          <a:ext cx="7591647" cy="10686197"/>
                        </a:xfrm>
                        <a:prstGeom prst="rect">
                          <a:avLst/>
                        </a:prstGeom>
                        <a:solidFill>
                          <a:srgbClr val="EFF9F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top:-72pt;height:841.45pt;width:597.75pt;mso-position-horizontal:right;mso-position-horizontal-relative:page;z-index:-251657216;v-text-anchor:middle;mso-width-relative:page;mso-height-relative:page;" fillcolor="#EFF9FD" filled="t" stroked="f" coordsize="21600,21600" o:gfxdata="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VKAQbbAAAACwEAAA8AAAAAAAAAAQAgAAAAIgAA&#10;AGRycy9kb3ducmV2LnhtbFBLAQIUABQAAAAIAIdO4kDRlucbdwIAANUEAAAOAAAAAAAAAAEAIAAA&#10;ACoBAABkcnMvZTJvRG9jLnhtbFBLBQYAAAAABgAGAFkBAAATBgAAAAA=&#10;">
                <v:fill on="t" focussize="0,0"/>
                <v:stroke on="f" weight="1pt" miterlimit="8" joinstyle="miter"/>
                <v:imagedata o:title=""/>
                <o:lock v:ext="edit" aspectratio="f"/>
              </v:rect>
            </w:pict>
          </mc:Fallback>
        </mc:AlternateContent>
      </w:r>
      <w:bookmarkEnd w:id="49"/>
    </w:p>
    <w:p>
      <w:pPr>
        <w:spacing w:before="156" w:beforeLines="50" w:after="156" w:afterLines="50"/>
        <w:jc w:val="center"/>
        <w:rPr>
          <w:rFonts w:ascii="黑体" w:eastAsia="黑体"/>
          <w:b/>
          <w:bCs/>
          <w:sz w:val="52"/>
          <w:szCs w:val="52"/>
        </w:rPr>
      </w:pPr>
    </w:p>
    <w:p>
      <w:pPr>
        <w:spacing w:line="240" w:lineRule="atLeast"/>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北京市轨道交通一体化</w:t>
      </w:r>
    </w:p>
    <w:p>
      <w:pPr>
        <w:spacing w:line="240" w:lineRule="atLeast"/>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规划设计指南（试行）</w:t>
      </w:r>
    </w:p>
    <w:p>
      <w:pPr>
        <w:spacing w:before="156" w:beforeLines="50" w:after="156" w:afterLines="50"/>
        <w:jc w:val="center"/>
        <w:rPr>
          <w:rFonts w:hint="eastAsia" w:ascii="宋体" w:hAnsi="宋体"/>
          <w:sz w:val="32"/>
        </w:rPr>
      </w:pPr>
      <w:r>
        <w:rPr>
          <w:rFonts w:hint="eastAsia" w:ascii="宋体" w:hAnsi="宋体"/>
          <w:b/>
          <w:bCs/>
          <w:sz w:val="56"/>
          <w:szCs w:val="5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31750</wp:posOffset>
                </wp:positionV>
                <wp:extent cx="7519670" cy="67945"/>
                <wp:effectExtent l="0" t="0" r="5080" b="8255"/>
                <wp:wrapNone/>
                <wp:docPr id="816741718" name="矩形 2"/>
                <wp:cNvGraphicFramePr/>
                <a:graphic xmlns:a="http://schemas.openxmlformats.org/drawingml/2006/main">
                  <a:graphicData uri="http://schemas.microsoft.com/office/word/2010/wordprocessingShape">
                    <wps:wsp>
                      <wps:cNvSpPr/>
                      <wps:spPr>
                        <a:xfrm>
                          <a:off x="0" y="0"/>
                          <a:ext cx="7519670" cy="67945"/>
                        </a:xfrm>
                        <a:prstGeom prst="rect">
                          <a:avLst/>
                        </a:prstGeom>
                        <a:gradFill flip="none" rotWithShape="1">
                          <a:gsLst>
                            <a:gs pos="0">
                              <a:schemeClr val="accent1">
                                <a:lumMod val="40000"/>
                                <a:lumOff val="60000"/>
                              </a:schemeClr>
                            </a:gs>
                            <a:gs pos="100000">
                              <a:srgbClr val="5449E9"/>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top:2.5pt;height:5.35pt;width:592.1pt;mso-position-horizontal:center;mso-position-horizontal-relative:margin;z-index:251660288;v-text-anchor:middle;mso-width-relative:page;mso-height-relative:page;" fillcolor="#B4C7E7 [1300]" filled="t" stroked="f" coordsize="21600,21600" o:gfxdata="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McfOY/XAAAABgEAAA8AAAAAAAAAAQAgAAAAIgAAAGRycy9kb3ducmV2LnhtbFBL&#10;AQIUABQAAAAIAIdO4kCykOXs2wIAALAFAAAOAAAAAAAAAAEAIAAAACYBAABkcnMvZTJvRG9jLnht&#10;bFBLBQYAAAAABgAGAFkBAABzBgAAAAA=&#10;">
                <v:fill type="gradient" on="t" color2="#5449E9" angle="270" focus="100%" focussize="0,0" rotate="t"/>
                <v:stroke on="f" weight="1pt" miterlimit="8" joinstyle="miter"/>
                <v:imagedata o:title=""/>
                <o:lock v:ext="edit" aspectratio="f"/>
              </v:rect>
            </w:pict>
          </mc:Fallback>
        </mc:AlternateContent>
      </w:r>
      <w:r>
        <w:rPr>
          <w:rFonts w:hint="eastAsia" w:ascii="宋体" w:hAnsi="宋体"/>
          <w:sz w:val="32"/>
        </w:rPr>
        <w:t>（征求意见稿）</w:t>
      </w:r>
    </w:p>
    <w:p>
      <w:pPr>
        <w:pStyle w:val="18"/>
        <w:spacing w:before="156" w:beforeLines="50" w:after="156" w:afterLines="50"/>
        <w:ind w:firstLine="482"/>
        <w:rPr>
          <w:rFonts w:hint="eastAsia"/>
          <w:color w:val="auto"/>
        </w:rPr>
      </w:pPr>
    </w:p>
    <w:p>
      <w:pPr>
        <w:pStyle w:val="2"/>
        <w:ind w:firstLine="560"/>
        <w:rPr>
          <w:rFonts w:hint="eastAsia"/>
        </w:rPr>
      </w:pPr>
    </w:p>
    <w:p>
      <w:pPr>
        <w:pStyle w:val="2"/>
        <w:ind w:firstLine="560"/>
        <w:rPr>
          <w:rFonts w:hint="eastAsia"/>
        </w:rPr>
      </w:pPr>
    </w:p>
    <w:p>
      <w:pPr>
        <w:pStyle w:val="2"/>
        <w:ind w:firstLine="560"/>
        <w:rPr>
          <w:rFonts w:hint="eastAsia"/>
        </w:rPr>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pStyle w:val="2"/>
        <w:ind w:firstLine="560"/>
        <w:rPr>
          <w:rFonts w:hint="eastAsia"/>
        </w:rPr>
      </w:pPr>
    </w:p>
    <w:p>
      <w:pPr>
        <w:spacing w:before="156" w:beforeLines="50" w:after="156" w:afterLines="50"/>
        <w:jc w:val="center"/>
        <w:rPr>
          <w:rFonts w:hint="eastAsia" w:ascii="黑体" w:hAnsi="黑体" w:eastAsia="黑体"/>
          <w:b/>
          <w:bCs/>
          <w:sz w:val="36"/>
          <w:szCs w:val="40"/>
        </w:rPr>
      </w:pPr>
      <w:r>
        <w:rPr>
          <w:rFonts w:hint="eastAsia" w:ascii="黑体" w:hAnsi="黑体" w:eastAsia="黑体"/>
          <w:b/>
          <w:bCs/>
          <w:sz w:val="36"/>
          <w:szCs w:val="40"/>
        </w:rPr>
        <w:t>北京市规划和自然资源委员会</w:t>
      </w:r>
    </w:p>
    <w:p>
      <w:pPr>
        <w:spacing w:before="156" w:beforeLines="50" w:after="156" w:afterLines="50"/>
        <w:jc w:val="center"/>
        <w:rPr>
          <w:rFonts w:eastAsia="仿宋"/>
          <w:sz w:val="36"/>
          <w:szCs w:val="40"/>
        </w:rPr>
      </w:pPr>
      <w:r>
        <w:rPr>
          <w:rFonts w:ascii="黑体" w:hAnsi="黑体" w:eastAsia="黑体"/>
          <w:sz w:val="36"/>
          <w:szCs w:val="40"/>
        </w:rPr>
        <w:t>2024年</w:t>
      </w:r>
      <w:r>
        <w:rPr>
          <w:rFonts w:hint="eastAsia" w:ascii="黑体" w:hAnsi="黑体" w:eastAsia="黑体"/>
          <w:sz w:val="36"/>
          <w:szCs w:val="40"/>
        </w:rPr>
        <w:t>8</w:t>
      </w:r>
      <w:r>
        <w:rPr>
          <w:rFonts w:ascii="黑体" w:hAnsi="黑体" w:eastAsia="黑体"/>
          <w:sz w:val="36"/>
          <w:szCs w:val="40"/>
        </w:rPr>
        <w:t>月</w:t>
      </w:r>
      <w:r>
        <w:rPr>
          <w:rFonts w:eastAsia="仿宋"/>
          <w:sz w:val="36"/>
          <w:szCs w:val="40"/>
        </w:rPr>
        <w:br w:type="page"/>
      </w:r>
    </w:p>
    <w:p>
      <w:pPr>
        <w:spacing w:before="312" w:after="312"/>
        <w:jc w:val="center"/>
        <w:rPr>
          <w:rFonts w:eastAsia="黑体"/>
          <w:sz w:val="36"/>
          <w:szCs w:val="32"/>
        </w:rPr>
      </w:pPr>
      <w:bookmarkStart w:id="0" w:name="_Toc337994106"/>
      <w:bookmarkStart w:id="1" w:name="_Toc358542805"/>
      <w:bookmarkStart w:id="2" w:name="_Toc357929297"/>
      <w:bookmarkStart w:id="3" w:name="_Toc358542354"/>
      <w:r>
        <w:rPr>
          <w:rFonts w:eastAsia="黑体"/>
          <w:sz w:val="36"/>
          <w:szCs w:val="32"/>
        </w:rPr>
        <w:t>前  言</w:t>
      </w:r>
    </w:p>
    <w:p>
      <w:pPr>
        <w:adjustRightInd w:val="0"/>
        <w:snapToGrid w:val="0"/>
        <w:spacing w:line="440" w:lineRule="exact"/>
        <w:ind w:firstLine="480"/>
        <w:jc w:val="left"/>
        <w:rPr>
          <w:sz w:val="24"/>
        </w:rPr>
      </w:pPr>
      <w:r>
        <w:rPr>
          <w:sz w:val="24"/>
        </w:rPr>
        <w:t>为深入贯彻落实北京城市总体规划，满足首都高质量发展的需要，</w:t>
      </w:r>
      <w:r>
        <w:rPr>
          <w:rFonts w:hint="eastAsia"/>
          <w:sz w:val="24"/>
        </w:rPr>
        <w:t>促进</w:t>
      </w:r>
      <w:r>
        <w:rPr>
          <w:sz w:val="24"/>
        </w:rPr>
        <w:t>轨道与城市功能不断融合，打造城市活力空间，为今后轨道交通与城市一体化规划建设提供科学依据，编制组在广泛调查研究，认真总结实践经验，吸取科研成果以及广泛征求意见的基础上，完成本</w:t>
      </w:r>
      <w:r>
        <w:rPr>
          <w:rFonts w:hint="eastAsia"/>
          <w:sz w:val="24"/>
        </w:rPr>
        <w:t>指南</w:t>
      </w:r>
      <w:r>
        <w:rPr>
          <w:sz w:val="24"/>
        </w:rPr>
        <w:t>的编制工作。</w:t>
      </w:r>
    </w:p>
    <w:p>
      <w:pPr>
        <w:adjustRightInd w:val="0"/>
        <w:snapToGrid w:val="0"/>
        <w:spacing w:line="440" w:lineRule="exact"/>
        <w:ind w:firstLine="480"/>
        <w:jc w:val="left"/>
        <w:rPr>
          <w:sz w:val="24"/>
        </w:rPr>
      </w:pPr>
      <w:r>
        <w:rPr>
          <w:sz w:val="24"/>
        </w:rPr>
        <w:t xml:space="preserve">本指南共分7章和1个附录。主要内容包括：1. 总则；2. 术语；3. 基本规定；4. </w:t>
      </w:r>
      <w:r>
        <w:rPr>
          <w:rFonts w:hint="eastAsia"/>
          <w:sz w:val="24"/>
        </w:rPr>
        <w:t>一体化分区分级</w:t>
      </w:r>
      <w:r>
        <w:rPr>
          <w:sz w:val="24"/>
        </w:rPr>
        <w:t xml:space="preserve">；5. </w:t>
      </w:r>
      <w:r>
        <w:rPr>
          <w:rFonts w:hint="eastAsia"/>
          <w:sz w:val="24"/>
        </w:rPr>
        <w:t>轨道</w:t>
      </w:r>
      <w:r>
        <w:rPr>
          <w:sz w:val="24"/>
        </w:rPr>
        <w:t>线路</w:t>
      </w:r>
      <w:r>
        <w:rPr>
          <w:rFonts w:hint="eastAsia"/>
          <w:sz w:val="24"/>
        </w:rPr>
        <w:t>一体化</w:t>
      </w:r>
      <w:r>
        <w:rPr>
          <w:sz w:val="24"/>
        </w:rPr>
        <w:t xml:space="preserve">；6. </w:t>
      </w:r>
      <w:r>
        <w:rPr>
          <w:rFonts w:hint="eastAsia"/>
          <w:sz w:val="24"/>
        </w:rPr>
        <w:t>轨道车</w:t>
      </w:r>
      <w:r>
        <w:rPr>
          <w:sz w:val="24"/>
        </w:rPr>
        <w:t>站</w:t>
      </w:r>
      <w:r>
        <w:rPr>
          <w:rFonts w:hint="eastAsia"/>
          <w:sz w:val="24"/>
        </w:rPr>
        <w:t>一体化</w:t>
      </w:r>
      <w:r>
        <w:rPr>
          <w:sz w:val="24"/>
        </w:rPr>
        <w:t>。</w:t>
      </w:r>
    </w:p>
    <w:p>
      <w:pPr>
        <w:adjustRightInd w:val="0"/>
        <w:snapToGrid w:val="0"/>
        <w:spacing w:line="440" w:lineRule="exact"/>
        <w:ind w:firstLine="480"/>
        <w:jc w:val="left"/>
        <w:rPr>
          <w:sz w:val="24"/>
        </w:rPr>
      </w:pPr>
      <w:r>
        <w:rPr>
          <w:sz w:val="24"/>
        </w:rPr>
        <w:t>本指南由北京市规划和自然资源委员会归口管理，</w:t>
      </w:r>
      <w:r>
        <w:rPr>
          <w:rFonts w:hint="eastAsia"/>
          <w:sz w:val="24"/>
        </w:rPr>
        <w:t>北京市规划和自然资源标准化中心日常管理，</w:t>
      </w:r>
      <w:r>
        <w:rPr>
          <w:sz w:val="24"/>
        </w:rPr>
        <w:t>北京市城市规划设计研究院负责具体技术内容解释</w:t>
      </w:r>
      <w:r>
        <w:rPr>
          <w:rFonts w:hint="eastAsia"/>
          <w:sz w:val="24"/>
        </w:rPr>
        <w:t>工作</w:t>
      </w:r>
      <w:r>
        <w:rPr>
          <w:sz w:val="24"/>
        </w:rPr>
        <w:t>。</w:t>
      </w:r>
    </w:p>
    <w:p>
      <w:pPr>
        <w:adjustRightInd w:val="0"/>
        <w:snapToGrid w:val="0"/>
        <w:spacing w:line="440" w:lineRule="exact"/>
        <w:ind w:firstLine="480"/>
        <w:jc w:val="left"/>
        <w:rPr>
          <w:sz w:val="24"/>
        </w:rPr>
      </w:pPr>
      <w:r>
        <w:rPr>
          <w:sz w:val="24"/>
        </w:rPr>
        <w:t>本指南执行过程中如有意见和建议，请寄送至北京市规划和自然资源标准化中心（</w:t>
      </w:r>
      <w:r>
        <w:rPr>
          <w:rFonts w:hint="eastAsia"/>
          <w:sz w:val="24"/>
        </w:rPr>
        <w:t>电话：55595000，邮箱：bjbb@ghzrzyw.beijing.gov.cn),</w:t>
      </w:r>
      <w:r>
        <w:rPr>
          <w:sz w:val="24"/>
        </w:rPr>
        <w:t>以供今后修订时参考。</w:t>
      </w:r>
    </w:p>
    <w:p>
      <w:pPr>
        <w:adjustRightInd w:val="0"/>
        <w:snapToGrid w:val="0"/>
        <w:spacing w:line="500" w:lineRule="exact"/>
        <w:ind w:firstLine="496" w:firstLineChars="200"/>
        <w:jc w:val="left"/>
        <w:rPr>
          <w:sz w:val="24"/>
        </w:rPr>
      </w:pPr>
      <w:r>
        <w:rPr>
          <w:sz w:val="24"/>
        </w:rPr>
        <w:t>主编单位：北京市城市规划设计研究院</w:t>
      </w:r>
    </w:p>
    <w:p>
      <w:pPr>
        <w:adjustRightInd w:val="0"/>
        <w:snapToGrid w:val="0"/>
        <w:spacing w:line="500" w:lineRule="exact"/>
        <w:ind w:firstLine="1736" w:firstLineChars="700"/>
        <w:jc w:val="left"/>
        <w:rPr>
          <w:sz w:val="24"/>
        </w:rPr>
      </w:pPr>
      <w:r>
        <w:rPr>
          <w:sz w:val="24"/>
        </w:rPr>
        <w:t>北京城建设计发展集团股份有限公司</w:t>
      </w:r>
    </w:p>
    <w:p>
      <w:pPr>
        <w:adjustRightInd w:val="0"/>
        <w:snapToGrid w:val="0"/>
        <w:spacing w:line="500" w:lineRule="exact"/>
        <w:ind w:firstLine="496" w:firstLineChars="200"/>
        <w:jc w:val="left"/>
        <w:rPr>
          <w:color w:val="000000" w:themeColor="text1"/>
          <w:sz w:val="24"/>
          <w14:textFill>
            <w14:solidFill>
              <w14:schemeClr w14:val="tx1"/>
            </w14:solidFill>
          </w14:textFill>
        </w:rPr>
      </w:pPr>
      <w:r>
        <w:rPr>
          <w:sz w:val="24"/>
        </w:rPr>
        <w:t>参编单位：</w:t>
      </w:r>
      <w:r>
        <w:rPr>
          <w:color w:val="000000" w:themeColor="text1"/>
          <w:sz w:val="24"/>
          <w14:textFill>
            <w14:solidFill>
              <w14:schemeClr w14:val="tx1"/>
            </w14:solidFill>
          </w14:textFill>
        </w:rPr>
        <w:t>北京市市政工程设计研究总院有限公司</w:t>
      </w:r>
    </w:p>
    <w:p>
      <w:pPr>
        <w:adjustRightInd w:val="0"/>
        <w:snapToGrid w:val="0"/>
        <w:spacing w:line="500" w:lineRule="exact"/>
        <w:ind w:firstLine="1736" w:firstLineChars="7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华通设计顾问工程有限公司</w:t>
      </w:r>
    </w:p>
    <w:p>
      <w:pPr>
        <w:adjustRightInd w:val="0"/>
        <w:snapToGrid w:val="0"/>
        <w:spacing w:line="500" w:lineRule="exact"/>
        <w:ind w:firstLine="1736" w:firstLineChars="7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北京市建筑设计研究院</w:t>
      </w:r>
      <w:r>
        <w:rPr>
          <w:rFonts w:hint="eastAsia"/>
          <w:color w:val="000000" w:themeColor="text1"/>
          <w:sz w:val="24"/>
          <w14:textFill>
            <w14:solidFill>
              <w14:schemeClr w14:val="tx1"/>
            </w14:solidFill>
          </w14:textFill>
        </w:rPr>
        <w:t>股份</w:t>
      </w:r>
      <w:r>
        <w:rPr>
          <w:color w:val="000000" w:themeColor="text1"/>
          <w:sz w:val="24"/>
          <w14:textFill>
            <w14:solidFill>
              <w14:schemeClr w14:val="tx1"/>
            </w14:solidFill>
          </w14:textFill>
        </w:rPr>
        <w:t>有限公司</w:t>
      </w:r>
    </w:p>
    <w:p>
      <w:pPr>
        <w:adjustRightInd w:val="0"/>
        <w:snapToGrid w:val="0"/>
        <w:spacing w:line="500" w:lineRule="exact"/>
        <w:ind w:firstLine="1736" w:firstLineChars="7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中规院（北京）规划设计有限公司</w:t>
      </w:r>
    </w:p>
    <w:p>
      <w:pPr>
        <w:adjustRightInd w:val="0"/>
        <w:snapToGrid w:val="0"/>
        <w:spacing w:line="500" w:lineRule="exact"/>
        <w:ind w:firstLine="1736" w:firstLineChars="7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北规院弘都规划建筑设计研究院有限公司</w:t>
      </w:r>
    </w:p>
    <w:p>
      <w:pPr>
        <w:adjustRightInd w:val="0"/>
        <w:snapToGrid w:val="0"/>
        <w:spacing w:line="500" w:lineRule="exact"/>
        <w:ind w:firstLine="1736" w:firstLineChars="7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北京市轨道交通设计研究院有限公司</w:t>
      </w:r>
    </w:p>
    <w:p>
      <w:pPr>
        <w:adjustRightInd w:val="0"/>
        <w:snapToGrid w:val="0"/>
        <w:spacing w:line="500" w:lineRule="exact"/>
        <w:ind w:firstLine="1736" w:firstLineChars="700"/>
        <w:jc w:val="left"/>
        <w:rPr>
          <w:sz w:val="24"/>
        </w:rPr>
      </w:pPr>
      <w:r>
        <w:rPr>
          <w:rFonts w:hint="eastAsia"/>
          <w:sz w:val="24"/>
        </w:rPr>
        <w:t>北京公联公路联络线有限责任公司</w:t>
      </w:r>
    </w:p>
    <w:p>
      <w:pPr>
        <w:adjustRightInd w:val="0"/>
        <w:snapToGrid w:val="0"/>
        <w:spacing w:line="500" w:lineRule="exact"/>
        <w:ind w:firstLine="496" w:firstLineChars="200"/>
        <w:jc w:val="left"/>
        <w:rPr>
          <w:color w:val="000000" w:themeColor="text1"/>
          <w:sz w:val="24"/>
          <w14:textFill>
            <w14:solidFill>
              <w14:schemeClr w14:val="tx1"/>
            </w14:solidFill>
          </w14:textFill>
        </w:rPr>
      </w:pPr>
      <w:r>
        <w:rPr>
          <w:sz w:val="24"/>
        </w:rPr>
        <w:t>主要起草人员：</w:t>
      </w:r>
    </w:p>
    <w:p>
      <w:pPr>
        <w:adjustRightInd w:val="0"/>
        <w:snapToGrid w:val="0"/>
        <w:spacing w:line="500" w:lineRule="exact"/>
        <w:ind w:firstLine="496" w:firstLineChars="200"/>
        <w:jc w:val="left"/>
        <w:rPr>
          <w:sz w:val="24"/>
        </w:rPr>
      </w:pPr>
      <w:r>
        <w:rPr>
          <w:sz w:val="24"/>
        </w:rPr>
        <w:t>主要</w:t>
      </w:r>
      <w:r>
        <w:rPr>
          <w:rFonts w:hint="eastAsia"/>
          <w:sz w:val="24"/>
        </w:rPr>
        <w:t>编审</w:t>
      </w:r>
      <w:r>
        <w:rPr>
          <w:sz w:val="24"/>
        </w:rPr>
        <w:t>人员：</w:t>
      </w:r>
    </w:p>
    <w:p>
      <w:pPr>
        <w:adjustRightInd w:val="0"/>
        <w:snapToGrid w:val="0"/>
        <w:spacing w:line="500" w:lineRule="exact"/>
        <w:ind w:firstLine="496" w:firstLineChars="200"/>
        <w:jc w:val="left"/>
        <w:rPr>
          <w:sz w:val="24"/>
        </w:rPr>
      </w:pPr>
      <w:r>
        <w:rPr>
          <w:rFonts w:hint="eastAsia"/>
          <w:sz w:val="24"/>
        </w:rPr>
        <w:t>主要审查人员：</w:t>
      </w:r>
    </w:p>
    <w:p>
      <w:pPr>
        <w:adjustRightInd w:val="0"/>
        <w:snapToGrid w:val="0"/>
        <w:spacing w:before="156" w:beforeLines="50" w:after="312"/>
        <w:ind w:left="2652" w:leftChars="202" w:hanging="2232" w:hangingChars="900"/>
        <w:jc w:val="left"/>
        <w:rPr>
          <w:sz w:val="24"/>
        </w:rPr>
      </w:pPr>
    </w:p>
    <w:p>
      <w:pPr>
        <w:pStyle w:val="2"/>
        <w:ind w:firstLine="560"/>
        <w:rPr>
          <w:rFonts w:hint="eastAsia"/>
        </w:rPr>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color w:val="auto"/>
          <w:spacing w:val="4"/>
          <w:kern w:val="2"/>
          <w:sz w:val="20"/>
          <w:szCs w:val="24"/>
          <w:lang w:val="zh-CN"/>
        </w:rPr>
        <w:id w:val="92052920"/>
        <w:docPartObj>
          <w:docPartGallery w:val="Table of Contents"/>
          <w:docPartUnique/>
        </w:docPartObj>
      </w:sdtPr>
      <w:sdtEndPr>
        <w:rPr>
          <w:rFonts w:ascii="Times New Roman" w:hAnsi="Times New Roman" w:eastAsia="宋体" w:cs="Times New Roman"/>
          <w:b/>
          <w:bCs/>
          <w:color w:val="auto"/>
          <w:spacing w:val="4"/>
          <w:kern w:val="2"/>
          <w:sz w:val="20"/>
          <w:szCs w:val="24"/>
          <w:lang w:val="zh-CN"/>
        </w:rPr>
      </w:sdtEndPr>
      <w:sdtContent>
        <w:p>
          <w:pPr>
            <w:pStyle w:val="48"/>
            <w:jc w:val="center"/>
            <w:rPr>
              <w:rFonts w:ascii="Times New Roman" w:hAnsi="Times New Roman" w:eastAsia="黑体" w:cs="Times New Roman"/>
              <w:color w:val="auto"/>
            </w:rPr>
          </w:pPr>
          <w:r>
            <w:rPr>
              <w:rFonts w:ascii="Times New Roman" w:hAnsi="Times New Roman" w:eastAsia="黑体" w:cs="Times New Roman"/>
              <w:color w:val="auto"/>
            </w:rPr>
            <w:t>目  次</w:t>
          </w:r>
        </w:p>
        <w:p>
          <w:pPr>
            <w:pStyle w:val="14"/>
            <w:rPr>
              <w:rFonts w:hint="eastAsia" w:asciiTheme="minorHAnsi" w:hAnsiTheme="minorHAnsi" w:eastAsiaTheme="minorEastAsia" w:cstheme="minorBidi"/>
              <w:spacing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"_Toc175668046" </w:instrText>
          </w:r>
          <w:r>
            <w:fldChar w:fldCharType="separate"/>
          </w:r>
          <w:r>
            <w:rPr>
              <w:rStyle w:val="25"/>
              <w:rFonts w:hint="eastAsia"/>
            </w:rPr>
            <w:t>1  总    则</w:t>
          </w:r>
          <w:r>
            <w:rPr>
              <w:rFonts w:hint="eastAsia"/>
            </w:rPr>
            <w:tab/>
          </w:r>
          <w:r>
            <w:rPr>
              <w:rFonts w:hint="eastAsia"/>
            </w:rPr>
            <w:fldChar w:fldCharType="begin"/>
          </w:r>
          <w:r>
            <w:rPr>
              <w:rFonts w:hint="eastAsia"/>
            </w:rPr>
            <w:instrText xml:space="preserve"> </w:instrText>
          </w:r>
          <w:r>
            <w:instrText xml:space="preserve">PAGEREF _Toc175668046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4"/>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"_Toc175668047" </w:instrText>
          </w:r>
          <w:r>
            <w:fldChar w:fldCharType="separate"/>
          </w:r>
          <w:r>
            <w:rPr>
              <w:rStyle w:val="25"/>
              <w:rFonts w:hint="eastAsia"/>
            </w:rPr>
            <w:t>2  术    语</w:t>
          </w:r>
          <w:r>
            <w:rPr>
              <w:rFonts w:hint="eastAsia"/>
            </w:rPr>
            <w:tab/>
          </w:r>
          <w:r>
            <w:rPr>
              <w:rFonts w:hint="eastAsia"/>
            </w:rPr>
            <w:fldChar w:fldCharType="begin"/>
          </w:r>
          <w:r>
            <w:rPr>
              <w:rFonts w:hint="eastAsia"/>
            </w:rPr>
            <w:instrText xml:space="preserve"> </w:instrText>
          </w:r>
          <w:r>
            <w:instrText xml:space="preserve">PAGEREF _Toc175668047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4"/>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"_Toc175668048" </w:instrText>
          </w:r>
          <w:r>
            <w:fldChar w:fldCharType="separate"/>
          </w:r>
          <w:r>
            <w:rPr>
              <w:rStyle w:val="25"/>
              <w:rFonts w:hint="eastAsia"/>
            </w:rPr>
            <w:t>3  基本规定</w:t>
          </w:r>
          <w:r>
            <w:rPr>
              <w:rFonts w:hint="eastAsia"/>
            </w:rPr>
            <w:tab/>
          </w:r>
          <w:r>
            <w:rPr>
              <w:rFonts w:hint="eastAsia"/>
            </w:rPr>
            <w:fldChar w:fldCharType="begin"/>
          </w:r>
          <w:r>
            <w:rPr>
              <w:rFonts w:hint="eastAsia"/>
            </w:rPr>
            <w:instrText xml:space="preserve"> </w:instrText>
          </w:r>
          <w:r>
            <w:instrText xml:space="preserve">PAGEREF _Toc175668048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4"/>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"_Toc175668049" </w:instrText>
          </w:r>
          <w:r>
            <w:fldChar w:fldCharType="separate"/>
          </w:r>
          <w:r>
            <w:rPr>
              <w:rStyle w:val="25"/>
              <w:rFonts w:hint="eastAsia"/>
            </w:rPr>
            <w:t>4  一体化分区分级</w:t>
          </w:r>
          <w:r>
            <w:rPr>
              <w:rFonts w:hint="eastAsia"/>
            </w:rPr>
            <w:tab/>
          </w:r>
          <w:r>
            <w:rPr>
              <w:rFonts w:hint="eastAsia"/>
            </w:rPr>
            <w:fldChar w:fldCharType="begin"/>
          </w:r>
          <w:r>
            <w:rPr>
              <w:rFonts w:hint="eastAsia"/>
            </w:rPr>
            <w:instrText xml:space="preserve"> </w:instrText>
          </w:r>
          <w:r>
            <w:instrText xml:space="preserve">PAGEREF _Toc175668049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"_Toc175668050" </w:instrText>
          </w:r>
          <w:r>
            <w:fldChar w:fldCharType="separate"/>
          </w:r>
          <w:r>
            <w:rPr>
              <w:rStyle w:val="25"/>
              <w:rFonts w:hint="eastAsia"/>
            </w:rPr>
            <w:t>4.1 一体化发展分区</w:t>
          </w:r>
          <w:r>
            <w:rPr>
              <w:rFonts w:hint="eastAsia"/>
            </w:rPr>
            <w:tab/>
          </w:r>
          <w:r>
            <w:rPr>
              <w:rFonts w:hint="eastAsia"/>
            </w:rPr>
            <w:fldChar w:fldCharType="begin"/>
          </w:r>
          <w:r>
            <w:rPr>
              <w:rFonts w:hint="eastAsia"/>
            </w:rPr>
            <w:instrText xml:space="preserve"> </w:instrText>
          </w:r>
          <w:r>
            <w:instrText xml:space="preserve">PAGEREF _Toc175668050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"_Toc175668051" </w:instrText>
          </w:r>
          <w:r>
            <w:fldChar w:fldCharType="separate"/>
          </w:r>
          <w:r>
            <w:rPr>
              <w:rStyle w:val="25"/>
              <w:rFonts w:hint="eastAsia"/>
            </w:rPr>
            <w:t>4.2 轨道交通车站分级</w:t>
          </w:r>
          <w:r>
            <w:rPr>
              <w:rFonts w:hint="eastAsia"/>
            </w:rPr>
            <w:tab/>
          </w:r>
          <w:r>
            <w:rPr>
              <w:rFonts w:hint="eastAsia"/>
            </w:rPr>
            <w:fldChar w:fldCharType="begin"/>
          </w:r>
          <w:r>
            <w:rPr>
              <w:rFonts w:hint="eastAsia"/>
            </w:rPr>
            <w:instrText xml:space="preserve"> </w:instrText>
          </w:r>
          <w:r>
            <w:instrText xml:space="preserve">PAGEREF _Toc175668051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4"/>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"_Toc175668052" </w:instrText>
          </w:r>
          <w:r>
            <w:fldChar w:fldCharType="separate"/>
          </w:r>
          <w:r>
            <w:rPr>
              <w:rStyle w:val="25"/>
              <w:rFonts w:hint="eastAsia"/>
            </w:rPr>
            <w:t>5  轨道线路一体化</w:t>
          </w:r>
          <w:r>
            <w:rPr>
              <w:rFonts w:hint="eastAsia"/>
            </w:rPr>
            <w:tab/>
          </w:r>
          <w:r>
            <w:rPr>
              <w:rFonts w:hint="eastAsia"/>
            </w:rPr>
            <w:fldChar w:fldCharType="begin"/>
          </w:r>
          <w:r>
            <w:rPr>
              <w:rFonts w:hint="eastAsia"/>
            </w:rPr>
            <w:instrText xml:space="preserve"> </w:instrText>
          </w:r>
          <w:r>
            <w:instrText xml:space="preserve">PAGEREF _Toc175668052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"_Toc175668053" </w:instrText>
          </w:r>
          <w:r>
            <w:fldChar w:fldCharType="separate"/>
          </w:r>
          <w:r>
            <w:rPr>
              <w:rStyle w:val="25"/>
              <w:rFonts w:hint="eastAsia"/>
            </w:rPr>
            <w:t>5.1 一般规定</w:t>
          </w:r>
          <w:r>
            <w:rPr>
              <w:rFonts w:hint="eastAsia"/>
            </w:rPr>
            <w:tab/>
          </w:r>
          <w:r>
            <w:rPr>
              <w:rFonts w:hint="eastAsia"/>
            </w:rPr>
            <w:fldChar w:fldCharType="begin"/>
          </w:r>
          <w:r>
            <w:rPr>
              <w:rFonts w:hint="eastAsia"/>
            </w:rPr>
            <w:instrText xml:space="preserve"> </w:instrText>
          </w:r>
          <w:r>
            <w:instrText xml:space="preserve">PAGEREF _Toc175668053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"_Toc175668054" </w:instrText>
          </w:r>
          <w:r>
            <w:fldChar w:fldCharType="separate"/>
          </w:r>
          <w:r>
            <w:rPr>
              <w:rStyle w:val="25"/>
              <w:rFonts w:hint="eastAsia"/>
            </w:rPr>
            <w:t>5.2 城市功能协同</w:t>
          </w:r>
          <w:r>
            <w:rPr>
              <w:rFonts w:hint="eastAsia"/>
            </w:rPr>
            <w:tab/>
          </w:r>
          <w:r>
            <w:rPr>
              <w:rFonts w:hint="eastAsia"/>
            </w:rPr>
            <w:fldChar w:fldCharType="begin"/>
          </w:r>
          <w:r>
            <w:rPr>
              <w:rFonts w:hint="eastAsia"/>
            </w:rPr>
            <w:instrText xml:space="preserve"> </w:instrText>
          </w:r>
          <w:r>
            <w:instrText xml:space="preserve">PAGEREF _Toc175668054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"_Toc175668055" </w:instrText>
          </w:r>
          <w:r>
            <w:fldChar w:fldCharType="separate"/>
          </w:r>
          <w:r>
            <w:rPr>
              <w:rStyle w:val="25"/>
              <w:rFonts w:hint="eastAsia"/>
            </w:rPr>
            <w:t>5.3 交通协同</w:t>
          </w:r>
          <w:r>
            <w:rPr>
              <w:rFonts w:hint="eastAsia"/>
            </w:rPr>
            <w:tab/>
          </w:r>
          <w:r>
            <w:rPr>
              <w:rFonts w:hint="eastAsia"/>
            </w:rPr>
            <w:fldChar w:fldCharType="begin"/>
          </w:r>
          <w:r>
            <w:rPr>
              <w:rFonts w:hint="eastAsia"/>
            </w:rPr>
            <w:instrText xml:space="preserve"> </w:instrText>
          </w:r>
          <w:r>
            <w:instrText xml:space="preserve">PAGEREF _Toc175668055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"_Toc175668056" </w:instrText>
          </w:r>
          <w:r>
            <w:fldChar w:fldCharType="separate"/>
          </w:r>
          <w:r>
            <w:rPr>
              <w:rStyle w:val="25"/>
              <w:rFonts w:hint="eastAsia"/>
            </w:rPr>
            <w:t>5.4 市政协同</w:t>
          </w:r>
          <w:r>
            <w:rPr>
              <w:rFonts w:hint="eastAsia"/>
            </w:rPr>
            <w:tab/>
          </w:r>
          <w:r>
            <w:rPr>
              <w:rFonts w:hint="eastAsia"/>
            </w:rPr>
            <w:fldChar w:fldCharType="begin"/>
          </w:r>
          <w:r>
            <w:rPr>
              <w:rFonts w:hint="eastAsia"/>
            </w:rPr>
            <w:instrText xml:space="preserve"> </w:instrText>
          </w:r>
          <w:r>
            <w:instrText xml:space="preserve">PAGEREF _Toc175668056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"_Toc175668057" </w:instrText>
          </w:r>
          <w:r>
            <w:fldChar w:fldCharType="separate"/>
          </w:r>
          <w:r>
            <w:rPr>
              <w:rStyle w:val="25"/>
              <w:rFonts w:hint="eastAsia"/>
            </w:rPr>
            <w:t>5.5 地下空间</w:t>
          </w:r>
          <w:r>
            <w:rPr>
              <w:rFonts w:hint="eastAsia"/>
            </w:rPr>
            <w:tab/>
          </w:r>
          <w:r>
            <w:rPr>
              <w:rFonts w:hint="eastAsia"/>
            </w:rPr>
            <w:fldChar w:fldCharType="begin"/>
          </w:r>
          <w:r>
            <w:rPr>
              <w:rFonts w:hint="eastAsia"/>
            </w:rPr>
            <w:instrText xml:space="preserve"> </w:instrText>
          </w:r>
          <w:r>
            <w:instrText xml:space="preserve">PAGEREF _Toc175668057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"_Toc175668058" </w:instrText>
          </w:r>
          <w:r>
            <w:fldChar w:fldCharType="separate"/>
          </w:r>
          <w:r>
            <w:rPr>
              <w:rStyle w:val="25"/>
              <w:rFonts w:hint="eastAsia"/>
            </w:rPr>
            <w:t>5.6 用地控制</w:t>
          </w:r>
          <w:r>
            <w:rPr>
              <w:rFonts w:hint="eastAsia"/>
            </w:rPr>
            <w:tab/>
          </w:r>
          <w:r>
            <w:rPr>
              <w:rFonts w:hint="eastAsia"/>
            </w:rPr>
            <w:fldChar w:fldCharType="begin"/>
          </w:r>
          <w:r>
            <w:rPr>
              <w:rFonts w:hint="eastAsia"/>
            </w:rPr>
            <w:instrText xml:space="preserve"> </w:instrText>
          </w:r>
          <w:r>
            <w:instrText xml:space="preserve">PAGEREF _Toc175668058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4"/>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"_Toc175668059" </w:instrText>
          </w:r>
          <w:r>
            <w:fldChar w:fldCharType="separate"/>
          </w:r>
          <w:r>
            <w:rPr>
              <w:rStyle w:val="25"/>
              <w:rFonts w:hint="eastAsia"/>
            </w:rPr>
            <w:t>6  轨道车站一体化</w:t>
          </w:r>
          <w:r>
            <w:rPr>
              <w:rFonts w:hint="eastAsia"/>
            </w:rPr>
            <w:tab/>
          </w:r>
          <w:r>
            <w:rPr>
              <w:rFonts w:hint="eastAsia"/>
            </w:rPr>
            <w:fldChar w:fldCharType="begin"/>
          </w:r>
          <w:r>
            <w:rPr>
              <w:rFonts w:hint="eastAsia"/>
            </w:rPr>
            <w:instrText xml:space="preserve"> </w:instrText>
          </w:r>
          <w:r>
            <w:instrText xml:space="preserve">PAGEREF _Toc175668059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"_Toc175668060" </w:instrText>
          </w:r>
          <w:r>
            <w:fldChar w:fldCharType="separate"/>
          </w:r>
          <w:r>
            <w:rPr>
              <w:rStyle w:val="25"/>
              <w:rFonts w:hint="eastAsia"/>
            </w:rPr>
            <w:t>6.1 一般规定</w:t>
          </w:r>
          <w:r>
            <w:rPr>
              <w:rFonts w:hint="eastAsia"/>
            </w:rPr>
            <w:tab/>
          </w:r>
          <w:r>
            <w:rPr>
              <w:rFonts w:hint="eastAsia"/>
            </w:rPr>
            <w:fldChar w:fldCharType="begin"/>
          </w:r>
          <w:r>
            <w:rPr>
              <w:rFonts w:hint="eastAsia"/>
            </w:rPr>
            <w:instrText xml:space="preserve"> </w:instrText>
          </w:r>
          <w:r>
            <w:instrText xml:space="preserve">PAGEREF _Toc175668060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"_Toc175668061" </w:instrText>
          </w:r>
          <w:r>
            <w:fldChar w:fldCharType="separate"/>
          </w:r>
          <w:r>
            <w:rPr>
              <w:rStyle w:val="25"/>
              <w:rFonts w:hint="eastAsia"/>
            </w:rPr>
            <w:t>6.2 用地规划</w:t>
          </w:r>
          <w:r>
            <w:rPr>
              <w:rFonts w:hint="eastAsia"/>
            </w:rPr>
            <w:tab/>
          </w:r>
          <w:r>
            <w:rPr>
              <w:rFonts w:hint="eastAsia"/>
            </w:rPr>
            <w:fldChar w:fldCharType="begin"/>
          </w:r>
          <w:r>
            <w:rPr>
              <w:rFonts w:hint="eastAsia"/>
            </w:rPr>
            <w:instrText xml:space="preserve"> </w:instrText>
          </w:r>
          <w:r>
            <w:instrText xml:space="preserve">PAGEREF _Toc175668061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"_Toc175668062" </w:instrText>
          </w:r>
          <w:r>
            <w:fldChar w:fldCharType="separate"/>
          </w:r>
          <w:r>
            <w:rPr>
              <w:rStyle w:val="25"/>
              <w:rFonts w:hint="eastAsia"/>
            </w:rPr>
            <w:t>6.3 交通一体化</w:t>
          </w:r>
          <w:r>
            <w:rPr>
              <w:rFonts w:hint="eastAsia"/>
            </w:rPr>
            <w:tab/>
          </w:r>
          <w:r>
            <w:rPr>
              <w:rFonts w:hint="eastAsia"/>
            </w:rPr>
            <w:fldChar w:fldCharType="begin"/>
          </w:r>
          <w:r>
            <w:rPr>
              <w:rFonts w:hint="eastAsia"/>
            </w:rPr>
            <w:instrText xml:space="preserve"> </w:instrText>
          </w:r>
          <w:r>
            <w:instrText xml:space="preserve">PAGEREF _Toc175668062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"_Toc175668063" </w:instrText>
          </w:r>
          <w:r>
            <w:fldChar w:fldCharType="separate"/>
          </w:r>
          <w:r>
            <w:rPr>
              <w:rStyle w:val="25"/>
              <w:rFonts w:hint="eastAsia"/>
            </w:rPr>
            <w:t>6.4 市政一体化</w:t>
          </w:r>
          <w:r>
            <w:rPr>
              <w:rFonts w:hint="eastAsia"/>
            </w:rPr>
            <w:tab/>
          </w:r>
          <w:r>
            <w:rPr>
              <w:rFonts w:hint="eastAsia"/>
            </w:rPr>
            <w:fldChar w:fldCharType="begin"/>
          </w:r>
          <w:r>
            <w:rPr>
              <w:rFonts w:hint="eastAsia"/>
            </w:rPr>
            <w:instrText xml:space="preserve"> </w:instrText>
          </w:r>
          <w:r>
            <w:instrText xml:space="preserve">PAGEREF _Toc175668063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"_Toc175668064" </w:instrText>
          </w:r>
          <w:r>
            <w:fldChar w:fldCharType="separate"/>
          </w:r>
          <w:r>
            <w:rPr>
              <w:rStyle w:val="25"/>
              <w:rFonts w:hint="eastAsia"/>
            </w:rPr>
            <w:t>6.5 车站附属</w:t>
          </w:r>
          <w:r>
            <w:rPr>
              <w:rFonts w:hint="eastAsia"/>
            </w:rPr>
            <w:tab/>
          </w:r>
          <w:r>
            <w:rPr>
              <w:rFonts w:hint="eastAsia"/>
            </w:rPr>
            <w:fldChar w:fldCharType="begin"/>
          </w:r>
          <w:r>
            <w:rPr>
              <w:rFonts w:hint="eastAsia"/>
            </w:rPr>
            <w:instrText xml:space="preserve"> </w:instrText>
          </w:r>
          <w:r>
            <w:instrText xml:space="preserve">PAGEREF _Toc175668064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"_Toc175668065" </w:instrText>
          </w:r>
          <w:r>
            <w:fldChar w:fldCharType="separate"/>
          </w:r>
          <w:r>
            <w:rPr>
              <w:rStyle w:val="25"/>
              <w:rFonts w:hint="eastAsia"/>
            </w:rPr>
            <w:t xml:space="preserve">6.6 </w:t>
          </w:r>
          <w:r>
            <w:rPr>
              <w:rStyle w:val="25"/>
              <w:rFonts w:hint="eastAsia"/>
              <w:lang w:eastAsia="zh-Hans"/>
            </w:rPr>
            <w:t>城市公共空间</w:t>
          </w:r>
          <w:r>
            <w:rPr>
              <w:rFonts w:hint="eastAsia"/>
            </w:rPr>
            <w:tab/>
          </w:r>
          <w:r>
            <w:rPr>
              <w:rFonts w:hint="eastAsia"/>
            </w:rPr>
            <w:fldChar w:fldCharType="begin"/>
          </w:r>
          <w:r>
            <w:rPr>
              <w:rFonts w:hint="eastAsia"/>
            </w:rPr>
            <w:instrText xml:space="preserve"> </w:instrText>
          </w:r>
          <w:r>
            <w:instrText xml:space="preserve">PAGEREF _Toc175668065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"_Toc175668066" </w:instrText>
          </w:r>
          <w:r>
            <w:fldChar w:fldCharType="separate"/>
          </w:r>
          <w:r>
            <w:rPr>
              <w:rStyle w:val="25"/>
              <w:rFonts w:hint="eastAsia"/>
            </w:rPr>
            <w:t>6.7 地下空间</w:t>
          </w:r>
          <w:r>
            <w:rPr>
              <w:rFonts w:hint="eastAsia"/>
            </w:rPr>
            <w:tab/>
          </w:r>
          <w:r>
            <w:rPr>
              <w:rFonts w:hint="eastAsia"/>
            </w:rPr>
            <w:fldChar w:fldCharType="begin"/>
          </w:r>
          <w:r>
            <w:rPr>
              <w:rFonts w:hint="eastAsia"/>
            </w:rPr>
            <w:instrText xml:space="preserve"> </w:instrText>
          </w:r>
          <w:r>
            <w:instrText xml:space="preserve">PAGEREF _Toc175668066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"_Toc175668067" </w:instrText>
          </w:r>
          <w:r>
            <w:fldChar w:fldCharType="separate"/>
          </w:r>
          <w:r>
            <w:rPr>
              <w:rStyle w:val="25"/>
              <w:rFonts w:hint="eastAsia"/>
            </w:rPr>
            <w:t>6.8 人性化与智能化</w:t>
          </w:r>
          <w:r>
            <w:rPr>
              <w:rFonts w:hint="eastAsia"/>
            </w:rPr>
            <w:tab/>
          </w:r>
          <w:r>
            <w:rPr>
              <w:rFonts w:hint="eastAsia"/>
            </w:rPr>
            <w:fldChar w:fldCharType="begin"/>
          </w:r>
          <w:r>
            <w:rPr>
              <w:rFonts w:hint="eastAsia"/>
            </w:rPr>
            <w:instrText xml:space="preserve"> </w:instrText>
          </w:r>
          <w:r>
            <w:instrText xml:space="preserve">PAGEREF _Toc175668067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4"/>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"_Toc175668068" </w:instrText>
          </w:r>
          <w:r>
            <w:fldChar w:fldCharType="separate"/>
          </w:r>
          <w:r>
            <w:rPr>
              <w:rStyle w:val="25"/>
              <w:rFonts w:hint="eastAsia"/>
            </w:rPr>
            <w:t>附录</w:t>
          </w:r>
          <w:r>
            <w:rPr>
              <w:rFonts w:hint="eastAsia"/>
            </w:rPr>
            <w:tab/>
          </w:r>
          <w:r>
            <w:rPr>
              <w:rFonts w:hint="eastAsia"/>
            </w:rPr>
            <w:fldChar w:fldCharType="begin"/>
          </w:r>
          <w:r>
            <w:rPr>
              <w:rFonts w:hint="eastAsia"/>
            </w:rPr>
            <w:instrText xml:space="preserve"> </w:instrText>
          </w:r>
          <w:r>
            <w:instrText xml:space="preserve">PAGEREF _Toc175668068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16"/>
            <w:tabs>
              <w:tab w:val="right" w:leader="dot" w:pos="8296"/>
            </w:tabs>
            <w:ind w:left="416"/>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"_Toc175668069" </w:instrText>
          </w:r>
          <w:r>
            <w:fldChar w:fldCharType="separate"/>
          </w:r>
          <w:r>
            <w:rPr>
              <w:rStyle w:val="25"/>
              <w:rFonts w:hint="eastAsia"/>
            </w:rPr>
            <w:t>A 技术指标与计算方法</w:t>
          </w:r>
          <w:r>
            <w:rPr>
              <w:rFonts w:hint="eastAsia"/>
            </w:rPr>
            <w:tab/>
          </w:r>
          <w:r>
            <w:rPr>
              <w:rFonts w:hint="eastAsia"/>
            </w:rPr>
            <w:fldChar w:fldCharType="begin"/>
          </w:r>
          <w:r>
            <w:rPr>
              <w:rFonts w:hint="eastAsia"/>
            </w:rPr>
            <w:instrText xml:space="preserve"> </w:instrText>
          </w:r>
          <w:r>
            <w:instrText xml:space="preserve">PAGEREF _Toc175668069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14"/>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"_Toc175668070" </w:instrText>
          </w:r>
          <w:r>
            <w:fldChar w:fldCharType="separate"/>
          </w:r>
          <w:r>
            <w:rPr>
              <w:rStyle w:val="25"/>
              <w:rFonts w:hint="eastAsia"/>
            </w:rPr>
            <w:t>本规范用词说明</w:t>
          </w:r>
          <w:r>
            <w:rPr>
              <w:rFonts w:hint="eastAsia"/>
            </w:rPr>
            <w:tab/>
          </w:r>
          <w:r>
            <w:rPr>
              <w:rFonts w:hint="eastAsia"/>
            </w:rPr>
            <w:fldChar w:fldCharType="begin"/>
          </w:r>
          <w:r>
            <w:rPr>
              <w:rFonts w:hint="eastAsia"/>
            </w:rPr>
            <w:instrText xml:space="preserve"> </w:instrText>
          </w:r>
          <w:r>
            <w:instrText xml:space="preserve">PAGEREF _Toc175668070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14"/>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"_Toc175668071" </w:instrText>
          </w:r>
          <w:r>
            <w:fldChar w:fldCharType="separate"/>
          </w:r>
          <w:r>
            <w:rPr>
              <w:rStyle w:val="25"/>
              <w:rFonts w:hint="eastAsia"/>
            </w:rPr>
            <w:t>引用标准名录</w:t>
          </w:r>
          <w:r>
            <w:rPr>
              <w:rFonts w:hint="eastAsia"/>
            </w:rPr>
            <w:tab/>
          </w:r>
          <w:r>
            <w:rPr>
              <w:rFonts w:hint="eastAsia"/>
            </w:rPr>
            <w:fldChar w:fldCharType="begin"/>
          </w:r>
          <w:r>
            <w:rPr>
              <w:rFonts w:hint="eastAsia"/>
            </w:rPr>
            <w:instrText xml:space="preserve"> </w:instrText>
          </w:r>
          <w:r>
            <w:instrText xml:space="preserve">PAGEREF _Toc175668071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r>
            <w:rPr>
              <w:b/>
              <w:bCs/>
              <w:lang w:val="zh-CN"/>
            </w:rPr>
            <w:fldChar w:fldCharType="end"/>
          </w:r>
        </w:p>
      </w:sdtContent>
    </w:sdt>
    <w:p>
      <w:pPr>
        <w:adjustRightInd w:val="0"/>
        <w:snapToGrid w:val="0"/>
        <w:spacing w:before="156" w:beforeLines="50" w:after="312"/>
        <w:ind w:left="2652" w:leftChars="202" w:hanging="2232" w:hangingChars="900"/>
        <w:jc w:val="left"/>
        <w:rPr>
          <w:sz w:val="24"/>
        </w:rPr>
      </w:pPr>
    </w:p>
    <w:p>
      <w:pPr>
        <w:adjustRightInd w:val="0"/>
        <w:snapToGrid w:val="0"/>
        <w:spacing w:before="156" w:beforeLines="50" w:after="312"/>
        <w:ind w:left="2652" w:leftChars="202" w:hanging="2232" w:hangingChars="900"/>
        <w:jc w:val="left"/>
        <w:rPr>
          <w:sz w:val="24"/>
        </w:rPr>
      </w:pPr>
    </w:p>
    <w:p>
      <w:pPr>
        <w:pStyle w:val="3"/>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3"/>
        <w:rPr>
          <w:rFonts w:ascii="Times New Roman" w:hAnsi="Times New Roman" w:cs="Times New Roman"/>
        </w:rPr>
      </w:pPr>
      <w:bookmarkStart w:id="4" w:name="_Toc175668046"/>
      <w:r>
        <w:rPr>
          <w:rFonts w:ascii="Times New Roman" w:hAnsi="Times New Roman" w:cs="Times New Roman"/>
        </w:rPr>
        <w:t>1  总    则</w:t>
      </w:r>
      <w:bookmarkEnd w:id="0"/>
      <w:bookmarkEnd w:id="1"/>
      <w:bookmarkEnd w:id="2"/>
      <w:bookmarkEnd w:id="3"/>
      <w:bookmarkEnd w:id="4"/>
    </w:p>
    <w:p>
      <w:pPr>
        <w:rPr>
          <w:szCs w:val="20"/>
        </w:rPr>
      </w:pPr>
      <w:r>
        <w:rPr>
          <w:szCs w:val="20"/>
        </w:rPr>
        <w:t>1.0.1  为深入贯彻落实北京城市总体规划，充分发挥</w:t>
      </w:r>
      <w:r>
        <w:rPr>
          <w:rFonts w:hint="eastAsia"/>
          <w:szCs w:val="20"/>
        </w:rPr>
        <w:t>城市</w:t>
      </w:r>
      <w:r>
        <w:rPr>
          <w:szCs w:val="20"/>
        </w:rPr>
        <w:t>轨道交通对城市高质量发展的引领作用，围绕轨道交通与城市协调发展，</w:t>
      </w:r>
      <w:r>
        <w:rPr>
          <w:rFonts w:hint="eastAsia"/>
          <w:szCs w:val="20"/>
        </w:rPr>
        <w:t>规范</w:t>
      </w:r>
      <w:r>
        <w:rPr>
          <w:szCs w:val="20"/>
        </w:rPr>
        <w:t>北京市轨道交通一体化规划设计</w:t>
      </w:r>
      <w:r>
        <w:rPr>
          <w:rFonts w:hint="eastAsia"/>
          <w:szCs w:val="20"/>
        </w:rPr>
        <w:t>与实施</w:t>
      </w:r>
      <w:r>
        <w:rPr>
          <w:szCs w:val="20"/>
        </w:rPr>
        <w:t>要求，根据有关法律、法规、规章、政策和技术规范，制定本指南。</w:t>
      </w:r>
    </w:p>
    <w:p>
      <w:pPr>
        <w:rPr>
          <w:szCs w:val="20"/>
        </w:rPr>
      </w:pPr>
      <w:r>
        <w:rPr>
          <w:szCs w:val="20"/>
        </w:rPr>
        <w:t>1.0.2  本指南适用于</w:t>
      </w:r>
      <w:r>
        <w:rPr>
          <w:rFonts w:hint="eastAsia"/>
          <w:szCs w:val="20"/>
        </w:rPr>
        <w:t>北京市市域范围内的城市轨道交通一体化的规划设计。</w:t>
      </w:r>
    </w:p>
    <w:p>
      <w:pPr>
        <w:ind w:firstLine="416" w:firstLineChars="200"/>
        <w:rPr>
          <w:rFonts w:ascii="仿宋_GB2312" w:eastAsia="仿宋_GB2312"/>
          <w:szCs w:val="20"/>
        </w:rPr>
      </w:pPr>
      <w:r>
        <w:rPr>
          <w:rFonts w:hint="eastAsia" w:ascii="仿宋_GB2312" w:eastAsia="仿宋_GB2312"/>
          <w:szCs w:val="20"/>
        </w:rPr>
        <w:t>《北京市轨道交通场站与周边用地一体化规划建设实施细则（试行）》（</w:t>
      </w:r>
      <w:r>
        <w:rPr>
          <w:rFonts w:ascii="仿宋_GB2312" w:eastAsia="仿宋_GB2312"/>
          <w:szCs w:val="20"/>
        </w:rPr>
        <w:t>2022</w:t>
      </w:r>
      <w:r>
        <w:rPr>
          <w:rFonts w:hint="eastAsia" w:ascii="仿宋_GB2312" w:eastAsia="仿宋_GB2312"/>
          <w:szCs w:val="20"/>
        </w:rPr>
        <w:t>年印发实施）中将一体化工作划分为线路一体化规划、场站一体化方案、工程一体化设计三个阶段。本指南结合实施细则中线路一体化规划与场站一体化方案两个阶段的工作要求，围绕线路和车站层面一体化提出指南要求，并与《站城一体化工程规划设计标准》</w:t>
      </w:r>
      <w:r>
        <w:rPr>
          <w:rFonts w:ascii="仿宋_GB2312" w:eastAsia="仿宋_GB2312"/>
          <w:szCs w:val="20"/>
        </w:rPr>
        <w:t>DB11/T 2129-2023</w:t>
      </w:r>
      <w:r>
        <w:rPr>
          <w:rFonts w:hint="eastAsia" w:ascii="仿宋_GB2312" w:eastAsia="仿宋_GB2312"/>
          <w:szCs w:val="20"/>
        </w:rPr>
        <w:t>和《关于进一步做好我市轨道交通线路一体化规划方案编制及管理工作的意见（试行）》相衔接。</w:t>
      </w:r>
    </w:p>
    <w:p>
      <w:pPr>
        <w:rPr>
          <w:szCs w:val="20"/>
        </w:rPr>
      </w:pPr>
      <w:r>
        <w:rPr>
          <w:rFonts w:hint="eastAsia"/>
          <w:szCs w:val="20"/>
        </w:rPr>
        <w:t>1</w:t>
      </w:r>
      <w:r>
        <w:rPr>
          <w:szCs w:val="20"/>
        </w:rPr>
        <w:t xml:space="preserve">.0.3  </w:t>
      </w:r>
      <w:r>
        <w:rPr>
          <w:rFonts w:hint="eastAsia"/>
          <w:szCs w:val="20"/>
        </w:rPr>
        <w:t>北京</w:t>
      </w:r>
      <w:r>
        <w:rPr>
          <w:szCs w:val="20"/>
        </w:rPr>
        <w:t>轨道</w:t>
      </w:r>
      <w:r>
        <w:rPr>
          <w:rFonts w:hint="eastAsia"/>
          <w:szCs w:val="20"/>
        </w:rPr>
        <w:t>交通</w:t>
      </w:r>
      <w:r>
        <w:rPr>
          <w:szCs w:val="20"/>
        </w:rPr>
        <w:t>一体化规划设计</w:t>
      </w:r>
      <w:r>
        <w:rPr>
          <w:rFonts w:hint="eastAsia"/>
          <w:szCs w:val="20"/>
        </w:rPr>
        <w:t>应遵循以人为本、绿色低碳、高效便捷、活力共享原则，通过差异化的空间融合、功能协调、服务一体等多种方式，加强轨道与城市空间（功能、形态、密度）融合，提升轨道交通服务水平，充分发挥轨道对城市发展的带动作用。</w:t>
      </w:r>
    </w:p>
    <w:p>
      <w:pPr>
        <w:rPr>
          <w:szCs w:val="20"/>
        </w:rPr>
      </w:pPr>
      <w:r>
        <w:rPr>
          <w:szCs w:val="20"/>
        </w:rPr>
        <w:t>1.0.4  北京市轨道</w:t>
      </w:r>
      <w:r>
        <w:rPr>
          <w:rFonts w:hint="eastAsia"/>
          <w:szCs w:val="20"/>
        </w:rPr>
        <w:t>交通</w:t>
      </w:r>
      <w:r>
        <w:rPr>
          <w:szCs w:val="20"/>
        </w:rPr>
        <w:t>一体化规划设计除应符合本指南外，尚应符合国家及北京市现行有关标准的规定。</w:t>
      </w:r>
    </w:p>
    <w:p>
      <w:pPr>
        <w:pStyle w:val="3"/>
        <w:rPr>
          <w:rFonts w:ascii="Times New Roman" w:hAnsi="Times New Roman" w:cs="Times New Roman"/>
        </w:rPr>
        <w:sectPr>
          <w:footerReference r:id="rId6" w:type="default"/>
          <w:pgSz w:w="11906" w:h="16838"/>
          <w:pgMar w:top="1440" w:right="1800" w:bottom="1440" w:left="1800" w:header="851" w:footer="992" w:gutter="0"/>
          <w:pgNumType w:start="1"/>
          <w:cols w:space="425" w:num="1"/>
          <w:docGrid w:type="lines" w:linePitch="312" w:charSpace="0"/>
        </w:sectPr>
      </w:pPr>
      <w:r>
        <w:rPr>
          <w:rFonts w:ascii="Times New Roman" w:hAnsi="Times New Roman" w:cs="Times New Roman"/>
        </w:rPr>
        <w:br w:type="page"/>
      </w:r>
      <w:bookmarkStart w:id="5" w:name="_Toc358542806"/>
      <w:bookmarkStart w:id="6" w:name="_Toc358542355"/>
    </w:p>
    <w:p>
      <w:pPr>
        <w:pStyle w:val="3"/>
        <w:rPr>
          <w:rFonts w:ascii="Times New Roman" w:hAnsi="Times New Roman" w:cs="Times New Roman"/>
        </w:rPr>
      </w:pPr>
      <w:bookmarkStart w:id="7" w:name="_Toc175668047"/>
      <w:r>
        <w:rPr>
          <w:rFonts w:ascii="Times New Roman" w:hAnsi="Times New Roman" w:cs="Times New Roman"/>
        </w:rPr>
        <w:t>2  术    语</w:t>
      </w:r>
      <w:bookmarkEnd w:id="5"/>
      <w:bookmarkEnd w:id="6"/>
      <w:bookmarkEnd w:id="7"/>
    </w:p>
    <w:p>
      <w:pPr>
        <w:rPr>
          <w:szCs w:val="20"/>
        </w:rPr>
      </w:pPr>
      <w:r>
        <w:rPr>
          <w:rFonts w:hint="eastAsia"/>
          <w:szCs w:val="20"/>
        </w:rPr>
        <w:t>2</w:t>
      </w:r>
      <w:r>
        <w:rPr>
          <w:szCs w:val="20"/>
        </w:rPr>
        <w:t xml:space="preserve">.0.1  </w:t>
      </w:r>
      <w:r>
        <w:rPr>
          <w:rFonts w:hint="eastAsia"/>
          <w:szCs w:val="20"/>
        </w:rPr>
        <w:t xml:space="preserve">轨道交通与城市空间一体化 </w:t>
      </w:r>
      <w:r>
        <w:rPr>
          <w:szCs w:val="20"/>
        </w:rPr>
        <w:t>Rail transit integration</w:t>
      </w:r>
    </w:p>
    <w:p>
      <w:pPr>
        <w:ind w:firstLine="416" w:firstLineChars="200"/>
        <w:rPr>
          <w:szCs w:val="20"/>
        </w:rPr>
      </w:pPr>
      <w:r>
        <w:rPr>
          <w:rFonts w:hint="eastAsia"/>
          <w:szCs w:val="20"/>
        </w:rPr>
        <w:t>为了提升乘客轨道出行便利度，提供多样化服务，提高城市运行及资源利用效率，优化城市空间品质，通过空间融合、功能协调、服务一体等多种方式促进轨道交通与城市更紧密、有机地结合在一起。</w:t>
      </w:r>
    </w:p>
    <w:p>
      <w:pPr>
        <w:rPr>
          <w:szCs w:val="20"/>
        </w:rPr>
      </w:pPr>
      <w:r>
        <w:rPr>
          <w:szCs w:val="20"/>
        </w:rPr>
        <w:t>2.0.</w:t>
      </w:r>
      <w:r>
        <w:rPr>
          <w:rFonts w:hint="eastAsia"/>
          <w:szCs w:val="20"/>
        </w:rPr>
        <w:t>2</w:t>
      </w:r>
      <w:r>
        <w:rPr>
          <w:szCs w:val="20"/>
        </w:rPr>
        <w:t xml:space="preserve">  </w:t>
      </w:r>
      <w:r>
        <w:rPr>
          <w:rFonts w:hint="eastAsia"/>
          <w:szCs w:val="20"/>
        </w:rPr>
        <w:t>车站</w:t>
      </w:r>
      <w:r>
        <w:rPr>
          <w:szCs w:val="20"/>
        </w:rPr>
        <w:t>一体化核心范围 Integrated core scope of rail transit station</w:t>
      </w:r>
    </w:p>
    <w:p>
      <w:pPr>
        <w:ind w:firstLine="420"/>
        <w:rPr>
          <w:szCs w:val="20"/>
        </w:rPr>
      </w:pPr>
      <w:r>
        <w:rPr>
          <w:rFonts w:hint="eastAsia"/>
          <w:szCs w:val="20"/>
        </w:rPr>
        <w:t>轨道车站周边按照以车站为中心300米半径覆盖范围。</w:t>
      </w:r>
    </w:p>
    <w:p>
      <w:pPr>
        <w:rPr>
          <w:szCs w:val="20"/>
        </w:rPr>
      </w:pPr>
      <w:r>
        <w:rPr>
          <w:szCs w:val="20"/>
        </w:rPr>
        <w:t>2.0.</w:t>
      </w:r>
      <w:r>
        <w:rPr>
          <w:rFonts w:hint="eastAsia"/>
          <w:szCs w:val="20"/>
        </w:rPr>
        <w:t>3</w:t>
      </w:r>
      <w:r>
        <w:rPr>
          <w:szCs w:val="20"/>
        </w:rPr>
        <w:t xml:space="preserve">  </w:t>
      </w:r>
      <w:r>
        <w:rPr>
          <w:rFonts w:hint="eastAsia"/>
          <w:szCs w:val="20"/>
        </w:rPr>
        <w:t>车站</w:t>
      </w:r>
      <w:r>
        <w:rPr>
          <w:szCs w:val="20"/>
        </w:rPr>
        <w:t>一体化研究范围 Integrated research scope of rail transit station</w:t>
      </w:r>
    </w:p>
    <w:p>
      <w:pPr>
        <w:ind w:firstLine="420"/>
        <w:rPr>
          <w:szCs w:val="20"/>
        </w:rPr>
      </w:pPr>
      <w:r>
        <w:rPr>
          <w:szCs w:val="20"/>
        </w:rPr>
        <w:t>轨道车站周边按照</w:t>
      </w:r>
      <w:r>
        <w:rPr>
          <w:rFonts w:hint="eastAsia"/>
          <w:szCs w:val="20"/>
        </w:rPr>
        <w:t>以车站为中心800米半径覆盖范围</w:t>
      </w:r>
      <w:r>
        <w:rPr>
          <w:szCs w:val="20"/>
        </w:rPr>
        <w:t>。</w:t>
      </w:r>
    </w:p>
    <w:p>
      <w:pPr>
        <w:rPr>
          <w:szCs w:val="20"/>
        </w:rPr>
      </w:pPr>
      <w:r>
        <w:rPr>
          <w:rFonts w:hint="eastAsia"/>
          <w:szCs w:val="20"/>
        </w:rPr>
        <w:t>2</w:t>
      </w:r>
      <w:r>
        <w:rPr>
          <w:szCs w:val="20"/>
        </w:rPr>
        <w:t>.0.</w:t>
      </w:r>
      <w:r>
        <w:rPr>
          <w:rFonts w:hint="eastAsia"/>
          <w:szCs w:val="20"/>
        </w:rPr>
        <w:t>4</w:t>
      </w:r>
      <w:r>
        <w:rPr>
          <w:szCs w:val="20"/>
        </w:rPr>
        <w:t xml:space="preserve"> </w:t>
      </w:r>
      <w:r>
        <w:rPr>
          <w:rFonts w:hint="eastAsia"/>
          <w:szCs w:val="20"/>
        </w:rPr>
        <w:t xml:space="preserve">线路廊道一体化研究范围 </w:t>
      </w:r>
      <w:r>
        <w:rPr>
          <w:szCs w:val="20"/>
        </w:rPr>
        <w:t>Integrated research scope of rail transit line</w:t>
      </w:r>
    </w:p>
    <w:p>
      <w:pPr>
        <w:ind w:firstLine="420"/>
        <w:rPr>
          <w:szCs w:val="20"/>
        </w:rPr>
      </w:pPr>
      <w:r>
        <w:rPr>
          <w:rFonts w:hint="eastAsia"/>
          <w:szCs w:val="20"/>
        </w:rPr>
        <w:t>轨道线路按照中心线两侧1000米划定的影响圈。</w:t>
      </w:r>
    </w:p>
    <w:p>
      <w:pPr>
        <w:rPr>
          <w:szCs w:val="20"/>
        </w:rPr>
      </w:pPr>
      <w:r>
        <w:rPr>
          <w:rFonts w:hint="eastAsia"/>
          <w:szCs w:val="20"/>
        </w:rPr>
        <w:t>2</w:t>
      </w:r>
      <w:r>
        <w:rPr>
          <w:szCs w:val="20"/>
        </w:rPr>
        <w:t>.0.</w:t>
      </w:r>
      <w:r>
        <w:rPr>
          <w:rFonts w:hint="eastAsia"/>
          <w:szCs w:val="20"/>
        </w:rPr>
        <w:t>5</w:t>
      </w:r>
      <w:r>
        <w:rPr>
          <w:szCs w:val="20"/>
        </w:rPr>
        <w:t xml:space="preserve">  </w:t>
      </w:r>
      <w:r>
        <w:rPr>
          <w:rFonts w:hint="eastAsia"/>
          <w:szCs w:val="20"/>
        </w:rPr>
        <w:t xml:space="preserve">街区 </w:t>
      </w:r>
      <w:r>
        <w:rPr>
          <w:szCs w:val="20"/>
        </w:rPr>
        <w:t>B</w:t>
      </w:r>
      <w:r>
        <w:rPr>
          <w:rFonts w:hint="eastAsia"/>
          <w:szCs w:val="20"/>
        </w:rPr>
        <w:t>lock</w:t>
      </w:r>
    </w:p>
    <w:p>
      <w:pPr>
        <w:ind w:firstLine="416" w:firstLineChars="200"/>
        <w:rPr>
          <w:szCs w:val="20"/>
        </w:rPr>
      </w:pPr>
      <w:r>
        <w:rPr>
          <w:rFonts w:hint="eastAsia"/>
          <w:szCs w:val="20"/>
        </w:rPr>
        <w:t>统筹考虑行政管理边界、路网格局、城市开发边界、重要的城市空间自然边界、重点功能区边界、既有规划边界等因素划定的落实国土空间规划各项要求的基本单元，是街区控规编制、深化和维护的最小单元。</w:t>
      </w:r>
    </w:p>
    <w:p>
      <w:pPr>
        <w:tabs>
          <w:tab w:val="left" w:pos="312"/>
        </w:tabs>
        <w:rPr>
          <w:szCs w:val="20"/>
        </w:rPr>
      </w:pPr>
      <w:r>
        <w:rPr>
          <w:szCs w:val="20"/>
        </w:rPr>
        <w:t>2.0.</w:t>
      </w:r>
      <w:r>
        <w:rPr>
          <w:rFonts w:hint="eastAsia"/>
          <w:szCs w:val="20"/>
        </w:rPr>
        <w:t>6</w:t>
      </w:r>
      <w:r>
        <w:rPr>
          <w:szCs w:val="20"/>
        </w:rPr>
        <w:t xml:space="preserve">  </w:t>
      </w:r>
      <w:r>
        <w:rPr>
          <w:rFonts w:hint="eastAsia"/>
          <w:szCs w:val="20"/>
        </w:rPr>
        <w:t xml:space="preserve">车站附属设施 </w:t>
      </w:r>
      <w:r>
        <w:rPr>
          <w:szCs w:val="20"/>
        </w:rPr>
        <w:t>Station auxiliary facilities</w:t>
      </w:r>
    </w:p>
    <w:p>
      <w:pPr>
        <w:tabs>
          <w:tab w:val="left" w:pos="312"/>
        </w:tabs>
        <w:ind w:firstLine="416" w:firstLineChars="200"/>
        <w:rPr>
          <w:szCs w:val="20"/>
        </w:rPr>
      </w:pPr>
      <w:r>
        <w:rPr>
          <w:rFonts w:hint="eastAsia"/>
          <w:szCs w:val="20"/>
        </w:rPr>
        <w:t>除轨道车站主体以外的其他车站建（构）筑物，主要包括出入口、无障碍垂梯、风亭、冷却塔（出地面设置）及安全出口等。</w:t>
      </w:r>
    </w:p>
    <w:p>
      <w:pPr>
        <w:rPr>
          <w:szCs w:val="20"/>
        </w:rPr>
      </w:pPr>
      <w:r>
        <w:rPr>
          <w:szCs w:val="20"/>
        </w:rPr>
        <w:t>2.0.</w:t>
      </w:r>
      <w:r>
        <w:rPr>
          <w:rFonts w:hint="eastAsia"/>
          <w:szCs w:val="20"/>
        </w:rPr>
        <w:t>7</w:t>
      </w:r>
      <w:r>
        <w:rPr>
          <w:szCs w:val="20"/>
        </w:rPr>
        <w:t xml:space="preserve">  人口岗位综合密度 Comprehensive density of population and job positions</w:t>
      </w:r>
    </w:p>
    <w:p>
      <w:pPr>
        <w:ind w:firstLine="416" w:firstLineChars="200"/>
        <w:rPr>
          <w:szCs w:val="20"/>
        </w:rPr>
      </w:pPr>
      <w:r>
        <w:rPr>
          <w:szCs w:val="20"/>
        </w:rPr>
        <w:t>车站一定范围内覆盖</w:t>
      </w:r>
      <w:r>
        <w:rPr>
          <w:rFonts w:hint="eastAsia"/>
          <w:szCs w:val="20"/>
        </w:rPr>
        <w:t>常住</w:t>
      </w:r>
      <w:r>
        <w:rPr>
          <w:szCs w:val="20"/>
        </w:rPr>
        <w:t>人口和</w:t>
      </w:r>
      <w:r>
        <w:rPr>
          <w:rFonts w:hint="eastAsia"/>
          <w:szCs w:val="20"/>
        </w:rPr>
        <w:t>就业</w:t>
      </w:r>
      <w:r>
        <w:rPr>
          <w:szCs w:val="20"/>
        </w:rPr>
        <w:t>岗位总量与统计范围的面积比值。</w:t>
      </w:r>
    </w:p>
    <w:p>
      <w:pPr>
        <w:rPr>
          <w:szCs w:val="20"/>
        </w:rPr>
      </w:pPr>
      <w:r>
        <w:rPr>
          <w:szCs w:val="20"/>
        </w:rPr>
        <w:t>2.0.</w:t>
      </w:r>
      <w:r>
        <w:rPr>
          <w:rFonts w:hint="eastAsia"/>
          <w:szCs w:val="20"/>
        </w:rPr>
        <w:t>8</w:t>
      </w:r>
      <w:r>
        <w:rPr>
          <w:szCs w:val="20"/>
        </w:rPr>
        <w:t xml:space="preserve">  结建率 Combined construction rate</w:t>
      </w:r>
    </w:p>
    <w:p>
      <w:pPr>
        <w:ind w:firstLine="416" w:firstLineChars="200"/>
        <w:rPr>
          <w:szCs w:val="20"/>
        </w:rPr>
      </w:pPr>
      <w:r>
        <w:rPr>
          <w:szCs w:val="20"/>
        </w:rPr>
        <w:t>轨道车站与车站周边建、构筑物结合设置的附属</w:t>
      </w:r>
      <w:r>
        <w:rPr>
          <w:rFonts w:hint="eastAsia"/>
          <w:szCs w:val="20"/>
        </w:rPr>
        <w:t>设施</w:t>
      </w:r>
      <w:r>
        <w:rPr>
          <w:szCs w:val="20"/>
        </w:rPr>
        <w:t>数量与轨道车站附属</w:t>
      </w:r>
      <w:r>
        <w:rPr>
          <w:rFonts w:hint="eastAsia"/>
          <w:szCs w:val="20"/>
        </w:rPr>
        <w:t>设施总</w:t>
      </w:r>
      <w:r>
        <w:rPr>
          <w:szCs w:val="20"/>
        </w:rPr>
        <w:t>数量的比值。</w:t>
      </w:r>
    </w:p>
    <w:p>
      <w:pPr>
        <w:rPr>
          <w:szCs w:val="20"/>
        </w:rPr>
      </w:pPr>
      <w:r>
        <w:rPr>
          <w:szCs w:val="20"/>
        </w:rPr>
        <w:t>2.0.</w:t>
      </w:r>
      <w:r>
        <w:rPr>
          <w:rFonts w:hint="eastAsia"/>
          <w:szCs w:val="20"/>
        </w:rPr>
        <w:t>9</w:t>
      </w:r>
      <w:r>
        <w:rPr>
          <w:szCs w:val="20"/>
        </w:rPr>
        <w:t xml:space="preserve">  节点型综合管廊 Node type comprehensive pipe gallery</w:t>
      </w:r>
    </w:p>
    <w:p>
      <w:pPr>
        <w:ind w:firstLine="420"/>
        <w:rPr>
          <w:szCs w:val="20"/>
        </w:rPr>
      </w:pPr>
      <w:r>
        <w:rPr>
          <w:szCs w:val="20"/>
        </w:rPr>
        <w:t>多种市政管线为便于集中穿越重大基础设施建设的综合管廊，一般主要在穿越轨道交通车站/区间、高速公路、铁路、河道、地下交通隧道、重要市政管线、交通枢纽等位置处建设。</w:t>
      </w:r>
    </w:p>
    <w:p>
      <w:pPr>
        <w:rPr>
          <w:szCs w:val="20"/>
        </w:rPr>
      </w:pPr>
      <w:r>
        <w:rPr>
          <w:szCs w:val="20"/>
        </w:rPr>
        <w:t>2.0.1</w:t>
      </w:r>
      <w:r>
        <w:rPr>
          <w:rFonts w:hint="eastAsia"/>
          <w:szCs w:val="20"/>
        </w:rPr>
        <w:t>0</w:t>
      </w:r>
      <w:r>
        <w:rPr>
          <w:szCs w:val="20"/>
        </w:rPr>
        <w:t xml:space="preserve">  </w:t>
      </w:r>
      <w:r>
        <w:rPr>
          <w:rFonts w:hint="eastAsia"/>
          <w:szCs w:val="20"/>
        </w:rPr>
        <w:t xml:space="preserve">步行路网 </w:t>
      </w:r>
      <w:r>
        <w:rPr>
          <w:szCs w:val="20"/>
        </w:rPr>
        <w:t>Walking road network</w:t>
      </w:r>
    </w:p>
    <w:p>
      <w:pPr>
        <w:ind w:firstLine="420"/>
        <w:rPr>
          <w:szCs w:val="20"/>
        </w:rPr>
      </w:pPr>
      <w:r>
        <w:rPr>
          <w:rFonts w:hint="eastAsia"/>
          <w:szCs w:val="20"/>
        </w:rPr>
        <w:t>步行路网包括城市市政道路、地块内部的街坊路、二层连廊、地下通道、城市绿道及其他与车站开放连通的步道等。</w:t>
      </w:r>
    </w:p>
    <w:p>
      <w:pPr>
        <w:tabs>
          <w:tab w:val="left" w:pos="312"/>
        </w:tabs>
        <w:ind w:firstLine="416" w:firstLineChars="200"/>
        <w:rPr>
          <w:szCs w:val="20"/>
        </w:rPr>
      </w:pPr>
    </w:p>
    <w:p>
      <w:pPr>
        <w:ind w:firstLine="416" w:firstLineChars="200"/>
        <w:rPr>
          <w:szCs w:val="20"/>
        </w:rPr>
        <w:sectPr>
          <w:pgSz w:w="11906" w:h="16838"/>
          <w:pgMar w:top="1440" w:right="1800" w:bottom="1440" w:left="1800" w:header="851" w:footer="992" w:gutter="0"/>
          <w:cols w:space="425" w:num="1"/>
          <w:docGrid w:type="lines" w:linePitch="312" w:charSpace="0"/>
        </w:sectPr>
      </w:pPr>
      <w:r>
        <w:rPr>
          <w:szCs w:val="20"/>
        </w:rPr>
        <w:br w:type="page"/>
      </w:r>
      <w:bookmarkStart w:id="8" w:name="_Toc358542807"/>
      <w:bookmarkStart w:id="9" w:name="_Toc358542356"/>
    </w:p>
    <w:p>
      <w:pPr>
        <w:pStyle w:val="3"/>
        <w:rPr>
          <w:rFonts w:ascii="Times New Roman" w:hAnsi="Times New Roman" w:cs="Times New Roman"/>
        </w:rPr>
      </w:pPr>
      <w:bookmarkStart w:id="10" w:name="_Toc175668048"/>
      <w:r>
        <w:rPr>
          <w:rFonts w:ascii="Times New Roman" w:hAnsi="Times New Roman" w:cs="Times New Roman"/>
        </w:rPr>
        <w:t xml:space="preserve">3  </w:t>
      </w:r>
      <w:bookmarkEnd w:id="8"/>
      <w:bookmarkEnd w:id="9"/>
      <w:r>
        <w:rPr>
          <w:rFonts w:ascii="Times New Roman" w:hAnsi="Times New Roman" w:cs="Times New Roman"/>
        </w:rPr>
        <w:t>基本规定</w:t>
      </w:r>
      <w:bookmarkEnd w:id="10"/>
    </w:p>
    <w:p>
      <w:pPr>
        <w:rPr>
          <w:szCs w:val="20"/>
        </w:rPr>
      </w:pPr>
      <w:bookmarkStart w:id="11" w:name="_Toc358542808"/>
      <w:bookmarkStart w:id="12" w:name="_Toc358542366"/>
      <w:bookmarkStart w:id="13" w:name="_Toc358542817"/>
      <w:bookmarkStart w:id="14" w:name="_Toc358542357"/>
      <w:r>
        <w:rPr>
          <w:rFonts w:hint="eastAsia"/>
          <w:szCs w:val="20"/>
        </w:rPr>
        <w:t>3</w:t>
      </w:r>
      <w:r>
        <w:rPr>
          <w:szCs w:val="20"/>
        </w:rPr>
        <w:t>.0.1</w:t>
      </w:r>
      <w:r>
        <w:rPr>
          <w:rFonts w:hint="eastAsia"/>
          <w:szCs w:val="20"/>
        </w:rPr>
        <w:t xml:space="preserve"> </w:t>
      </w:r>
      <w:r>
        <w:rPr>
          <w:szCs w:val="20"/>
        </w:rPr>
        <w:t xml:space="preserve"> 轨道交通一体化</w:t>
      </w:r>
      <w:r>
        <w:rPr>
          <w:rFonts w:hint="eastAsia"/>
          <w:szCs w:val="20"/>
        </w:rPr>
        <w:t>可划</w:t>
      </w:r>
      <w:r>
        <w:rPr>
          <w:szCs w:val="20"/>
        </w:rPr>
        <w:t>分为线路</w:t>
      </w:r>
      <w:r>
        <w:rPr>
          <w:rFonts w:hint="eastAsia"/>
          <w:szCs w:val="20"/>
        </w:rPr>
        <w:t>一体化与车站一体化两个</w:t>
      </w:r>
      <w:r>
        <w:rPr>
          <w:szCs w:val="20"/>
        </w:rPr>
        <w:t>层次。</w:t>
      </w:r>
    </w:p>
    <w:p>
      <w:pPr>
        <w:ind w:left="416" w:leftChars="200"/>
      </w:pPr>
      <w:r>
        <w:t xml:space="preserve">1  </w:t>
      </w:r>
      <w:r>
        <w:rPr>
          <w:rFonts w:hint="eastAsia"/>
        </w:rPr>
        <w:t>线路层次一体化以轨道线路两侧带状区域为研究范围，从职住关系、产业发展、用地控制、交通协同、市政协调等方面解决轨道线路与沿线城市发展的整体协调问题；</w:t>
      </w:r>
    </w:p>
    <w:p>
      <w:pPr>
        <w:ind w:left="416" w:leftChars="200"/>
      </w:pPr>
      <w:r>
        <w:t xml:space="preserve">2  </w:t>
      </w:r>
      <w:r>
        <w:rPr>
          <w:rFonts w:hint="eastAsia"/>
        </w:rPr>
        <w:t>车站层次一体化主要围绕轨道车站形成的站域空间，从用地规划、交通衔接、市政设施、附属设施、公共空间等方面解决车站与周边区域融合问题。</w:t>
      </w:r>
    </w:p>
    <w:p>
      <w:r>
        <w:rPr>
          <w:szCs w:val="20"/>
        </w:rPr>
        <w:t xml:space="preserve">3.0.2  </w:t>
      </w:r>
      <w:r>
        <w:rPr>
          <w:rFonts w:hint="eastAsia"/>
        </w:rPr>
        <w:t>轨道交通一体化规划设计应符合下列规定：</w:t>
      </w:r>
    </w:p>
    <w:p>
      <w:pPr>
        <w:ind w:left="416" w:leftChars="200"/>
      </w:pPr>
      <w:r>
        <w:rPr>
          <w:rFonts w:hint="eastAsia"/>
        </w:rPr>
        <w:t>1</w:t>
      </w:r>
      <w:r>
        <w:t xml:space="preserve">  </w:t>
      </w:r>
      <w:r>
        <w:rPr>
          <w:rFonts w:hint="eastAsia"/>
        </w:rPr>
        <w:t>应综合考虑城市战略定位、空间布局、轨道线网布局，结合土地资源和开发条件，明确轨道交通车站与周边用地一体化发展目标、策略和方案。</w:t>
      </w:r>
    </w:p>
    <w:p>
      <w:pPr>
        <w:ind w:left="416" w:leftChars="200"/>
      </w:pPr>
      <w:r>
        <w:t xml:space="preserve">2  </w:t>
      </w:r>
      <w:r>
        <w:rPr>
          <w:rFonts w:hint="eastAsia"/>
        </w:rPr>
        <w:t>应坚持服务优先、提升品质，从使用者角度出发，提升站内换乘、站外衔接的便捷性。</w:t>
      </w:r>
    </w:p>
    <w:p>
      <w:pPr>
        <w:ind w:left="416" w:leftChars="200"/>
      </w:pPr>
      <w:r>
        <w:t xml:space="preserve">3  </w:t>
      </w:r>
      <w:r>
        <w:rPr>
          <w:rFonts w:hint="eastAsia"/>
        </w:rPr>
        <w:t>轨道交通车站应与周边建筑、地下空间、接驳设施、市政管线、景观环境等一体化规划、一体化设计、一体化实施，与各项城市功能相协调。</w:t>
      </w:r>
    </w:p>
    <w:p>
      <w:r>
        <w:t>3.0.</w:t>
      </w:r>
      <w:r>
        <w:rPr>
          <w:rFonts w:hint="eastAsia"/>
        </w:rPr>
        <w:t>3</w:t>
      </w:r>
      <w:r>
        <w:t xml:space="preserve">  </w:t>
      </w:r>
      <w:r>
        <w:rPr>
          <w:rFonts w:hint="eastAsia"/>
        </w:rPr>
        <w:t>轨道交通一体化规划应与国土空间详细规划、乡镇国土空间规划、相关专项规划做好衔接。</w:t>
      </w:r>
    </w:p>
    <w:p>
      <w:pPr>
        <w:ind w:firstLine="416" w:firstLineChars="200"/>
        <w:rPr>
          <w:rFonts w:ascii="仿宋_GB2312" w:eastAsia="仿宋_GB2312"/>
          <w:szCs w:val="20"/>
        </w:rPr>
      </w:pPr>
    </w:p>
    <w:bookmarkEnd w:id="11"/>
    <w:bookmarkEnd w:id="12"/>
    <w:bookmarkEnd w:id="13"/>
    <w:bookmarkEnd w:id="14"/>
    <w:p>
      <w:pPr>
        <w:ind w:firstLine="416" w:firstLineChars="200"/>
        <w:rPr>
          <w:rFonts w:ascii="仿宋_GB2312" w:eastAsia="仿宋_GB2312"/>
          <w:szCs w:val="20"/>
        </w:rPr>
        <w:sectPr>
          <w:pgSz w:w="11906" w:h="16838"/>
          <w:pgMar w:top="1440" w:right="1800" w:bottom="1440" w:left="1800" w:header="851" w:footer="992" w:gutter="0"/>
          <w:cols w:space="425" w:num="1"/>
          <w:docGrid w:type="lines" w:linePitch="312" w:charSpace="0"/>
        </w:sectPr>
      </w:pPr>
      <w:bookmarkStart w:id="15" w:name="_Toc358542372"/>
      <w:bookmarkStart w:id="16" w:name="_Toc358542823"/>
    </w:p>
    <w:p>
      <w:pPr>
        <w:pStyle w:val="3"/>
        <w:rPr>
          <w:rFonts w:ascii="Times New Roman" w:hAnsi="Times New Roman" w:cs="Times New Roman"/>
        </w:rPr>
      </w:pPr>
      <w:bookmarkStart w:id="17" w:name="_Toc175668049"/>
      <w:r>
        <w:rPr>
          <w:rFonts w:ascii="Times New Roman" w:hAnsi="Times New Roman" w:cs="Times New Roman"/>
        </w:rPr>
        <w:t xml:space="preserve">4  </w:t>
      </w:r>
      <w:r>
        <w:rPr>
          <w:rFonts w:hint="eastAsia" w:ascii="Times New Roman" w:hAnsi="Times New Roman" w:cs="Times New Roman"/>
        </w:rPr>
        <w:t>一体化分区分级</w:t>
      </w:r>
      <w:bookmarkEnd w:id="17"/>
    </w:p>
    <w:p>
      <w:pPr>
        <w:pStyle w:val="4"/>
        <w:rPr>
          <w:rFonts w:ascii="Times New Roman" w:hAnsi="Times New Roman"/>
        </w:rPr>
      </w:pPr>
      <w:bookmarkStart w:id="18" w:name="_Toc175668050"/>
      <w:r>
        <w:rPr>
          <w:rFonts w:ascii="Times New Roman" w:hAnsi="Times New Roman"/>
        </w:rPr>
        <w:t xml:space="preserve">4.1 </w:t>
      </w:r>
      <w:r>
        <w:rPr>
          <w:rFonts w:hint="eastAsia" w:ascii="Times New Roman" w:hAnsi="Times New Roman"/>
        </w:rPr>
        <w:t>一体化发展分区</w:t>
      </w:r>
      <w:bookmarkEnd w:id="18"/>
    </w:p>
    <w:p>
      <w:r>
        <w:t xml:space="preserve">4.1.1  </w:t>
      </w:r>
      <w:r>
        <w:rPr>
          <w:rFonts w:hint="eastAsia"/>
        </w:rPr>
        <w:t>轨道交通一体化应结合城市空间结构特点</w:t>
      </w:r>
      <w:r>
        <w:t>，</w:t>
      </w:r>
      <w:r>
        <w:rPr>
          <w:rFonts w:hint="eastAsia"/>
        </w:rPr>
        <w:t>分圈层</w:t>
      </w:r>
      <w:r>
        <w:t>差异化</w:t>
      </w:r>
      <w:r>
        <w:rPr>
          <w:rFonts w:hint="eastAsia"/>
        </w:rPr>
        <w:t>规划设计，并符合下列规定：</w:t>
      </w:r>
    </w:p>
    <w:p>
      <w:pPr>
        <w:jc w:val="center"/>
      </w:pPr>
      <w:r>
        <w:rPr>
          <w:rFonts w:hint="eastAsia"/>
        </w:rPr>
        <w:t>表</w:t>
      </w:r>
      <w:r>
        <w:t xml:space="preserve">4.1 </w:t>
      </w:r>
      <w:r>
        <w:rPr>
          <w:rFonts w:hint="eastAsia"/>
        </w:rPr>
        <w:t>分圈层一体化管控要求</w:t>
      </w:r>
    </w:p>
    <w:tbl>
      <w:tblPr>
        <w:tblStyle w:val="2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133"/>
        <w:gridCol w:w="1516"/>
        <w:gridCol w:w="1501"/>
        <w:gridCol w:w="1295"/>
        <w:gridCol w:w="1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jc w:val="center"/>
              <w:rPr>
                <w:szCs w:val="20"/>
              </w:rPr>
            </w:pPr>
            <w:r>
              <w:rPr>
                <w:rFonts w:hint="eastAsia"/>
                <w:szCs w:val="20"/>
              </w:rPr>
              <w:t>类型</w:t>
            </w:r>
          </w:p>
        </w:tc>
        <w:tc>
          <w:tcPr>
            <w:tcW w:w="0" w:type="auto"/>
          </w:tcPr>
          <w:p>
            <w:pPr>
              <w:jc w:val="center"/>
              <w:rPr>
                <w:szCs w:val="20"/>
              </w:rPr>
            </w:pPr>
            <w:r>
              <w:rPr>
                <w:rFonts w:hint="eastAsia"/>
                <w:szCs w:val="20"/>
              </w:rPr>
              <w:t>首都功能核心区</w:t>
            </w:r>
          </w:p>
        </w:tc>
        <w:tc>
          <w:tcPr>
            <w:tcW w:w="0" w:type="auto"/>
          </w:tcPr>
          <w:p>
            <w:pPr>
              <w:jc w:val="center"/>
              <w:rPr>
                <w:szCs w:val="20"/>
              </w:rPr>
            </w:pPr>
            <w:r>
              <w:rPr>
                <w:rFonts w:hint="eastAsia"/>
                <w:szCs w:val="20"/>
              </w:rPr>
              <w:t>中心城区</w:t>
            </w:r>
          </w:p>
        </w:tc>
        <w:tc>
          <w:tcPr>
            <w:tcW w:w="0" w:type="auto"/>
          </w:tcPr>
          <w:p>
            <w:pPr>
              <w:jc w:val="center"/>
              <w:rPr>
                <w:szCs w:val="20"/>
              </w:rPr>
            </w:pPr>
            <w:r>
              <w:rPr>
                <w:rFonts w:hint="eastAsia"/>
                <w:szCs w:val="20"/>
              </w:rPr>
              <w:t>城市副中心</w:t>
            </w:r>
          </w:p>
        </w:tc>
        <w:tc>
          <w:tcPr>
            <w:tcW w:w="0" w:type="auto"/>
          </w:tcPr>
          <w:p>
            <w:pPr>
              <w:jc w:val="center"/>
              <w:rPr>
                <w:szCs w:val="20"/>
              </w:rPr>
            </w:pPr>
            <w:r>
              <w:rPr>
                <w:rFonts w:hint="eastAsia"/>
                <w:szCs w:val="20"/>
              </w:rPr>
              <w:t>多点新城</w:t>
            </w:r>
          </w:p>
        </w:tc>
        <w:tc>
          <w:tcPr>
            <w:tcW w:w="1268" w:type="dxa"/>
          </w:tcPr>
          <w:p>
            <w:pPr>
              <w:jc w:val="center"/>
              <w:rPr>
                <w:szCs w:val="20"/>
              </w:rPr>
            </w:pPr>
            <w:r>
              <w:rPr>
                <w:rFonts w:hint="eastAsia"/>
                <w:szCs w:val="20"/>
              </w:rPr>
              <w:t>生态涵养区新城</w:t>
            </w:r>
          </w:p>
        </w:tc>
        <w:tc>
          <w:tcPr>
            <w:tcW w:w="1134" w:type="dxa"/>
          </w:tcPr>
          <w:p>
            <w:pPr>
              <w:jc w:val="center"/>
              <w:rPr>
                <w:szCs w:val="20"/>
              </w:rPr>
            </w:pPr>
            <w:r>
              <w:rPr>
                <w:rFonts w:hint="eastAsia"/>
                <w:szCs w:val="20"/>
              </w:rPr>
              <w:t>跨界地区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szCs w:val="20"/>
              </w:rPr>
            </w:pPr>
            <w:r>
              <w:rPr>
                <w:rFonts w:hint="eastAsia"/>
                <w:szCs w:val="20"/>
              </w:rPr>
              <w:t>分区</w:t>
            </w:r>
          </w:p>
        </w:tc>
        <w:tc>
          <w:tcPr>
            <w:tcW w:w="0" w:type="auto"/>
          </w:tcPr>
          <w:p>
            <w:pPr>
              <w:jc w:val="center"/>
              <w:rPr>
                <w:szCs w:val="20"/>
              </w:rPr>
            </w:pPr>
            <w:r>
              <w:rPr>
                <w:rFonts w:hint="eastAsia"/>
                <w:szCs w:val="20"/>
              </w:rPr>
              <w:t>西城区、东城区</w:t>
            </w:r>
          </w:p>
        </w:tc>
        <w:tc>
          <w:tcPr>
            <w:tcW w:w="0" w:type="auto"/>
          </w:tcPr>
          <w:p>
            <w:pPr>
              <w:jc w:val="center"/>
              <w:rPr>
                <w:szCs w:val="20"/>
              </w:rPr>
            </w:pPr>
            <w:r>
              <w:rPr>
                <w:rFonts w:hint="eastAsia"/>
                <w:szCs w:val="20"/>
              </w:rPr>
              <w:t>朝阳区、海淀区、丰台区、石景山区</w:t>
            </w:r>
          </w:p>
        </w:tc>
        <w:tc>
          <w:tcPr>
            <w:tcW w:w="0" w:type="auto"/>
          </w:tcPr>
          <w:p>
            <w:pPr>
              <w:jc w:val="center"/>
              <w:rPr>
                <w:szCs w:val="20"/>
              </w:rPr>
            </w:pPr>
            <w:r>
              <w:rPr>
                <w:rFonts w:hint="eastAsia"/>
                <w:szCs w:val="20"/>
              </w:rPr>
              <w:t>通州区</w:t>
            </w:r>
          </w:p>
        </w:tc>
        <w:tc>
          <w:tcPr>
            <w:tcW w:w="0" w:type="auto"/>
          </w:tcPr>
          <w:p>
            <w:pPr>
              <w:jc w:val="center"/>
              <w:rPr>
                <w:szCs w:val="20"/>
              </w:rPr>
            </w:pPr>
            <w:r>
              <w:rPr>
                <w:rFonts w:hint="eastAsia"/>
                <w:szCs w:val="20"/>
              </w:rPr>
              <w:t>大兴区、北京经济技术开发区、房山区、顺义区、昌平区</w:t>
            </w:r>
          </w:p>
        </w:tc>
        <w:tc>
          <w:tcPr>
            <w:tcW w:w="1268" w:type="dxa"/>
          </w:tcPr>
          <w:p>
            <w:pPr>
              <w:jc w:val="center"/>
              <w:rPr>
                <w:szCs w:val="20"/>
              </w:rPr>
            </w:pPr>
            <w:r>
              <w:rPr>
                <w:rFonts w:hint="eastAsia"/>
                <w:szCs w:val="20"/>
              </w:rPr>
              <w:t>门头沟区、延庆区、密云区、怀柔区、平谷区</w:t>
            </w:r>
          </w:p>
        </w:tc>
        <w:tc>
          <w:tcPr>
            <w:tcW w:w="1134" w:type="dxa"/>
          </w:tcPr>
          <w:p>
            <w:pPr>
              <w:jc w:val="center"/>
              <w:rPr>
                <w:szCs w:val="20"/>
              </w:rPr>
            </w:pPr>
            <w:r>
              <w:rPr>
                <w:rFonts w:hint="eastAsia"/>
                <w:szCs w:val="20"/>
              </w:rPr>
              <w:t>北三县、武清、香河、涿州、临空经济区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szCs w:val="20"/>
              </w:rPr>
            </w:pPr>
            <w:r>
              <w:rPr>
                <w:rFonts w:hint="eastAsia"/>
                <w:szCs w:val="20"/>
              </w:rPr>
              <w:t>一体化工作导向</w:t>
            </w:r>
          </w:p>
        </w:tc>
        <w:tc>
          <w:tcPr>
            <w:tcW w:w="0" w:type="auto"/>
          </w:tcPr>
          <w:p>
            <w:pPr>
              <w:jc w:val="center"/>
              <w:rPr>
                <w:szCs w:val="20"/>
              </w:rPr>
            </w:pPr>
            <w:r>
              <w:rPr>
                <w:rFonts w:hint="eastAsia"/>
                <w:szCs w:val="20"/>
              </w:rPr>
              <w:t>保障首都核心职能，保障中央政务功能运行，保护古都风貌，改善交通出行环境。</w:t>
            </w:r>
          </w:p>
        </w:tc>
        <w:tc>
          <w:tcPr>
            <w:tcW w:w="0" w:type="auto"/>
          </w:tcPr>
          <w:p>
            <w:pPr>
              <w:jc w:val="center"/>
              <w:rPr>
                <w:szCs w:val="20"/>
              </w:rPr>
            </w:pPr>
            <w:r>
              <w:rPr>
                <w:rFonts w:hint="eastAsia"/>
                <w:szCs w:val="20"/>
              </w:rPr>
              <w:t>进一步提高轨道交通覆盖率和服务水平；依托轨道建设带动城市更新。</w:t>
            </w:r>
          </w:p>
        </w:tc>
        <w:tc>
          <w:tcPr>
            <w:tcW w:w="0" w:type="auto"/>
          </w:tcPr>
          <w:p>
            <w:pPr>
              <w:jc w:val="center"/>
              <w:rPr>
                <w:szCs w:val="20"/>
              </w:rPr>
            </w:pPr>
            <w:r>
              <w:rPr>
                <w:rFonts w:hint="eastAsia"/>
                <w:szCs w:val="20"/>
              </w:rPr>
              <w:t>有效支撑“一带一轴多组团”空间结构，依托多层次轨道提升城市副中心的区域辐射力。</w:t>
            </w:r>
          </w:p>
        </w:tc>
        <w:tc>
          <w:tcPr>
            <w:tcW w:w="0" w:type="auto"/>
          </w:tcPr>
          <w:p>
            <w:pPr>
              <w:jc w:val="center"/>
              <w:rPr>
                <w:szCs w:val="20"/>
              </w:rPr>
            </w:pPr>
            <w:r>
              <w:rPr>
                <w:rFonts w:hint="eastAsia"/>
                <w:szCs w:val="20"/>
              </w:rPr>
              <w:t>以轨道交通为触媒，激活沿线发展活力，增强新城的功能与人口承载能力。</w:t>
            </w:r>
          </w:p>
        </w:tc>
        <w:tc>
          <w:tcPr>
            <w:tcW w:w="1268" w:type="dxa"/>
          </w:tcPr>
          <w:p>
            <w:pPr>
              <w:jc w:val="center"/>
              <w:rPr>
                <w:szCs w:val="20"/>
              </w:rPr>
            </w:pPr>
            <w:r>
              <w:rPr>
                <w:rFonts w:hint="eastAsia"/>
                <w:szCs w:val="20"/>
              </w:rPr>
              <w:t>以生态涵养为前提，合理适度发展轨道交通；有效服务旅游、休闲等多样化出行需求。</w:t>
            </w:r>
          </w:p>
        </w:tc>
        <w:tc>
          <w:tcPr>
            <w:tcW w:w="1134" w:type="dxa"/>
          </w:tcPr>
          <w:p>
            <w:pPr>
              <w:jc w:val="center"/>
              <w:rPr>
                <w:szCs w:val="20"/>
              </w:rPr>
            </w:pPr>
            <w:r>
              <w:rPr>
                <w:rFonts w:hint="eastAsia"/>
                <w:szCs w:val="20"/>
              </w:rPr>
              <w:t>加强区域协同，打造高效便捷的跨界交通圈，更好服务跨界资源要素流动。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szCs w:val="20"/>
              </w:rPr>
            </w:pPr>
            <w:r>
              <w:rPr>
                <w:rFonts w:hint="eastAsia"/>
                <w:szCs w:val="20"/>
              </w:rPr>
              <w:t>一体化发展策略</w:t>
            </w:r>
          </w:p>
        </w:tc>
        <w:tc>
          <w:tcPr>
            <w:tcW w:w="0" w:type="auto"/>
          </w:tcPr>
          <w:p>
            <w:pPr>
              <w:jc w:val="center"/>
              <w:rPr>
                <w:szCs w:val="20"/>
              </w:rPr>
            </w:pPr>
            <w:r>
              <w:rPr>
                <w:rFonts w:hint="eastAsia"/>
                <w:szCs w:val="20"/>
              </w:rPr>
              <w:t>以既有站改造为抓手带动站点周边城市更新；适当结合轨道空间增补公共设施。</w:t>
            </w:r>
          </w:p>
        </w:tc>
        <w:tc>
          <w:tcPr>
            <w:tcW w:w="0" w:type="auto"/>
          </w:tcPr>
          <w:p>
            <w:pPr>
              <w:jc w:val="center"/>
              <w:rPr>
                <w:szCs w:val="20"/>
              </w:rPr>
            </w:pPr>
            <w:r>
              <w:rPr>
                <w:rFonts w:hint="eastAsia"/>
                <w:szCs w:val="20"/>
              </w:rPr>
              <w:t>利用轨道交通建设，以存量资源挖潜、功能置换、城市更新、疏解腾退空间再利用等方式完善城市功能，形成分布合理的城市功能聚合空间。</w:t>
            </w:r>
          </w:p>
        </w:tc>
        <w:tc>
          <w:tcPr>
            <w:tcW w:w="0" w:type="auto"/>
          </w:tcPr>
          <w:p>
            <w:pPr>
              <w:jc w:val="center"/>
              <w:rPr>
                <w:szCs w:val="20"/>
              </w:rPr>
            </w:pPr>
            <w:r>
              <w:rPr>
                <w:rFonts w:hint="eastAsia"/>
                <w:szCs w:val="20"/>
              </w:rPr>
              <w:t>轨道交通与组团中心、家园中心建设充分融合；提高三大主导功能区及副中心站交通枢纽地区、城市绿心等重点地区的轨道交通服务水平。</w:t>
            </w:r>
          </w:p>
        </w:tc>
        <w:tc>
          <w:tcPr>
            <w:tcW w:w="0" w:type="auto"/>
          </w:tcPr>
          <w:p>
            <w:pPr>
              <w:jc w:val="center"/>
              <w:rPr>
                <w:szCs w:val="20"/>
              </w:rPr>
            </w:pPr>
            <w:r>
              <w:rPr>
                <w:rFonts w:hint="eastAsia"/>
                <w:szCs w:val="20"/>
              </w:rPr>
              <w:t>依托轨道交通走廊优化新城空间形态，围绕轨道站点聚合城市资源，结合轨道建设整合廊道各类交通方式。</w:t>
            </w:r>
          </w:p>
        </w:tc>
        <w:tc>
          <w:tcPr>
            <w:tcW w:w="1268" w:type="dxa"/>
          </w:tcPr>
          <w:p>
            <w:pPr>
              <w:jc w:val="center"/>
              <w:rPr>
                <w:szCs w:val="20"/>
              </w:rPr>
            </w:pPr>
            <w:r>
              <w:rPr>
                <w:rFonts w:hint="eastAsia"/>
                <w:szCs w:val="20"/>
              </w:rPr>
              <w:t>以点带面，依站促城，结合轨道微中心适度聚合城市功能。</w:t>
            </w:r>
          </w:p>
        </w:tc>
        <w:tc>
          <w:tcPr>
            <w:tcW w:w="1134" w:type="dxa"/>
          </w:tcPr>
          <w:p>
            <w:pPr>
              <w:jc w:val="center"/>
              <w:rPr>
                <w:szCs w:val="20"/>
              </w:rPr>
            </w:pPr>
            <w:r>
              <w:rPr>
                <w:rFonts w:hint="eastAsia"/>
                <w:szCs w:val="20"/>
              </w:rPr>
              <w:t>强化跨界组团与城市副中心及临近新城间的轨道联系；依托大站快车拉开城市发展框架。</w:t>
            </w:r>
          </w:p>
        </w:tc>
      </w:tr>
    </w:tbl>
    <w:p>
      <w:r>
        <w:t xml:space="preserve">4.1.2  </w:t>
      </w:r>
      <w:r>
        <w:rPr>
          <w:rFonts w:hint="eastAsia"/>
        </w:rPr>
        <w:t>根据国土空间总体规划确定的城市战略定位、城镇空间结构、功能中心体系，以及各分区规划中的重点功能片区，结合轨道线网规划和沿线土地利用实际条件，以街区为单元，将轨道交通车站周边街区划分为一体化重点区、一体化引导区、一般地区。其中一体化重点地区主要包括北京商务中心区、丽泽金融商务区、首都商务新区、奥林匹克中心区等重点功能区，以及在边缘集团与新城的重点功能区、居住密集地区与交通枢纽。</w:t>
      </w:r>
    </w:p>
    <w:p>
      <w:pPr>
        <w:pStyle w:val="4"/>
        <w:rPr>
          <w:rFonts w:ascii="Times New Roman" w:hAnsi="Times New Roman"/>
        </w:rPr>
      </w:pPr>
      <w:bookmarkStart w:id="19" w:name="_Toc175668051"/>
      <w:r>
        <w:rPr>
          <w:rFonts w:ascii="Times New Roman" w:hAnsi="Times New Roman"/>
        </w:rPr>
        <w:t>4.2 轨道</w:t>
      </w:r>
      <w:r>
        <w:rPr>
          <w:rFonts w:hint="eastAsia" w:ascii="Times New Roman" w:hAnsi="Times New Roman"/>
        </w:rPr>
        <w:t>交通车站</w:t>
      </w:r>
      <w:r>
        <w:rPr>
          <w:rFonts w:ascii="Times New Roman" w:hAnsi="Times New Roman"/>
        </w:rPr>
        <w:t>分级</w:t>
      </w:r>
      <w:bookmarkEnd w:id="19"/>
    </w:p>
    <w:p>
      <w:pPr>
        <w:rPr>
          <w:szCs w:val="20"/>
        </w:rPr>
      </w:pPr>
      <w:r>
        <w:rPr>
          <w:szCs w:val="20"/>
        </w:rPr>
        <w:t xml:space="preserve">4.2.1  </w:t>
      </w:r>
      <w:r>
        <w:rPr>
          <w:rFonts w:hint="eastAsia"/>
          <w:szCs w:val="20"/>
        </w:rPr>
        <w:t>轨道车站的分级划定应当充分考虑车站所处区域发展差异性，根据所处的城市空间圈层位置和功能布局结构，结合车站周边人口岗位变化、可利用资源、发展建设需求等多方面因素，综合进行分级。</w:t>
      </w:r>
    </w:p>
    <w:p>
      <w:pPr>
        <w:rPr>
          <w:szCs w:val="20"/>
        </w:rPr>
      </w:pPr>
      <w:r>
        <w:rPr>
          <w:szCs w:val="20"/>
        </w:rPr>
        <w:t xml:space="preserve">4.2.2  </w:t>
      </w:r>
      <w:r>
        <w:rPr>
          <w:rFonts w:hint="eastAsia"/>
          <w:szCs w:val="20"/>
        </w:rPr>
        <w:t>综合分析车站及周边区域城市效能和交通效能，并与《市域客运枢纽体系规划》《北京市商业消费空间布局专项规划（2022年—2035年）》等规划相衔接，将</w:t>
      </w:r>
      <w:r>
        <w:rPr>
          <w:szCs w:val="20"/>
        </w:rPr>
        <w:t>轨道交通</w:t>
      </w:r>
      <w:r>
        <w:rPr>
          <w:rFonts w:hint="eastAsia"/>
          <w:szCs w:val="20"/>
        </w:rPr>
        <w:t>车站分为四个级别，枢纽级、城市级、区域级、街区级：</w:t>
      </w:r>
    </w:p>
    <w:p>
      <w:pPr>
        <w:ind w:left="416" w:leftChars="200"/>
      </w:pPr>
      <w:bookmarkStart w:id="20" w:name="_Hlk170118333"/>
      <w:r>
        <w:t xml:space="preserve">1  </w:t>
      </w:r>
      <w:r>
        <w:rPr>
          <w:rFonts w:hint="eastAsia"/>
          <w:szCs w:val="20"/>
        </w:rPr>
        <w:t>枢纽级</w:t>
      </w:r>
      <w:r>
        <w:rPr>
          <w:rFonts w:hint="eastAsia"/>
        </w:rPr>
        <w:t>车站主要包括首都国际机场、大兴国际机场、铁路枢纽主要客站等城市对外枢纽节点。</w:t>
      </w:r>
    </w:p>
    <w:p>
      <w:pPr>
        <w:ind w:left="416" w:leftChars="200"/>
      </w:pPr>
      <w:r>
        <w:t xml:space="preserve">2  </w:t>
      </w:r>
      <w:r>
        <w:rPr>
          <w:rFonts w:hint="eastAsia"/>
          <w:szCs w:val="20"/>
        </w:rPr>
        <w:t>城市级</w:t>
      </w:r>
      <w:r>
        <w:rPr>
          <w:rFonts w:hint="eastAsia"/>
        </w:rPr>
        <w:t>车站主要包括市级重点功能区站点、部分轨道交通多线（两线以上）换乘站。</w:t>
      </w:r>
    </w:p>
    <w:p>
      <w:pPr>
        <w:ind w:left="416" w:leftChars="200"/>
      </w:pPr>
      <w:r>
        <w:t xml:space="preserve">3  </w:t>
      </w:r>
      <w:r>
        <w:rPr>
          <w:rFonts w:hint="eastAsia"/>
          <w:szCs w:val="20"/>
        </w:rPr>
        <w:t>区域级</w:t>
      </w:r>
      <w:r>
        <w:rPr>
          <w:rFonts w:hint="eastAsia"/>
        </w:rPr>
        <w:t>车站主要包括区级重点区域、轨道交通换乘枢纽，一般是新城或区域功能中心，区域级公共服务中心。</w:t>
      </w:r>
    </w:p>
    <w:p>
      <w:pPr>
        <w:ind w:left="416" w:leftChars="200"/>
      </w:pPr>
      <w:r>
        <w:t xml:space="preserve">4  </w:t>
      </w:r>
      <w:r>
        <w:rPr>
          <w:rFonts w:hint="eastAsia"/>
          <w:szCs w:val="20"/>
        </w:rPr>
        <w:t>街区级</w:t>
      </w:r>
      <w:r>
        <w:rPr>
          <w:rFonts w:hint="eastAsia"/>
        </w:rPr>
        <w:t>车站主要包括组团或街区中心站点。</w:t>
      </w:r>
    </w:p>
    <w:bookmarkEnd w:id="20"/>
    <w:p>
      <w:pPr>
        <w:rPr>
          <w:szCs w:val="20"/>
        </w:rPr>
      </w:pPr>
      <w:r>
        <w:rPr>
          <w:rFonts w:hint="eastAsia"/>
          <w:szCs w:val="20"/>
        </w:rPr>
        <w:t>4.</w:t>
      </w:r>
      <w:r>
        <w:rPr>
          <w:szCs w:val="20"/>
        </w:rPr>
        <w:t>2</w:t>
      </w:r>
      <w:r>
        <w:rPr>
          <w:rFonts w:hint="eastAsia"/>
          <w:szCs w:val="20"/>
        </w:rPr>
        <w:t>.</w:t>
      </w:r>
      <w:r>
        <w:rPr>
          <w:szCs w:val="20"/>
        </w:rPr>
        <w:t xml:space="preserve">3  </w:t>
      </w:r>
      <w:r>
        <w:rPr>
          <w:rFonts w:hint="eastAsia"/>
          <w:szCs w:val="20"/>
        </w:rPr>
        <w:t>为保障轨道车站在全线或区段实现合理分工，避免同一线路上各车站间均质发展、恶性竞争，新建线路的</w:t>
      </w:r>
      <w:r>
        <w:rPr>
          <w:szCs w:val="20"/>
        </w:rPr>
        <w:t>轨道</w:t>
      </w:r>
      <w:r>
        <w:rPr>
          <w:rFonts w:hint="eastAsia"/>
          <w:szCs w:val="20"/>
        </w:rPr>
        <w:t>交通车站的等级划分宜在线路层面进行统筹；一体化重点区内轨道交通车站周边应差异化布局用地功能，避免同质化发展。</w:t>
      </w:r>
    </w:p>
    <w:p>
      <w:pPr>
        <w:rPr>
          <w:szCs w:val="20"/>
        </w:rPr>
        <w:sectPr>
          <w:pgSz w:w="11906" w:h="16838"/>
          <w:pgMar w:top="1440" w:right="1800" w:bottom="1440" w:left="1800" w:header="851" w:footer="992" w:gutter="0"/>
          <w:cols w:space="425" w:num="1"/>
          <w:docGrid w:type="lines" w:linePitch="312" w:charSpace="0"/>
        </w:sectPr>
      </w:pPr>
    </w:p>
    <w:p>
      <w:pPr>
        <w:pStyle w:val="3"/>
        <w:rPr>
          <w:rFonts w:ascii="Times New Roman" w:hAnsi="Times New Roman" w:cs="Times New Roman"/>
        </w:rPr>
      </w:pPr>
      <w:bookmarkStart w:id="21" w:name="_Toc175668052"/>
      <w:r>
        <w:rPr>
          <w:rFonts w:ascii="Times New Roman" w:hAnsi="Times New Roman" w:cs="Times New Roman"/>
        </w:rPr>
        <w:t xml:space="preserve">5  </w:t>
      </w:r>
      <w:r>
        <w:rPr>
          <w:rFonts w:hint="eastAsia" w:ascii="Times New Roman" w:hAnsi="Times New Roman" w:cs="Times New Roman"/>
        </w:rPr>
        <w:t>轨道</w:t>
      </w:r>
      <w:r>
        <w:rPr>
          <w:rFonts w:ascii="Times New Roman" w:hAnsi="Times New Roman" w:cs="Times New Roman"/>
        </w:rPr>
        <w:t>线路</w:t>
      </w:r>
      <w:r>
        <w:rPr>
          <w:rFonts w:hint="eastAsia" w:ascii="Times New Roman" w:hAnsi="Times New Roman" w:cs="Times New Roman"/>
        </w:rPr>
        <w:t>一体化</w:t>
      </w:r>
      <w:bookmarkEnd w:id="21"/>
    </w:p>
    <w:p>
      <w:pPr>
        <w:pStyle w:val="4"/>
        <w:rPr>
          <w:rFonts w:ascii="Times New Roman" w:hAnsi="Times New Roman"/>
        </w:rPr>
      </w:pPr>
      <w:bookmarkStart w:id="22" w:name="_Toc175668053"/>
      <w:r>
        <w:rPr>
          <w:rFonts w:ascii="Times New Roman" w:hAnsi="Times New Roman"/>
        </w:rPr>
        <w:t>5.1 一般规定</w:t>
      </w:r>
      <w:bookmarkEnd w:id="22"/>
    </w:p>
    <w:p>
      <w:pPr>
        <w:rPr>
          <w:szCs w:val="20"/>
        </w:rPr>
      </w:pPr>
      <w:r>
        <w:rPr>
          <w:szCs w:val="20"/>
        </w:rPr>
        <w:t xml:space="preserve">5.1.1  </w:t>
      </w:r>
      <w:r>
        <w:rPr>
          <w:rFonts w:hint="eastAsia"/>
        </w:rPr>
        <w:t>应充分发挥轨道交通的带动和纽带作用，串联沿线功能，</w:t>
      </w:r>
      <w:r>
        <w:rPr>
          <w:rFonts w:hint="eastAsia"/>
          <w:szCs w:val="20"/>
        </w:rPr>
        <w:t>统筹轨道交通廊道与用地开发、综合交通系统、市政廊道的关系，明确与轨道线路相关的区域地下空间开发要求，划定轨道交通线路、车站、车辆基地用地控制范围。</w:t>
      </w:r>
    </w:p>
    <w:p>
      <w:pPr>
        <w:rPr>
          <w:szCs w:val="20"/>
        </w:rPr>
      </w:pPr>
      <w:r>
        <w:rPr>
          <w:szCs w:val="20"/>
        </w:rPr>
        <w:t xml:space="preserve">5.1.2  </w:t>
      </w:r>
      <w:r>
        <w:rPr>
          <w:rFonts w:hint="eastAsia"/>
          <w:szCs w:val="20"/>
        </w:rPr>
        <w:t>线路层面一体化应以轨道廊道为核心</w:t>
      </w:r>
      <w:r>
        <w:rPr>
          <w:szCs w:val="20"/>
        </w:rPr>
        <w:t>，</w:t>
      </w:r>
      <w:r>
        <w:rPr>
          <w:rFonts w:hint="eastAsia"/>
          <w:szCs w:val="20"/>
        </w:rPr>
        <w:t>有效控制和合理利用</w:t>
      </w:r>
      <w:r>
        <w:rPr>
          <w:szCs w:val="20"/>
        </w:rPr>
        <w:t>轨道沿线城市用地资源和设施。</w:t>
      </w:r>
    </w:p>
    <w:p>
      <w:pPr>
        <w:pStyle w:val="4"/>
        <w:rPr>
          <w:rFonts w:ascii="Times New Roman" w:hAnsi="Times New Roman"/>
        </w:rPr>
      </w:pPr>
      <w:bookmarkStart w:id="23" w:name="_Toc175668054"/>
      <w:r>
        <w:rPr>
          <w:rFonts w:ascii="Times New Roman" w:hAnsi="Times New Roman"/>
        </w:rPr>
        <w:t xml:space="preserve">5.2 </w:t>
      </w:r>
      <w:r>
        <w:rPr>
          <w:rFonts w:hint="eastAsia" w:ascii="Times New Roman" w:hAnsi="Times New Roman"/>
        </w:rPr>
        <w:t>城市功能</w:t>
      </w:r>
      <w:r>
        <w:rPr>
          <w:rFonts w:ascii="Times New Roman" w:hAnsi="Times New Roman"/>
        </w:rPr>
        <w:t>协同</w:t>
      </w:r>
      <w:bookmarkEnd w:id="23"/>
    </w:p>
    <w:p>
      <w:pPr>
        <w:rPr>
          <w:szCs w:val="20"/>
        </w:rPr>
      </w:pPr>
      <w:r>
        <w:rPr>
          <w:szCs w:val="20"/>
        </w:rPr>
        <w:t xml:space="preserve">5.2.1  </w:t>
      </w:r>
      <w:r>
        <w:rPr>
          <w:rFonts w:hint="eastAsia"/>
          <w:szCs w:val="20"/>
        </w:rPr>
        <w:t>开展线路层面一体化应对轨道沿线区域的空间区位特征进行分析，研判轨道线路对于城市发展应发挥的作用，并从城市空间结构营造的角度提出轨道沿线区域规划的基本要求，提出城市空间、功能布局与轨道体系相互协同的规划策略。</w:t>
      </w:r>
    </w:p>
    <w:p>
      <w:pPr>
        <w:rPr>
          <w:szCs w:val="20"/>
        </w:rPr>
      </w:pPr>
      <w:r>
        <w:rPr>
          <w:szCs w:val="20"/>
        </w:rPr>
        <w:t>5.2.</w:t>
      </w:r>
      <w:r>
        <w:rPr>
          <w:rFonts w:hint="eastAsia"/>
          <w:szCs w:val="20"/>
        </w:rPr>
        <w:t>2</w:t>
      </w:r>
      <w:r>
        <w:rPr>
          <w:szCs w:val="20"/>
        </w:rPr>
        <w:t xml:space="preserve">  </w:t>
      </w:r>
      <w:r>
        <w:rPr>
          <w:rFonts w:hint="eastAsia"/>
          <w:szCs w:val="20"/>
        </w:rPr>
        <w:t>应提高轨道沿线区域的功能集聚程度。</w:t>
      </w:r>
    </w:p>
    <w:p>
      <w:pPr>
        <w:rPr>
          <w:szCs w:val="20"/>
        </w:rPr>
      </w:pPr>
      <w:r>
        <w:rPr>
          <w:szCs w:val="20"/>
        </w:rPr>
        <w:t>5.2.</w:t>
      </w:r>
      <w:r>
        <w:rPr>
          <w:rFonts w:hint="eastAsia"/>
          <w:szCs w:val="20"/>
        </w:rPr>
        <w:t>3</w:t>
      </w:r>
      <w:r>
        <w:rPr>
          <w:szCs w:val="20"/>
        </w:rPr>
        <w:t xml:space="preserve">  </w:t>
      </w:r>
      <w:r>
        <w:rPr>
          <w:rFonts w:hint="eastAsia"/>
          <w:szCs w:val="20"/>
        </w:rPr>
        <w:t>新建及更新轨道线路应结合车站客流特征与一体化研究范围内职住情况进行分析，对于因职住关系失衡导致客流分布问题突出的线路或局部段落，应提出沿线城市功能优化策略。</w:t>
      </w:r>
    </w:p>
    <w:p>
      <w:pPr>
        <w:pStyle w:val="4"/>
        <w:rPr>
          <w:rStyle w:val="26"/>
          <w:rFonts w:ascii="Times New Roman" w:hAnsi="Times New Roman" w:eastAsia="宋体"/>
          <w:bCs w:val="0"/>
        </w:rPr>
      </w:pPr>
      <w:bookmarkStart w:id="24" w:name="_Toc175668055"/>
      <w:r>
        <w:rPr>
          <w:rFonts w:ascii="Times New Roman" w:hAnsi="Times New Roman"/>
        </w:rPr>
        <w:t>5.3 交通</w:t>
      </w:r>
      <w:r>
        <w:rPr>
          <w:rFonts w:hint="eastAsia" w:ascii="Times New Roman" w:hAnsi="Times New Roman"/>
        </w:rPr>
        <w:t>协同</w:t>
      </w:r>
      <w:bookmarkEnd w:id="24"/>
    </w:p>
    <w:p>
      <w:pPr>
        <w:rPr>
          <w:szCs w:val="20"/>
        </w:rPr>
      </w:pPr>
      <w:r>
        <w:rPr>
          <w:szCs w:val="20"/>
        </w:rPr>
        <w:t>5.3.1</w:t>
      </w:r>
      <w:r>
        <w:rPr>
          <w:rFonts w:hint="eastAsia"/>
          <w:szCs w:val="20"/>
        </w:rPr>
        <w:t xml:space="preserve"> </w:t>
      </w:r>
      <w:r>
        <w:rPr>
          <w:szCs w:val="20"/>
        </w:rPr>
        <w:t xml:space="preserve"> </w:t>
      </w:r>
      <w:r>
        <w:rPr>
          <w:rFonts w:hint="eastAsia"/>
          <w:szCs w:val="20"/>
        </w:rPr>
        <w:t>轨道交通线路宜沿客流走廊或生活性干道布设。沿交通性干道单侧或在交通节点部分设置</w:t>
      </w:r>
      <w:r>
        <w:rPr>
          <w:szCs w:val="20"/>
        </w:rPr>
        <w:t>车站</w:t>
      </w:r>
      <w:r>
        <w:rPr>
          <w:rFonts w:hint="eastAsia"/>
          <w:szCs w:val="20"/>
        </w:rPr>
        <w:t>时，应在车站出入口5</w:t>
      </w:r>
      <w:r>
        <w:rPr>
          <w:szCs w:val="20"/>
        </w:rPr>
        <w:t>0米范围内设置跨越干道和节点的过街设施</w:t>
      </w:r>
      <w:r>
        <w:rPr>
          <w:rFonts w:hint="eastAsia"/>
          <w:szCs w:val="20"/>
        </w:rPr>
        <w:t>。</w:t>
      </w:r>
    </w:p>
    <w:p>
      <w:r>
        <w:rPr>
          <w:szCs w:val="20"/>
        </w:rPr>
        <w:t>5.3.2</w:t>
      </w:r>
      <w:r>
        <w:rPr>
          <w:rFonts w:hint="eastAsia"/>
          <w:szCs w:val="20"/>
        </w:rPr>
        <w:t xml:space="preserve"> </w:t>
      </w:r>
      <w:r>
        <w:rPr>
          <w:szCs w:val="20"/>
        </w:rPr>
        <w:t xml:space="preserve"> </w:t>
      </w:r>
      <w:r>
        <w:rPr>
          <w:rFonts w:hint="eastAsia"/>
          <w:szCs w:val="20"/>
        </w:rPr>
        <w:t>既有公交线网应结合新建轨道交通线路优化整合，</w:t>
      </w:r>
      <w:r>
        <w:rPr>
          <w:rFonts w:hint="eastAsia"/>
        </w:rPr>
        <w:t>轨道廊道内公交线路应与轨道交通差异供给，并兼顾城市交通应急功能。</w:t>
      </w:r>
    </w:p>
    <w:p>
      <w:pPr>
        <w:rPr>
          <w:szCs w:val="20"/>
        </w:rPr>
      </w:pPr>
      <w:r>
        <w:rPr>
          <w:rFonts w:hint="eastAsia"/>
          <w:szCs w:val="20"/>
        </w:rPr>
        <w:t>5.3.3  轨道交通与地面公交应形成合力，共同发展，不同地区轨道与公交应采用不同的功能定位。</w:t>
      </w:r>
    </w:p>
    <w:p>
      <w:pPr>
        <w:ind w:left="416" w:leftChars="200"/>
      </w:pPr>
      <w:r>
        <w:rPr>
          <w:rFonts w:hint="eastAsia"/>
        </w:rPr>
        <w:t>1  在中心城中心地区与城市副中心，地面公交应着重于织补，与轨道交通共同实现区域公共交通全覆盖。</w:t>
      </w:r>
    </w:p>
    <w:p>
      <w:pPr>
        <w:ind w:left="416" w:leftChars="200"/>
      </w:pPr>
      <w:r>
        <w:rPr>
          <w:rFonts w:hint="eastAsia"/>
        </w:rPr>
        <w:t>2  在边缘集团和多点新城，轨道交通应作为对外联系的骨干系统，地面公交应作为轨道交通的辅助及加密。</w:t>
      </w:r>
    </w:p>
    <w:p>
      <w:pPr>
        <w:ind w:left="416" w:leftChars="200"/>
      </w:pPr>
      <w:r>
        <w:rPr>
          <w:rFonts w:hint="eastAsia"/>
        </w:rPr>
        <w:t>3  在一区新城及跨界城市组团，地面公交应作为公共交通出行主体。</w:t>
      </w:r>
    </w:p>
    <w:p>
      <w:pPr>
        <w:pStyle w:val="4"/>
        <w:rPr>
          <w:rFonts w:ascii="Times New Roman" w:hAnsi="Times New Roman"/>
        </w:rPr>
      </w:pPr>
      <w:bookmarkStart w:id="25" w:name="_Toc175668056"/>
      <w:r>
        <w:rPr>
          <w:rFonts w:ascii="Times New Roman" w:hAnsi="Times New Roman"/>
        </w:rPr>
        <w:t>5.4 市政</w:t>
      </w:r>
      <w:r>
        <w:rPr>
          <w:rFonts w:hint="eastAsia" w:ascii="Times New Roman" w:hAnsi="Times New Roman"/>
        </w:rPr>
        <w:t>协同</w:t>
      </w:r>
      <w:bookmarkEnd w:id="25"/>
    </w:p>
    <w:p>
      <w:pPr>
        <w:rPr>
          <w:szCs w:val="20"/>
        </w:rPr>
      </w:pPr>
      <w:r>
        <w:rPr>
          <w:szCs w:val="20"/>
        </w:rPr>
        <w:t>5.4.1  轨道线路</w:t>
      </w:r>
      <w:r>
        <w:rPr>
          <w:rFonts w:hint="eastAsia"/>
          <w:szCs w:val="20"/>
        </w:rPr>
        <w:t>规划应符合下列规定：</w:t>
      </w:r>
    </w:p>
    <w:p>
      <w:pPr>
        <w:ind w:left="416" w:leftChars="200"/>
      </w:pPr>
      <w:r>
        <w:rPr>
          <w:rFonts w:hint="eastAsia"/>
        </w:rPr>
        <w:t xml:space="preserve">1  </w:t>
      </w:r>
      <w:r>
        <w:t>应与</w:t>
      </w:r>
      <w:r>
        <w:rPr>
          <w:rFonts w:hint="eastAsia"/>
        </w:rPr>
        <w:t>沿线</w:t>
      </w:r>
      <w:r>
        <w:t>地上、地下市政设施</w:t>
      </w:r>
      <w:r>
        <w:rPr>
          <w:rFonts w:hint="eastAsia"/>
        </w:rPr>
        <w:t>相</w:t>
      </w:r>
      <w:r>
        <w:t>协调</w:t>
      </w:r>
      <w:r>
        <w:rPr>
          <w:rFonts w:hint="eastAsia"/>
        </w:rPr>
        <w:t>。</w:t>
      </w:r>
    </w:p>
    <w:p>
      <w:pPr>
        <w:ind w:left="416" w:leftChars="200"/>
      </w:pPr>
      <w:r>
        <w:rPr>
          <w:rFonts w:hint="eastAsia"/>
        </w:rPr>
        <w:t xml:space="preserve">2  </w:t>
      </w:r>
      <w:r>
        <w:t>并</w:t>
      </w:r>
      <w:r>
        <w:rPr>
          <w:rFonts w:hint="eastAsia"/>
        </w:rPr>
        <w:t>应满足</w:t>
      </w:r>
      <w:r>
        <w:t>110kV及以上</w:t>
      </w:r>
      <w:r>
        <w:rPr>
          <w:rFonts w:hint="eastAsia"/>
        </w:rPr>
        <w:t>电力设施</w:t>
      </w:r>
      <w:r>
        <w:t>、油气管</w:t>
      </w:r>
      <w:r>
        <w:rPr>
          <w:rFonts w:hint="eastAsia"/>
        </w:rPr>
        <w:t>道</w:t>
      </w:r>
      <w:r>
        <w:t>、</w:t>
      </w:r>
      <w:r>
        <w:rPr>
          <w:rFonts w:hint="eastAsia"/>
        </w:rPr>
        <w:t>天然</w:t>
      </w:r>
      <w:r>
        <w:t>气管</w:t>
      </w:r>
      <w:r>
        <w:rPr>
          <w:rFonts w:hint="eastAsia"/>
        </w:rPr>
        <w:t>道、给水干管、排水干管、供热干管、综合管廊等重大</w:t>
      </w:r>
      <w:r>
        <w:t>市政设施对轨道线</w:t>
      </w:r>
      <w:r>
        <w:rPr>
          <w:rFonts w:hint="eastAsia"/>
        </w:rPr>
        <w:t>路</w:t>
      </w:r>
      <w:r>
        <w:t>的限制性及管控要求。</w:t>
      </w:r>
    </w:p>
    <w:p>
      <w:pPr>
        <w:ind w:left="416" w:leftChars="200"/>
        <w:rPr>
          <w:rFonts w:hint="eastAsia"/>
        </w:rPr>
      </w:pPr>
      <w:r>
        <w:rPr>
          <w:rFonts w:hint="eastAsia"/>
        </w:rPr>
        <w:t>3  沿线设置的变配电所应与外部电源供给相协调。</w:t>
      </w:r>
    </w:p>
    <w:p>
      <w:pPr>
        <w:rPr>
          <w:szCs w:val="20"/>
        </w:rPr>
      </w:pPr>
      <w:r>
        <w:rPr>
          <w:szCs w:val="20"/>
        </w:rPr>
        <w:t>5.4.2  轨道线路</w:t>
      </w:r>
      <w:r>
        <w:rPr>
          <w:rFonts w:hint="eastAsia"/>
          <w:szCs w:val="20"/>
        </w:rPr>
        <w:t>一体化</w:t>
      </w:r>
      <w:r>
        <w:rPr>
          <w:szCs w:val="20"/>
        </w:rPr>
        <w:t>应</w:t>
      </w:r>
      <w:r>
        <w:rPr>
          <w:rFonts w:hint="eastAsia"/>
          <w:szCs w:val="20"/>
        </w:rPr>
        <w:t>满足沿线</w:t>
      </w:r>
      <w:r>
        <w:rPr>
          <w:szCs w:val="20"/>
        </w:rPr>
        <w:t>市政</w:t>
      </w:r>
      <w:r>
        <w:rPr>
          <w:rFonts w:hint="eastAsia"/>
          <w:szCs w:val="20"/>
        </w:rPr>
        <w:t>公用</w:t>
      </w:r>
      <w:r>
        <w:rPr>
          <w:szCs w:val="20"/>
        </w:rPr>
        <w:t>设施发展空间需求，且应符合下列规定：</w:t>
      </w:r>
    </w:p>
    <w:p>
      <w:pPr>
        <w:ind w:left="416" w:leftChars="200"/>
      </w:pPr>
      <w:r>
        <w:t xml:space="preserve">1  </w:t>
      </w:r>
      <w:r>
        <w:rPr>
          <w:rFonts w:hint="eastAsia"/>
        </w:rPr>
        <w:t>轨道实施时应同步建设市政给水、排水、供热、天然气、电力、通信等管线或预留敷设市政管线的廊道空间。</w:t>
      </w:r>
    </w:p>
    <w:p>
      <w:pPr>
        <w:ind w:left="416" w:leftChars="200"/>
      </w:pPr>
      <w:r>
        <w:t xml:space="preserve">2  </w:t>
      </w:r>
      <w:r>
        <w:rPr>
          <w:rFonts w:hint="eastAsia"/>
        </w:rPr>
        <w:t>现状或规划地下市政管线较为密集地段应设置综合管廊集约敷设地下市政管线。</w:t>
      </w:r>
    </w:p>
    <w:p>
      <w:pPr>
        <w:rPr>
          <w:szCs w:val="20"/>
        </w:rPr>
      </w:pPr>
      <w:r>
        <w:rPr>
          <w:szCs w:val="20"/>
        </w:rPr>
        <w:t xml:space="preserve">5.4.3  </w:t>
      </w:r>
      <w:r>
        <w:rPr>
          <w:rFonts w:hint="eastAsia"/>
          <w:szCs w:val="20"/>
        </w:rPr>
        <w:t>加强现状与规划市政管线的统筹，与轨道线路相交的城市干路及其他重要市政廊道空间宜设置节点型综合管廊，综合管廊出地面附属构筑物宜与轨道交通工程附属设施结合设置。</w:t>
      </w:r>
    </w:p>
    <w:p>
      <w:pPr>
        <w:rPr>
          <w:szCs w:val="20"/>
        </w:rPr>
      </w:pPr>
      <w:r>
        <w:rPr>
          <w:szCs w:val="20"/>
        </w:rPr>
        <w:t>5.4.</w:t>
      </w:r>
      <w:r>
        <w:rPr>
          <w:rFonts w:hint="eastAsia"/>
          <w:szCs w:val="20"/>
        </w:rPr>
        <w:t>4</w:t>
      </w:r>
      <w:r>
        <w:rPr>
          <w:szCs w:val="20"/>
        </w:rPr>
        <w:t xml:space="preserve">  </w:t>
      </w:r>
      <w:r>
        <w:rPr>
          <w:rFonts w:hint="eastAsia"/>
          <w:szCs w:val="20"/>
        </w:rPr>
        <w:t>轨道线路一体化的内涝防治标准应符合该地区的内涝防治要求，条件受限时应采取相应措施。</w:t>
      </w:r>
    </w:p>
    <w:p>
      <w:pPr>
        <w:pStyle w:val="4"/>
        <w:rPr>
          <w:rFonts w:ascii="Times New Roman" w:hAnsi="Times New Roman"/>
        </w:rPr>
      </w:pPr>
      <w:bookmarkStart w:id="26" w:name="_Toc175668057"/>
      <w:r>
        <w:rPr>
          <w:rFonts w:ascii="Times New Roman" w:hAnsi="Times New Roman"/>
        </w:rPr>
        <w:t xml:space="preserve">5.5 </w:t>
      </w:r>
      <w:r>
        <w:rPr>
          <w:rFonts w:hint="eastAsia" w:ascii="Times New Roman" w:hAnsi="Times New Roman"/>
        </w:rPr>
        <w:t>地下空间</w:t>
      </w:r>
      <w:bookmarkEnd w:id="26"/>
    </w:p>
    <w:p>
      <w:pPr>
        <w:rPr>
          <w:szCs w:val="20"/>
        </w:rPr>
      </w:pPr>
      <w:r>
        <w:rPr>
          <w:szCs w:val="20"/>
        </w:rPr>
        <w:t xml:space="preserve">5.5.1  </w:t>
      </w:r>
      <w:r>
        <w:rPr>
          <w:rFonts w:hint="eastAsia"/>
          <w:szCs w:val="20"/>
        </w:rPr>
        <w:t>轨道线路的建设应与地下空间竖向分层功能和空间关系相协调，宜将</w:t>
      </w:r>
      <w:bookmarkStart w:id="27" w:name="_Hlk170120490"/>
      <w:r>
        <w:rPr>
          <w:rFonts w:hint="eastAsia"/>
          <w:szCs w:val="20"/>
        </w:rPr>
        <w:t>人行活动频繁的地下公共空间区域</w:t>
      </w:r>
      <w:bookmarkEnd w:id="27"/>
      <w:r>
        <w:rPr>
          <w:rFonts w:hint="eastAsia"/>
          <w:szCs w:val="20"/>
        </w:rPr>
        <w:t>及直埋市政管线布置于较浅区域，将少人或无人的物用空间布置于较深区域。</w:t>
      </w:r>
    </w:p>
    <w:p>
      <w:pPr>
        <w:rPr>
          <w:szCs w:val="20"/>
        </w:rPr>
      </w:pPr>
      <w:r>
        <w:rPr>
          <w:szCs w:val="20"/>
        </w:rPr>
        <w:t xml:space="preserve">5.5.2  </w:t>
      </w:r>
      <w:r>
        <w:rPr>
          <w:rFonts w:hint="eastAsia"/>
          <w:szCs w:val="20"/>
        </w:rPr>
        <w:t>在一体化重点区内采用地下方式敷设的两条及以上轨道交通线路共廊区段，应结合沿线城市空间功能、发展定位、轨道交通施工工法和经济性评价情况，开展地下空间综合利用可行性研究，综合利用轨道区间上方和车站周边地下空间，</w:t>
      </w:r>
      <w:r>
        <w:rPr>
          <w:rFonts w:hint="eastAsia"/>
        </w:rPr>
        <w:t>可布局商业、公共服务等功能，</w:t>
      </w:r>
      <w:r>
        <w:rPr>
          <w:rFonts w:hint="eastAsia"/>
          <w:szCs w:val="20"/>
        </w:rPr>
        <w:t>形成连续畅通开放的地下步行系统。</w:t>
      </w:r>
    </w:p>
    <w:p>
      <w:pPr>
        <w:pStyle w:val="4"/>
        <w:rPr>
          <w:rFonts w:ascii="Times New Roman" w:hAnsi="Times New Roman"/>
        </w:rPr>
      </w:pPr>
      <w:bookmarkStart w:id="28" w:name="_Toc175668058"/>
      <w:r>
        <w:rPr>
          <w:rFonts w:ascii="Times New Roman" w:hAnsi="Times New Roman"/>
        </w:rPr>
        <w:t xml:space="preserve">5.6 </w:t>
      </w:r>
      <w:r>
        <w:rPr>
          <w:rFonts w:hint="eastAsia" w:ascii="Times New Roman" w:hAnsi="Times New Roman"/>
        </w:rPr>
        <w:t>用地控制</w:t>
      </w:r>
      <w:bookmarkEnd w:id="28"/>
    </w:p>
    <w:p>
      <w:pPr>
        <w:rPr>
          <w:szCs w:val="20"/>
        </w:rPr>
      </w:pPr>
      <w:r>
        <w:rPr>
          <w:szCs w:val="20"/>
        </w:rPr>
        <w:t>5.6.</w:t>
      </w:r>
      <w:r>
        <w:rPr>
          <w:rFonts w:hint="eastAsia"/>
          <w:szCs w:val="20"/>
        </w:rPr>
        <w:t>1</w:t>
      </w:r>
      <w:r>
        <w:rPr>
          <w:szCs w:val="20"/>
        </w:rPr>
        <w:t xml:space="preserve">  </w:t>
      </w:r>
      <w:r>
        <w:rPr>
          <w:rFonts w:hint="eastAsia"/>
          <w:szCs w:val="20"/>
        </w:rPr>
        <w:t>轨道控制线划定</w:t>
      </w:r>
      <w:r>
        <w:rPr>
          <w:rFonts w:hint="eastAsia"/>
        </w:rPr>
        <w:t>应符合下列规定</w:t>
      </w:r>
      <w:r>
        <w:rPr>
          <w:rFonts w:hint="eastAsia"/>
          <w:szCs w:val="20"/>
        </w:rPr>
        <w:t>：</w:t>
      </w:r>
    </w:p>
    <w:p>
      <w:pPr>
        <w:ind w:left="416" w:leftChars="200"/>
      </w:pPr>
      <w:r>
        <w:rPr>
          <w:rFonts w:hint="eastAsia"/>
        </w:rPr>
        <w:t>1</w:t>
      </w:r>
      <w:r>
        <w:t xml:space="preserve">  </w:t>
      </w:r>
      <w:r>
        <w:rPr>
          <w:rFonts w:hint="eastAsia"/>
        </w:rPr>
        <w:t>应保证线路功能、技术标准及工程合理可行，尽量减少对沿线土地开发利用的影响，优先保障一体化规划实施。</w:t>
      </w:r>
    </w:p>
    <w:p>
      <w:pPr>
        <w:ind w:left="416" w:leftChars="200"/>
      </w:pPr>
      <w:r>
        <w:t xml:space="preserve">2  </w:t>
      </w:r>
      <w:r>
        <w:rPr>
          <w:rFonts w:hint="eastAsia"/>
        </w:rPr>
        <w:t>沿线用地已开发的，轨道交通规划控制线应考虑环境影响、工程实施等因素划定。</w:t>
      </w:r>
    </w:p>
    <w:p>
      <w:pPr>
        <w:ind w:left="416" w:leftChars="200"/>
      </w:pPr>
      <w:r>
        <w:t xml:space="preserve">3  </w:t>
      </w:r>
      <w:r>
        <w:rPr>
          <w:rFonts w:hint="eastAsia"/>
        </w:rPr>
        <w:t>沿线用地尚未开发的，应通过控制线划定，加强多主体协调，进一步明确轨道交通与地块关系，将轨道交通相关控制要求纳入用地规划条件。</w:t>
      </w:r>
    </w:p>
    <w:p>
      <w:pPr>
        <w:rPr>
          <w:szCs w:val="20"/>
        </w:rPr>
      </w:pPr>
      <w:r>
        <w:rPr>
          <w:szCs w:val="20"/>
        </w:rPr>
        <w:t xml:space="preserve">5.6.2  </w:t>
      </w:r>
      <w:r>
        <w:rPr>
          <w:rFonts w:hint="eastAsia"/>
          <w:szCs w:val="20"/>
        </w:rPr>
        <w:t>地下轨道交通线路应以结构轮廓外（或</w:t>
      </w:r>
      <w:r>
        <w:rPr>
          <w:szCs w:val="20"/>
        </w:rPr>
        <w:t>外边线外</w:t>
      </w:r>
      <w:r>
        <w:rPr>
          <w:rFonts w:hint="eastAsia"/>
          <w:szCs w:val="20"/>
        </w:rPr>
        <w:t>、</w:t>
      </w:r>
      <w:r>
        <w:rPr>
          <w:szCs w:val="20"/>
        </w:rPr>
        <w:t>外边线垂直投影外</w:t>
      </w:r>
      <w:r>
        <w:rPr>
          <w:rFonts w:hint="eastAsia"/>
          <w:szCs w:val="20"/>
        </w:rPr>
        <w:t>）</w:t>
      </w:r>
      <w:r>
        <w:rPr>
          <w:szCs w:val="20"/>
        </w:rPr>
        <w:t>10米</w:t>
      </w:r>
      <w:r>
        <w:rPr>
          <w:rFonts w:hint="eastAsia"/>
          <w:szCs w:val="20"/>
        </w:rPr>
        <w:t>，</w:t>
      </w:r>
      <w:r>
        <w:rPr>
          <w:szCs w:val="20"/>
        </w:rPr>
        <w:t>高架或地面</w:t>
      </w:r>
      <w:r>
        <w:rPr>
          <w:rFonts w:hint="eastAsia"/>
          <w:szCs w:val="20"/>
        </w:rPr>
        <w:t>轨道交通线路</w:t>
      </w:r>
      <w:r>
        <w:rPr>
          <w:szCs w:val="20"/>
        </w:rPr>
        <w:t>（含联络线）</w:t>
      </w:r>
      <w:r>
        <w:rPr>
          <w:rFonts w:hint="eastAsia"/>
          <w:szCs w:val="20"/>
        </w:rPr>
        <w:t>应以</w:t>
      </w:r>
      <w:r>
        <w:rPr>
          <w:szCs w:val="20"/>
        </w:rPr>
        <w:t>结构轮廓外</w:t>
      </w:r>
      <w:r>
        <w:rPr>
          <w:rFonts w:hint="eastAsia"/>
          <w:szCs w:val="20"/>
        </w:rPr>
        <w:t>（或</w:t>
      </w:r>
      <w:r>
        <w:rPr>
          <w:szCs w:val="20"/>
        </w:rPr>
        <w:t>外边线外</w:t>
      </w:r>
      <w:r>
        <w:rPr>
          <w:rFonts w:hint="eastAsia"/>
          <w:szCs w:val="20"/>
        </w:rPr>
        <w:t>、</w:t>
      </w:r>
      <w:r>
        <w:rPr>
          <w:szCs w:val="20"/>
        </w:rPr>
        <w:t>外边线垂直投影外</w:t>
      </w:r>
      <w:r>
        <w:rPr>
          <w:rFonts w:hint="eastAsia"/>
          <w:szCs w:val="20"/>
        </w:rPr>
        <w:t>）</w:t>
      </w:r>
      <w:r>
        <w:rPr>
          <w:szCs w:val="20"/>
        </w:rPr>
        <w:t>30米</w:t>
      </w:r>
      <w:r>
        <w:rPr>
          <w:rFonts w:hint="eastAsia"/>
          <w:szCs w:val="20"/>
        </w:rPr>
        <w:t>为基准，沿轨道线路（包括正线、出入线、联络线等）划定轨道区间规划控制线。</w:t>
      </w:r>
    </w:p>
    <w:p>
      <w:pPr>
        <w:rPr>
          <w:szCs w:val="20"/>
        </w:rPr>
      </w:pPr>
      <w:r>
        <w:rPr>
          <w:szCs w:val="20"/>
        </w:rPr>
        <w:t xml:space="preserve">5.6.3  </w:t>
      </w:r>
      <w:r>
        <w:rPr>
          <w:rFonts w:hint="eastAsia"/>
          <w:szCs w:val="20"/>
        </w:rPr>
        <w:t>车站用地控制范围划定应考虑车站实施、一体化需求并优先保障车站附属设施一体化结建。具体控制范围划定</w:t>
      </w:r>
      <w:r>
        <w:rPr>
          <w:rFonts w:hint="eastAsia"/>
        </w:rPr>
        <w:t>应符合下列规定</w:t>
      </w:r>
      <w:r>
        <w:rPr>
          <w:rFonts w:hint="eastAsia"/>
          <w:szCs w:val="20"/>
        </w:rPr>
        <w:t>：</w:t>
      </w:r>
    </w:p>
    <w:p>
      <w:pPr>
        <w:ind w:firstLine="416" w:firstLineChars="200"/>
        <w:rPr>
          <w:szCs w:val="20"/>
        </w:rPr>
      </w:pPr>
      <w:r>
        <w:rPr>
          <w:szCs w:val="20"/>
        </w:rPr>
        <w:t xml:space="preserve">1  </w:t>
      </w:r>
      <w:r>
        <w:rPr>
          <w:rFonts w:hint="eastAsia"/>
          <w:szCs w:val="20"/>
        </w:rPr>
        <w:t>车站结构轮廓外</w:t>
      </w:r>
      <w:r>
        <w:rPr>
          <w:szCs w:val="20"/>
        </w:rPr>
        <w:t>/外边线外/外边线垂直投影外5米</w:t>
      </w:r>
      <w:r>
        <w:rPr>
          <w:rFonts w:hint="eastAsia"/>
          <w:szCs w:val="20"/>
        </w:rPr>
        <w:t>作为规划</w:t>
      </w:r>
      <w:r>
        <w:rPr>
          <w:szCs w:val="20"/>
        </w:rPr>
        <w:t>控制范围</w:t>
      </w:r>
      <w:r>
        <w:rPr>
          <w:rFonts w:hint="eastAsia"/>
          <w:szCs w:val="20"/>
        </w:rPr>
        <w:t>。</w:t>
      </w:r>
    </w:p>
    <w:p>
      <w:pPr>
        <w:ind w:firstLine="416" w:firstLineChars="200"/>
        <w:rPr>
          <w:szCs w:val="20"/>
        </w:rPr>
      </w:pPr>
      <w:r>
        <w:rPr>
          <w:szCs w:val="20"/>
        </w:rPr>
        <w:t>2  风亭、冷却塔设施外边线外5米</w:t>
      </w:r>
      <w:r>
        <w:rPr>
          <w:rFonts w:hint="eastAsia"/>
          <w:szCs w:val="20"/>
        </w:rPr>
        <w:t>作为规划</w:t>
      </w:r>
      <w:r>
        <w:rPr>
          <w:szCs w:val="20"/>
        </w:rPr>
        <w:t>控制范围</w:t>
      </w:r>
      <w:r>
        <w:rPr>
          <w:rFonts w:hint="eastAsia"/>
          <w:szCs w:val="20"/>
        </w:rPr>
        <w:t>。</w:t>
      </w:r>
    </w:p>
    <w:p>
      <w:pPr>
        <w:ind w:firstLine="416" w:firstLineChars="200"/>
        <w:rPr>
          <w:szCs w:val="20"/>
        </w:rPr>
      </w:pPr>
      <w:r>
        <w:rPr>
          <w:rFonts w:hint="eastAsia"/>
          <w:szCs w:val="20"/>
        </w:rPr>
        <w:t>3</w:t>
      </w:r>
      <w:r>
        <w:rPr>
          <w:szCs w:val="20"/>
        </w:rPr>
        <w:t xml:space="preserve">  区间风井、过渡段洞口位置的建筑外侧边界</w:t>
      </w:r>
      <w:r>
        <w:rPr>
          <w:rFonts w:hint="eastAsia"/>
          <w:szCs w:val="20"/>
        </w:rPr>
        <w:t>外</w:t>
      </w:r>
      <w:r>
        <w:rPr>
          <w:szCs w:val="20"/>
        </w:rPr>
        <w:t>10米作为</w:t>
      </w:r>
      <w:r>
        <w:rPr>
          <w:rFonts w:hint="eastAsia"/>
          <w:szCs w:val="20"/>
        </w:rPr>
        <w:t>规划</w:t>
      </w:r>
      <w:r>
        <w:rPr>
          <w:szCs w:val="20"/>
        </w:rPr>
        <w:t>控制范围。</w:t>
      </w:r>
    </w:p>
    <w:p>
      <w:pPr>
        <w:ind w:firstLine="416" w:firstLineChars="200"/>
        <w:rPr>
          <w:szCs w:val="20"/>
        </w:rPr>
      </w:pPr>
      <w:r>
        <w:rPr>
          <w:rFonts w:hint="eastAsia"/>
          <w:szCs w:val="20"/>
        </w:rPr>
        <w:t>4  不应机械地划定车站附属设施控制线，而要综合考虑站点周边一体化需求。尽量结合已规划的商业服务及办公等公共服务用地来划定车站控制线，以复合车站附属设施。</w:t>
      </w:r>
    </w:p>
    <w:p>
      <w:pPr>
        <w:rPr>
          <w:szCs w:val="20"/>
        </w:rPr>
      </w:pPr>
      <w:r>
        <w:rPr>
          <w:szCs w:val="20"/>
        </w:rPr>
        <w:t xml:space="preserve">5.6.4  </w:t>
      </w:r>
      <w:r>
        <w:rPr>
          <w:rFonts w:hint="eastAsia"/>
          <w:szCs w:val="20"/>
        </w:rPr>
        <w:t>应依据车辆制式、车辆编组、出入线的衔接可行性、车辆基地在线网中的功能、检修任务量、是否具备试车线等因素，控制单车占地指标，选址应尽量规整、避免切割用地及中断城市干道。</w:t>
      </w:r>
      <w:r>
        <w:rPr>
          <w:szCs w:val="20"/>
        </w:rPr>
        <w:t>用地控制线</w:t>
      </w:r>
      <w:r>
        <w:rPr>
          <w:rFonts w:hint="eastAsia"/>
          <w:szCs w:val="20"/>
        </w:rPr>
        <w:t>应</w:t>
      </w:r>
      <w:r>
        <w:rPr>
          <w:szCs w:val="20"/>
        </w:rPr>
        <w:t>按照车辆</w:t>
      </w:r>
      <w:r>
        <w:rPr>
          <w:rFonts w:hint="eastAsia"/>
          <w:szCs w:val="20"/>
        </w:rPr>
        <w:t>基地</w:t>
      </w:r>
      <w:r>
        <w:rPr>
          <w:szCs w:val="20"/>
        </w:rPr>
        <w:t>用地边界外扩15米控制。如对车辆</w:t>
      </w:r>
      <w:r>
        <w:rPr>
          <w:rFonts w:hint="eastAsia"/>
          <w:szCs w:val="20"/>
        </w:rPr>
        <w:t>基地</w:t>
      </w:r>
      <w:r>
        <w:rPr>
          <w:szCs w:val="20"/>
        </w:rPr>
        <w:t>进行上盖开发，</w:t>
      </w:r>
      <w:r>
        <w:rPr>
          <w:rFonts w:hint="eastAsia"/>
          <w:szCs w:val="20"/>
        </w:rPr>
        <w:t>应</w:t>
      </w:r>
      <w:r>
        <w:rPr>
          <w:szCs w:val="20"/>
        </w:rPr>
        <w:t>满足盖上盖下实现交通联络的用地要求。</w:t>
      </w:r>
    </w:p>
    <w:p>
      <w:pPr>
        <w:sectPr>
          <w:pgSz w:w="11906" w:h="16838"/>
          <w:pgMar w:top="1440" w:right="1800" w:bottom="1440" w:left="1800" w:header="851" w:footer="992" w:gutter="0"/>
          <w:cols w:space="425" w:num="1"/>
          <w:docGrid w:type="lines" w:linePitch="312" w:charSpace="0"/>
        </w:sectPr>
      </w:pPr>
      <w:r>
        <w:rPr>
          <w:szCs w:val="20"/>
        </w:rPr>
        <w:t xml:space="preserve">5.6.5  </w:t>
      </w:r>
      <w:r>
        <w:rPr>
          <w:rFonts w:hint="eastAsia"/>
          <w:szCs w:val="20"/>
        </w:rPr>
        <w:t>控制线范围内应限制新建各种大型建筑、地下构筑物，或穿越轨道交通建筑结构下方的构筑物。必要时应预留条件和保护措施，确保轨道交通结构稳定。</w:t>
      </w:r>
    </w:p>
    <w:p>
      <w:pPr>
        <w:pStyle w:val="3"/>
        <w:rPr>
          <w:rFonts w:ascii="Times New Roman" w:hAnsi="Times New Roman" w:cs="Times New Roman"/>
        </w:rPr>
      </w:pPr>
      <w:bookmarkStart w:id="29" w:name="_Toc175668059"/>
      <w:r>
        <w:rPr>
          <w:rFonts w:ascii="Times New Roman" w:hAnsi="Times New Roman" w:cs="Times New Roman"/>
        </w:rPr>
        <w:t xml:space="preserve">6  </w:t>
      </w:r>
      <w:r>
        <w:rPr>
          <w:rFonts w:hint="eastAsia" w:ascii="Times New Roman" w:hAnsi="Times New Roman" w:cs="Times New Roman"/>
        </w:rPr>
        <w:t>轨道车</w:t>
      </w:r>
      <w:r>
        <w:rPr>
          <w:rFonts w:ascii="Times New Roman" w:hAnsi="Times New Roman" w:cs="Times New Roman"/>
        </w:rPr>
        <w:t>站</w:t>
      </w:r>
      <w:r>
        <w:rPr>
          <w:rFonts w:hint="eastAsia" w:ascii="Times New Roman" w:hAnsi="Times New Roman" w:cs="Times New Roman"/>
        </w:rPr>
        <w:t>一体化</w:t>
      </w:r>
      <w:bookmarkEnd w:id="29"/>
    </w:p>
    <w:p>
      <w:pPr>
        <w:pStyle w:val="4"/>
        <w:rPr>
          <w:rFonts w:ascii="Times New Roman" w:hAnsi="Times New Roman"/>
        </w:rPr>
      </w:pPr>
      <w:bookmarkStart w:id="30" w:name="_Toc175668060"/>
      <w:r>
        <w:rPr>
          <w:rFonts w:ascii="Times New Roman" w:hAnsi="Times New Roman"/>
        </w:rPr>
        <w:t>6.1 一般规定</w:t>
      </w:r>
      <w:bookmarkEnd w:id="30"/>
    </w:p>
    <w:p>
      <w:pPr>
        <w:rPr>
          <w:szCs w:val="20"/>
        </w:rPr>
      </w:pPr>
      <w:r>
        <w:rPr>
          <w:szCs w:val="20"/>
        </w:rPr>
        <w:t xml:space="preserve">6.1.1  </w:t>
      </w:r>
      <w:r>
        <w:rPr>
          <w:rFonts w:hint="eastAsia"/>
          <w:szCs w:val="20"/>
        </w:rPr>
        <w:t>车</w:t>
      </w:r>
      <w:r>
        <w:rPr>
          <w:szCs w:val="20"/>
        </w:rPr>
        <w:t>站</w:t>
      </w:r>
      <w:r>
        <w:rPr>
          <w:rFonts w:hint="eastAsia"/>
          <w:szCs w:val="20"/>
        </w:rPr>
        <w:t>层面</w:t>
      </w:r>
      <w:r>
        <w:rPr>
          <w:szCs w:val="20"/>
        </w:rPr>
        <w:t>一体化应充分实现用地集约利用、功能复合多样、流线清晰便捷、布局安全可靠、权属切分明确。</w:t>
      </w:r>
    </w:p>
    <w:p>
      <w:pPr>
        <w:rPr>
          <w:szCs w:val="20"/>
        </w:rPr>
      </w:pPr>
      <w:r>
        <w:rPr>
          <w:szCs w:val="20"/>
        </w:rPr>
        <w:t xml:space="preserve">6.1.2  </w:t>
      </w:r>
      <w:r>
        <w:rPr>
          <w:rFonts w:hint="eastAsia"/>
          <w:szCs w:val="20"/>
        </w:rPr>
        <w:t>车</w:t>
      </w:r>
      <w:r>
        <w:rPr>
          <w:szCs w:val="20"/>
        </w:rPr>
        <w:t>站</w:t>
      </w:r>
      <w:r>
        <w:rPr>
          <w:rFonts w:hint="eastAsia"/>
          <w:szCs w:val="20"/>
        </w:rPr>
        <w:t>层面</w:t>
      </w:r>
      <w:r>
        <w:rPr>
          <w:szCs w:val="20"/>
        </w:rPr>
        <w:t>一体化应结合上位规划，明确</w:t>
      </w:r>
      <w:r>
        <w:rPr>
          <w:rFonts w:hint="eastAsia"/>
          <w:szCs w:val="20"/>
        </w:rPr>
        <w:t>车</w:t>
      </w:r>
      <w:r>
        <w:rPr>
          <w:szCs w:val="20"/>
        </w:rPr>
        <w:t>站一体化的规划设计</w:t>
      </w:r>
      <w:r>
        <w:rPr>
          <w:rFonts w:hint="eastAsia"/>
          <w:szCs w:val="20"/>
        </w:rPr>
        <w:t>核心范围和研究</w:t>
      </w:r>
      <w:r>
        <w:rPr>
          <w:szCs w:val="20"/>
        </w:rPr>
        <w:t>范围，确定用地性质、开发强度等规划指标，确定</w:t>
      </w:r>
      <w:r>
        <w:rPr>
          <w:rFonts w:hint="eastAsia"/>
          <w:szCs w:val="20"/>
        </w:rPr>
        <w:t>车</w:t>
      </w:r>
      <w:r>
        <w:rPr>
          <w:szCs w:val="20"/>
        </w:rPr>
        <w:t>站周边地上地下交通衔接需求及方式，明确轨道交通在一体化</w:t>
      </w:r>
      <w:r>
        <w:rPr>
          <w:rFonts w:hint="eastAsia"/>
          <w:szCs w:val="20"/>
        </w:rPr>
        <w:t>研究范围内</w:t>
      </w:r>
      <w:r>
        <w:rPr>
          <w:szCs w:val="20"/>
        </w:rPr>
        <w:t>的相关规划设计要求，协调布局市政设施，提出空间设计引导，并对地下空间和地面绿地景观提出规划设计要求。</w:t>
      </w:r>
    </w:p>
    <w:p>
      <w:pPr>
        <w:pStyle w:val="4"/>
        <w:rPr>
          <w:rFonts w:ascii="Times New Roman" w:hAnsi="Times New Roman"/>
        </w:rPr>
      </w:pPr>
      <w:bookmarkStart w:id="31" w:name="_Toc175668061"/>
      <w:r>
        <w:rPr>
          <w:rFonts w:ascii="Times New Roman" w:hAnsi="Times New Roman"/>
        </w:rPr>
        <w:t>6.2 用地规划</w:t>
      </w:r>
      <w:bookmarkEnd w:id="31"/>
    </w:p>
    <w:p>
      <w:r>
        <w:rPr>
          <w:szCs w:val="20"/>
        </w:rPr>
        <w:t>6.2.</w:t>
      </w:r>
      <w:r>
        <w:rPr>
          <w:rFonts w:hint="eastAsia"/>
          <w:szCs w:val="20"/>
        </w:rPr>
        <w:t>1</w:t>
      </w:r>
      <w:r>
        <w:rPr>
          <w:szCs w:val="20"/>
        </w:rPr>
        <w:t xml:space="preserve">  </w:t>
      </w:r>
      <w:r>
        <w:rPr>
          <w:rFonts w:hint="eastAsia"/>
          <w:szCs w:val="20"/>
        </w:rPr>
        <w:t>一体化研究范围内的用地功能安排应有利于保障轨道客流，并应进一步增强一体化核心范围内城市功能的公共性。对周边环境、公众健康和安全存在潜在不利影响的用地不应布局在一体化研究范围内。</w:t>
      </w:r>
      <w:r>
        <w:rPr>
          <w:rFonts w:hint="eastAsia"/>
        </w:rPr>
        <w:t>宜参考下表要求确定用地功能安排：</w:t>
      </w:r>
    </w:p>
    <w:p>
      <w:pPr>
        <w:ind w:firstLine="560"/>
        <w:jc w:val="center"/>
      </w:pPr>
      <w:r>
        <w:t>表6.1 按</w:t>
      </w:r>
      <w:r>
        <w:rPr>
          <w:rFonts w:hint="eastAsia"/>
        </w:rPr>
        <w:t>车站</w:t>
      </w:r>
      <w:r>
        <w:t>等级划分的场站一体化用地性质与主导功能引导</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462"/>
        <w:gridCol w:w="675"/>
        <w:gridCol w:w="2556"/>
        <w:gridCol w:w="2594"/>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指标大类</w:t>
            </w:r>
          </w:p>
        </w:tc>
        <w:tc>
          <w:tcPr>
            <w:tcW w:w="0" w:type="auto"/>
            <w:vMerge w:val="restart"/>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指标细分</w:t>
            </w:r>
          </w:p>
        </w:tc>
        <w:tc>
          <w:tcPr>
            <w:tcW w:w="0" w:type="auto"/>
            <w:gridSpan w:val="4"/>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站点等级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17"/>
              <w:rPr>
                <w:rFonts w:ascii="Times New Roman" w:hAnsi="Times New Roman" w:cs="Times New Roman"/>
                <w:spacing w:val="4"/>
                <w:kern w:val="2"/>
                <w:sz w:val="20"/>
                <w:szCs w:val="20"/>
              </w:rPr>
            </w:pPr>
          </w:p>
        </w:tc>
        <w:tc>
          <w:tcPr>
            <w:tcW w:w="0" w:type="auto"/>
            <w:vMerge w:val="continue"/>
          </w:tcPr>
          <w:p>
            <w:pPr>
              <w:pStyle w:val="17"/>
              <w:rPr>
                <w:rFonts w:ascii="Times New Roman" w:hAnsi="Times New Roman" w:cs="Times New Roman"/>
                <w:spacing w:val="4"/>
                <w:kern w:val="2"/>
                <w:sz w:val="20"/>
                <w:szCs w:val="20"/>
              </w:rPr>
            </w:pP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枢纽级</w:t>
            </w: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城市级</w:t>
            </w: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区域级</w:t>
            </w: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街区级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用地主导功能</w:t>
            </w: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用地布局</w:t>
            </w: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单独研究</w:t>
            </w: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宜布局产业用地、公共管理与公共服务设施用地、交通设施用地。</w:t>
            </w: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宜布局产业用地、公共管理与公共服务设施用地、交通设施用地、居住用地。</w:t>
            </w: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宜布局产业用地、公共管理与公共服务设施用地、居住用地。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17"/>
              <w:rPr>
                <w:rFonts w:ascii="Times New Roman" w:hAnsi="Times New Roman" w:cs="Times New Roman"/>
                <w:spacing w:val="4"/>
                <w:kern w:val="2"/>
                <w:sz w:val="20"/>
                <w:szCs w:val="20"/>
              </w:rPr>
            </w:pP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功能引导</w:t>
            </w: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根据所服务的特定功能选择适宜聚集的用地功能</w:t>
            </w: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一体化研究范围内，产业用地宜布局城市级商业、金融服务、总部办公、会议、酒店、娱乐配套等功能；公共管理与公共服务设施用地宜布局市级文化设施（剧院、音乐厅、博物馆、会展中心、文化艺术中心等）、市级体育场馆或大型医院；交通设施用地宜立体化建设公共交通设施，保障城市轨道交通与城市公共交通设施一体化衔接。</w:t>
            </w:r>
          </w:p>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一体化核心范围内，产业用地宜结合轨道站点进行城市级综合体开发建设，布局具有城市地标性的商业、办公、酒店等功能，打造城市级高端服务业聚集高地。</w:t>
            </w: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一体化研究范围内，产业用地宜布局区域级商业、商务服务、会议、酒店、娱乐配套、研发等功能；公共管理与公共服务设施用地宜布局区级文化设施（剧院、音乐厅、博物馆、文化馆、艺术馆等）、区级体育场馆、大型医院或社会福利设施；交通设施用地宜居布局复合开发的公共交通用地；居住用地宜以中小户型为主，配置适量租赁住房。</w:t>
            </w:r>
          </w:p>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一体化核心范围内，产业用地、公共管理与公共服务设施用地宜结合轨道站点进行区域级综合体开发建设，形成区级经济、文化、公共服务中心。</w:t>
            </w:r>
          </w:p>
        </w:tc>
        <w:tc>
          <w:tcPr>
            <w:tcW w:w="0" w:type="auto"/>
          </w:tcPr>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一体化研究范围内，产业用地宜布局社区商业、办公、研发等功能；公共管理与公共服务设施用地宜布局社区级养老、教育、文化、体育、医疗、社区公园、社区管理等功能；居住用地宜配置适量租赁住房。</w:t>
            </w:r>
          </w:p>
          <w:p>
            <w:pPr>
              <w:pStyle w:val="17"/>
              <w:rPr>
                <w:rFonts w:ascii="Times New Roman" w:hAnsi="Times New Roman" w:cs="Times New Roman"/>
                <w:spacing w:val="4"/>
                <w:kern w:val="2"/>
                <w:sz w:val="20"/>
                <w:szCs w:val="20"/>
              </w:rPr>
            </w:pPr>
            <w:r>
              <w:rPr>
                <w:rFonts w:hint="eastAsia" w:ascii="Times New Roman" w:hAnsi="Times New Roman" w:cs="Times New Roman"/>
                <w:spacing w:val="4"/>
                <w:kern w:val="2"/>
                <w:sz w:val="20"/>
                <w:szCs w:val="20"/>
              </w:rPr>
              <w:t>一体化核心范围内，产业用地、公共管理与公共服务设施用地宜布局社区商业中心、邻里中心。</w:t>
            </w:r>
          </w:p>
        </w:tc>
      </w:tr>
    </w:tbl>
    <w:p>
      <w:bookmarkStart w:id="32" w:name="_Hlk155352687"/>
      <w:r>
        <w:rPr>
          <w:szCs w:val="20"/>
        </w:rPr>
        <w:t>6.2.</w:t>
      </w:r>
      <w:r>
        <w:rPr>
          <w:rFonts w:hint="eastAsia"/>
          <w:szCs w:val="20"/>
        </w:rPr>
        <w:t>2</w:t>
      </w:r>
      <w:r>
        <w:rPr>
          <w:szCs w:val="20"/>
        </w:rPr>
        <w:t xml:space="preserve">  </w:t>
      </w:r>
      <w:r>
        <w:rPr>
          <w:rFonts w:hint="eastAsia"/>
          <w:szCs w:val="20"/>
        </w:rPr>
        <w:t>轨道车站周边建设强度规划在</w:t>
      </w:r>
      <w:r>
        <w:rPr>
          <w:rFonts w:hint="eastAsia"/>
        </w:rPr>
        <w:t>符合国土空间总体规划、详细规划的前提下，应符合以下要求：</w:t>
      </w:r>
    </w:p>
    <w:p>
      <w:pPr>
        <w:ind w:left="416" w:leftChars="200"/>
      </w:pPr>
      <w:r>
        <w:t xml:space="preserve">1  </w:t>
      </w:r>
      <w:r>
        <w:rPr>
          <w:rFonts w:hint="eastAsia"/>
        </w:rPr>
        <w:t>车站周边一体化研究范围内平均毛容积率不应低于1.0，人口岗位综合密度不应低于1.5万人/平方公里。</w:t>
      </w:r>
      <w:bookmarkEnd w:id="32"/>
    </w:p>
    <w:p>
      <w:pPr>
        <w:ind w:left="416" w:leftChars="200"/>
      </w:pPr>
      <w:r>
        <w:t xml:space="preserve">2  </w:t>
      </w:r>
      <w:r>
        <w:rPr>
          <w:rFonts w:hint="eastAsia"/>
        </w:rPr>
        <w:t>车站周边用地建设强度应结合车站等级实施差异化引导，宜参考以下要求：</w:t>
      </w:r>
    </w:p>
    <w:p>
      <w:pPr>
        <w:ind w:firstLine="560"/>
        <w:jc w:val="center"/>
      </w:pPr>
      <w:r>
        <w:t>表6.</w:t>
      </w:r>
      <w:r>
        <w:rPr>
          <w:rFonts w:hint="eastAsia"/>
        </w:rPr>
        <w:t>3</w:t>
      </w:r>
      <w:r>
        <w:t xml:space="preserve"> 各等级车站周边</w:t>
      </w:r>
      <w:r>
        <w:rPr>
          <w:rFonts w:hint="eastAsia"/>
        </w:rPr>
        <w:t>建设</w:t>
      </w:r>
      <w:r>
        <w:t>强度</w:t>
      </w:r>
      <w:r>
        <w:rPr>
          <w:rFonts w:hint="eastAsia"/>
        </w:rPr>
        <w:t>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92"/>
        <w:gridCol w:w="2268"/>
        <w:gridCol w:w="212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46" w:type="dxa"/>
            <w:vMerge w:val="restart"/>
            <w:tcBorders>
              <w:top w:val="single" w:color="auto" w:sz="4" w:space="0"/>
              <w:left w:val="single" w:color="auto" w:sz="4" w:space="0"/>
              <w:right w:val="single" w:color="auto" w:sz="4" w:space="0"/>
            </w:tcBorders>
            <w:vAlign w:val="center"/>
          </w:tcPr>
          <w:p>
            <w:pPr>
              <w:jc w:val="center"/>
            </w:pPr>
            <w:r>
              <w:rPr>
                <w:rFonts w:hint="eastAsia"/>
              </w:rPr>
              <w:t>范围</w:t>
            </w:r>
          </w:p>
        </w:tc>
        <w:tc>
          <w:tcPr>
            <w:tcW w:w="7450" w:type="dxa"/>
            <w:gridSpan w:val="4"/>
            <w:tcBorders>
              <w:top w:val="single" w:color="auto" w:sz="4" w:space="0"/>
              <w:left w:val="single" w:color="auto" w:sz="4" w:space="0"/>
              <w:bottom w:val="single" w:color="auto" w:sz="4" w:space="0"/>
              <w:right w:val="single" w:color="auto" w:sz="4" w:space="0"/>
            </w:tcBorders>
            <w:vAlign w:val="center"/>
          </w:tcPr>
          <w:p>
            <w:pPr>
              <w:jc w:val="center"/>
            </w:pPr>
            <w:r>
              <w:t>车站等级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46" w:type="dxa"/>
            <w:vMerge w:val="continue"/>
            <w:tcBorders>
              <w:left w:val="single" w:color="auto" w:sz="4" w:space="0"/>
              <w:bottom w:val="single" w:color="auto" w:sz="4" w:space="0"/>
              <w:right w:val="single" w:color="auto" w:sz="4" w:space="0"/>
            </w:tcBorders>
            <w:vAlign w:val="center"/>
          </w:tcPr>
          <w:p>
            <w:pPr>
              <w:jc w:val="center"/>
            </w:pPr>
          </w:p>
        </w:tc>
        <w:tc>
          <w:tcPr>
            <w:tcW w:w="992" w:type="dxa"/>
            <w:tcBorders>
              <w:top w:val="single" w:color="auto" w:sz="4" w:space="0"/>
              <w:left w:val="single" w:color="auto" w:sz="4" w:space="0"/>
              <w:bottom w:val="single" w:color="auto" w:sz="4" w:space="0"/>
              <w:right w:val="single" w:color="auto" w:sz="4" w:space="0"/>
            </w:tcBorders>
            <w:vAlign w:val="center"/>
          </w:tcPr>
          <w:p>
            <w:r>
              <w:t>枢纽级</w:t>
            </w:r>
            <w:r>
              <w:rPr>
                <w:rFonts w:hint="eastAsia"/>
              </w:rPr>
              <w:t>车站</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t>城市级</w:t>
            </w:r>
            <w:r>
              <w:rPr>
                <w:rFonts w:hint="eastAsia"/>
              </w:rPr>
              <w:t>车站</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pPr>
            <w:r>
              <w:t>区域级</w:t>
            </w:r>
            <w:r>
              <w:rPr>
                <w:rFonts w:hint="eastAsia"/>
              </w:rPr>
              <w:t>车站</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pPr>
            <w:r>
              <w:t>街区级</w:t>
            </w:r>
            <w:r>
              <w:rPr>
                <w:rFonts w:hint="eastAsia"/>
              </w:rPr>
              <w:t>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一体化核心范围</w:t>
            </w:r>
          </w:p>
        </w:tc>
        <w:tc>
          <w:tcPr>
            <w:tcW w:w="992" w:type="dxa"/>
            <w:vMerge w:val="restart"/>
            <w:tcBorders>
              <w:top w:val="single" w:color="auto" w:sz="4" w:space="0"/>
              <w:left w:val="single" w:color="auto" w:sz="4" w:space="0"/>
              <w:right w:val="single" w:color="auto" w:sz="4" w:space="0"/>
            </w:tcBorders>
            <w:vAlign w:val="center"/>
          </w:tcPr>
          <w:p>
            <w:pPr>
              <w:jc w:val="center"/>
            </w:pPr>
            <w:r>
              <w:t>单独研究</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t>宜为街区</w:t>
            </w:r>
            <w:r>
              <w:rPr>
                <w:rFonts w:hint="eastAsia"/>
              </w:rPr>
              <w:t>平均</w:t>
            </w:r>
            <w:r>
              <w:t>强度的150%及以上，基准</w:t>
            </w:r>
            <w:r>
              <w:rPr>
                <w:rFonts w:hint="eastAsia"/>
              </w:rPr>
              <w:t>建设</w:t>
            </w:r>
            <w:r>
              <w:t>强度宜四级及以</w:t>
            </w:r>
            <w:r>
              <w:rPr>
                <w:rFonts w:hint="eastAsia"/>
              </w:rPr>
              <w:t>上；绿地率原则上不作控制（居住用地除外）。</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pPr>
            <w:r>
              <w:t>宜为街区平均强度的140%及以上，基准</w:t>
            </w:r>
            <w:r>
              <w:rPr>
                <w:rFonts w:hint="eastAsia"/>
              </w:rPr>
              <w:t>建设</w:t>
            </w:r>
            <w:r>
              <w:t>强度宜三级以上</w:t>
            </w:r>
            <w:r>
              <w:rPr>
                <w:rFonts w:hint="eastAsia"/>
              </w:rPr>
              <w:t>；绿地率可适当降低（居住用地除外）。</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pPr>
            <w:r>
              <w:t>宜为街区平均强度的130%及以上，基准</w:t>
            </w:r>
            <w:r>
              <w:rPr>
                <w:rFonts w:hint="eastAsia"/>
              </w:rPr>
              <w:t>建设</w:t>
            </w:r>
            <w:r>
              <w:t>强度宜二级以上</w:t>
            </w:r>
            <w:r>
              <w:rPr>
                <w:rFonts w:hint="eastAsia"/>
              </w:rPr>
              <w:t>；绿地率可适当降低（居住用地除外）。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一体化研究范围</w:t>
            </w:r>
          </w:p>
        </w:tc>
        <w:tc>
          <w:tcPr>
            <w:tcW w:w="992" w:type="dxa"/>
            <w:vMerge w:val="continue"/>
            <w:tcBorders>
              <w:left w:val="single" w:color="auto" w:sz="4" w:space="0"/>
              <w:bottom w:val="single" w:color="auto" w:sz="4" w:space="0"/>
              <w:right w:val="single" w:color="auto" w:sz="4" w:space="0"/>
            </w:tcBorders>
            <w:vAlign w:val="center"/>
          </w:tcPr>
          <w:p>
            <w:pPr>
              <w:jc w:val="cente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t>宜为街区平均强度的130%及以上，基准</w:t>
            </w:r>
            <w:r>
              <w:rPr>
                <w:rFonts w:hint="eastAsia"/>
              </w:rPr>
              <w:t>建设</w:t>
            </w:r>
            <w:r>
              <w:t>强度宜三级及以上</w:t>
            </w:r>
            <w:r>
              <w:rPr>
                <w:rFonts w:hint="eastAsia"/>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pPr>
            <w:r>
              <w:t>宜为街区平均强度的120%及以上，基准</w:t>
            </w:r>
            <w:r>
              <w:rPr>
                <w:rFonts w:hint="eastAsia"/>
              </w:rPr>
              <w:t>建设</w:t>
            </w:r>
            <w:r>
              <w:t>强度宜二级及以上</w:t>
            </w:r>
            <w:r>
              <w:rPr>
                <w:rFonts w:hint="eastAsia"/>
              </w:rPr>
              <w:t>。</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pPr>
            <w:r>
              <w:t>宜为街区平均强度的110%及以上，基准</w:t>
            </w:r>
            <w:r>
              <w:rPr>
                <w:rFonts w:hint="eastAsia"/>
              </w:rPr>
              <w:t>建设</w:t>
            </w:r>
            <w:r>
              <w:t>强度宜二级及以上</w:t>
            </w:r>
            <w:r>
              <w:rPr>
                <w:rFonts w:hint="eastAsia"/>
              </w:rPr>
              <w:t>。</w:t>
            </w:r>
          </w:p>
        </w:tc>
      </w:tr>
    </w:tbl>
    <w:p>
      <w:pPr>
        <w:rPr>
          <w:bCs/>
        </w:rPr>
      </w:pPr>
      <w:r>
        <w:rPr>
          <w:rFonts w:hint="eastAsia"/>
          <w:bCs/>
        </w:rPr>
        <w:t>6.2.3  车站周边各类用地基准强度分级应参照《北京市控制性详细规划编制技术标准与成果规范》（2022年9月版）执行，各类三大设施用地容积率指标应按照北京市节地标准与相关设计规范进行控制。</w:t>
      </w:r>
    </w:p>
    <w:p>
      <w:pPr>
        <w:ind w:firstLine="560"/>
        <w:jc w:val="center"/>
      </w:pPr>
      <w:r>
        <w:rPr>
          <w:rFonts w:hint="eastAsia"/>
        </w:rPr>
        <w:t>表6.4 车站周边用地基准强度参考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3533"/>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jc w:val="center"/>
            </w:pPr>
            <w:r>
              <w:rPr>
                <w:rFonts w:hint="eastAsia"/>
              </w:rPr>
              <w:t>基准强度等级</w:t>
            </w:r>
          </w:p>
        </w:tc>
        <w:tc>
          <w:tcPr>
            <w:tcW w:w="7025" w:type="dxa"/>
            <w:gridSpan w:val="3"/>
          </w:tcPr>
          <w:p>
            <w:pPr>
              <w:jc w:val="center"/>
            </w:pPr>
            <w:r>
              <w:rPr>
                <w:rFonts w:hint="eastAsia"/>
              </w:rPr>
              <w:t>各类功能用地地块容积率（净容积率上限）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jc w:val="center"/>
            </w:pPr>
          </w:p>
        </w:tc>
        <w:tc>
          <w:tcPr>
            <w:tcW w:w="1418" w:type="dxa"/>
          </w:tcPr>
          <w:p>
            <w:pPr>
              <w:jc w:val="center"/>
            </w:pPr>
            <w:r>
              <w:rPr>
                <w:rFonts w:hint="eastAsia"/>
              </w:rPr>
              <w:t>居住类</w:t>
            </w:r>
          </w:p>
        </w:tc>
        <w:tc>
          <w:tcPr>
            <w:tcW w:w="3533" w:type="dxa"/>
          </w:tcPr>
          <w:p>
            <w:pPr>
              <w:jc w:val="center"/>
            </w:pPr>
            <w:r>
              <w:rPr>
                <w:rFonts w:hint="eastAsia"/>
              </w:rPr>
              <w:t>商业商务、行政办公与教育科研类</w:t>
            </w:r>
          </w:p>
        </w:tc>
        <w:tc>
          <w:tcPr>
            <w:tcW w:w="2074" w:type="dxa"/>
          </w:tcPr>
          <w:p>
            <w:pPr>
              <w:jc w:val="center"/>
            </w:pPr>
            <w:r>
              <w:rPr>
                <w:rFonts w:hint="eastAsia"/>
              </w:rPr>
              <w:t>生产研发类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pPr>
            <w:r>
              <w:rPr>
                <w:rFonts w:hint="eastAsia"/>
              </w:rPr>
              <w:t>一级</w:t>
            </w:r>
          </w:p>
        </w:tc>
        <w:tc>
          <w:tcPr>
            <w:tcW w:w="1418" w:type="dxa"/>
          </w:tcPr>
          <w:p>
            <w:pPr>
              <w:jc w:val="center"/>
            </w:pPr>
            <w:r>
              <w:rPr>
                <w:rFonts w:hint="eastAsia"/>
              </w:rPr>
              <w:t>1.0</w:t>
            </w:r>
          </w:p>
        </w:tc>
        <w:tc>
          <w:tcPr>
            <w:tcW w:w="3533" w:type="dxa"/>
          </w:tcPr>
          <w:p>
            <w:pPr>
              <w:jc w:val="center"/>
            </w:pPr>
            <w:r>
              <w:rPr>
                <w:rFonts w:hint="eastAsia"/>
              </w:rPr>
              <w:t>1.0</w:t>
            </w:r>
          </w:p>
        </w:tc>
        <w:tc>
          <w:tcPr>
            <w:tcW w:w="2074" w:type="dxa"/>
          </w:tcPr>
          <w:p>
            <w:pPr>
              <w:jc w:val="center"/>
            </w:pPr>
            <w:r>
              <w:rPr>
                <w:rFonts w:hint="eastAsi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pPr>
            <w:r>
              <w:rPr>
                <w:rFonts w:hint="eastAsia"/>
              </w:rPr>
              <w:t>二级</w:t>
            </w:r>
          </w:p>
        </w:tc>
        <w:tc>
          <w:tcPr>
            <w:tcW w:w="1418" w:type="dxa"/>
          </w:tcPr>
          <w:p>
            <w:pPr>
              <w:jc w:val="center"/>
            </w:pPr>
            <w:r>
              <w:rPr>
                <w:rFonts w:hint="eastAsia"/>
              </w:rPr>
              <w:t>1.6</w:t>
            </w:r>
          </w:p>
        </w:tc>
        <w:tc>
          <w:tcPr>
            <w:tcW w:w="3533" w:type="dxa"/>
          </w:tcPr>
          <w:p>
            <w:pPr>
              <w:jc w:val="center"/>
            </w:pPr>
            <w:r>
              <w:rPr>
                <w:rFonts w:hint="eastAsia"/>
              </w:rPr>
              <w:t>2.0</w:t>
            </w:r>
          </w:p>
        </w:tc>
        <w:tc>
          <w:tcPr>
            <w:tcW w:w="2074" w:type="dxa"/>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pPr>
            <w:r>
              <w:rPr>
                <w:rFonts w:hint="eastAsia"/>
              </w:rPr>
              <w:t>三级</w:t>
            </w:r>
          </w:p>
        </w:tc>
        <w:tc>
          <w:tcPr>
            <w:tcW w:w="1418" w:type="dxa"/>
          </w:tcPr>
          <w:p>
            <w:pPr>
              <w:jc w:val="center"/>
            </w:pPr>
            <w:r>
              <w:rPr>
                <w:rFonts w:hint="eastAsia"/>
              </w:rPr>
              <w:t>2.2</w:t>
            </w:r>
          </w:p>
        </w:tc>
        <w:tc>
          <w:tcPr>
            <w:tcW w:w="3533" w:type="dxa"/>
          </w:tcPr>
          <w:p>
            <w:pPr>
              <w:jc w:val="center"/>
            </w:pPr>
            <w:r>
              <w:rPr>
                <w:rFonts w:hint="eastAsia"/>
              </w:rPr>
              <w:t>3.0</w:t>
            </w:r>
          </w:p>
        </w:tc>
        <w:tc>
          <w:tcPr>
            <w:tcW w:w="2074" w:type="dxa"/>
          </w:tcPr>
          <w:p>
            <w:pPr>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pPr>
            <w:r>
              <w:rPr>
                <w:rFonts w:hint="eastAsia"/>
              </w:rPr>
              <w:t>四级</w:t>
            </w:r>
          </w:p>
        </w:tc>
        <w:tc>
          <w:tcPr>
            <w:tcW w:w="1418" w:type="dxa"/>
          </w:tcPr>
          <w:p>
            <w:pPr>
              <w:jc w:val="center"/>
            </w:pPr>
            <w:r>
              <w:rPr>
                <w:rFonts w:hint="eastAsia"/>
              </w:rPr>
              <w:t>2.8</w:t>
            </w:r>
          </w:p>
        </w:tc>
        <w:tc>
          <w:tcPr>
            <w:tcW w:w="3533" w:type="dxa"/>
          </w:tcPr>
          <w:p>
            <w:pPr>
              <w:jc w:val="center"/>
            </w:pPr>
            <w:r>
              <w:rPr>
                <w:rFonts w:hint="eastAsia"/>
              </w:rPr>
              <w:t>4.0</w:t>
            </w:r>
          </w:p>
        </w:tc>
        <w:tc>
          <w:tcPr>
            <w:tcW w:w="2074" w:type="dxa"/>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pPr>
            <w:r>
              <w:rPr>
                <w:rFonts w:hint="eastAsia"/>
              </w:rPr>
              <w:t>五级</w:t>
            </w:r>
          </w:p>
        </w:tc>
        <w:tc>
          <w:tcPr>
            <w:tcW w:w="1418" w:type="dxa"/>
          </w:tcPr>
          <w:p>
            <w:pPr>
              <w:jc w:val="center"/>
            </w:pPr>
            <w:r>
              <w:rPr>
                <w:rFonts w:hint="eastAsia"/>
              </w:rPr>
              <w:t>-</w:t>
            </w:r>
          </w:p>
        </w:tc>
        <w:tc>
          <w:tcPr>
            <w:tcW w:w="3533" w:type="dxa"/>
          </w:tcPr>
          <w:p>
            <w:pPr>
              <w:jc w:val="center"/>
            </w:pPr>
            <w:r>
              <w:rPr>
                <w:rFonts w:hint="eastAsia"/>
              </w:rPr>
              <w:t>5.0及以上</w:t>
            </w:r>
          </w:p>
        </w:tc>
        <w:tc>
          <w:tcPr>
            <w:tcW w:w="2074" w:type="dxa"/>
          </w:tcPr>
          <w:p>
            <w:pPr>
              <w:jc w:val="center"/>
            </w:pPr>
            <w:r>
              <w:rPr>
                <w:rFonts w:hint="eastAsia"/>
              </w:rPr>
              <w:t>2.5及以上</w:t>
            </w:r>
          </w:p>
        </w:tc>
      </w:tr>
    </w:tbl>
    <w:p>
      <w:r>
        <w:t>6.2.</w:t>
      </w:r>
      <w:r>
        <w:rPr>
          <w:rFonts w:hint="eastAsia"/>
        </w:rPr>
        <w:t>4</w:t>
      </w:r>
      <w:r>
        <w:t xml:space="preserve">  </w:t>
      </w:r>
      <w:r>
        <w:rPr>
          <w:rFonts w:hint="eastAsia"/>
          <w:bCs/>
        </w:rPr>
        <w:t>一体化研究范围内的建筑高度规划应符合</w:t>
      </w:r>
      <w:r>
        <w:rPr>
          <w:rFonts w:hint="eastAsia"/>
        </w:rPr>
        <w:t>国土空间总体规划、详细规划及相关专项规划，应综合考虑城市天际线、景观视廊、历史文化保护、空域管制、日照条件及其他高度管制要求</w:t>
      </w:r>
      <w:r>
        <w:rPr>
          <w:rFonts w:hint="eastAsia"/>
          <w:bCs/>
        </w:rPr>
        <w:t>。</w:t>
      </w:r>
    </w:p>
    <w:p>
      <w:pPr>
        <w:widowControl/>
        <w:jc w:val="left"/>
        <w:rPr>
          <w:bCs/>
        </w:rPr>
      </w:pPr>
      <w:r>
        <w:rPr>
          <w:bCs/>
        </w:rPr>
        <w:t>6.2.</w:t>
      </w:r>
      <w:r>
        <w:rPr>
          <w:rFonts w:hint="eastAsia"/>
          <w:bCs/>
        </w:rPr>
        <w:t>5</w:t>
      </w:r>
      <w:r>
        <w:rPr>
          <w:bCs/>
        </w:rPr>
        <w:t xml:space="preserve">  </w:t>
      </w:r>
      <w:r>
        <w:rPr>
          <w:rFonts w:hint="eastAsia"/>
          <w:bCs/>
        </w:rPr>
        <w:t>应加强公共服务设施布局与轨道交通的协同，</w:t>
      </w:r>
      <w:r>
        <w:rPr>
          <w:rFonts w:hint="eastAsia"/>
        </w:rPr>
        <w:t>并符合下列规定</w:t>
      </w:r>
      <w:r>
        <w:rPr>
          <w:rFonts w:hint="eastAsia"/>
          <w:bCs/>
        </w:rPr>
        <w:t>：</w:t>
      </w:r>
    </w:p>
    <w:p>
      <w:pPr>
        <w:ind w:left="416" w:leftChars="200"/>
      </w:pPr>
      <w:r>
        <w:t>1  宜在一体化研究范围内</w:t>
      </w:r>
      <w:r>
        <w:rPr>
          <w:rFonts w:hint="eastAsia"/>
        </w:rPr>
        <w:t>统筹公共管理与公共服务设施用地布局</w:t>
      </w:r>
      <w:r>
        <w:t>。</w:t>
      </w:r>
    </w:p>
    <w:p>
      <w:pPr>
        <w:ind w:left="416" w:leftChars="200"/>
      </w:pPr>
      <w:r>
        <w:t xml:space="preserve">2  </w:t>
      </w:r>
      <w:r>
        <w:rPr>
          <w:rFonts w:hint="eastAsia"/>
        </w:rPr>
        <w:t>车站周边国家级、市级公共服务设施的布局应与轨道交通承载能力相适应，如布局在一体化研究范围内，应与轨道车站直接连通或通过连续的公共步行通道连通。</w:t>
      </w:r>
    </w:p>
    <w:p>
      <w:r>
        <w:t>6.</w:t>
      </w:r>
      <w:r>
        <w:rPr>
          <w:rFonts w:hint="eastAsia"/>
        </w:rPr>
        <w:t>2</w:t>
      </w:r>
      <w:r>
        <w:t>.</w:t>
      </w:r>
      <w:r>
        <w:rPr>
          <w:rFonts w:hint="eastAsia"/>
        </w:rPr>
        <w:t>6</w:t>
      </w:r>
      <w:r>
        <w:t xml:space="preserve">  </w:t>
      </w:r>
      <w:r>
        <w:rPr>
          <w:rFonts w:hint="eastAsia"/>
        </w:rPr>
        <w:t>绿化空间可结合下列规定进行布置：</w:t>
      </w:r>
    </w:p>
    <w:p>
      <w:pPr>
        <w:ind w:left="416" w:leftChars="200"/>
      </w:pPr>
      <w:r>
        <w:rPr>
          <w:rFonts w:hint="eastAsia"/>
        </w:rPr>
        <w:t xml:space="preserve">1 </w:t>
      </w:r>
      <w:r>
        <w:t xml:space="preserve"> </w:t>
      </w:r>
      <w:r>
        <w:rPr>
          <w:rFonts w:hint="eastAsia"/>
        </w:rPr>
        <w:t>车站一体化核心范围内地块可适当降低绿地率控制要求（居住用地除外），集中设置，街区平衡。</w:t>
      </w:r>
    </w:p>
    <w:p>
      <w:pPr>
        <w:ind w:left="416" w:leftChars="200"/>
      </w:pPr>
      <w:r>
        <w:t xml:space="preserve">2  </w:t>
      </w:r>
      <w:r>
        <w:rPr>
          <w:rFonts w:hint="eastAsia"/>
        </w:rPr>
        <w:t>一体化核心</w:t>
      </w:r>
      <w:r>
        <w:t>范围内</w:t>
      </w:r>
      <w:r>
        <w:rPr>
          <w:rFonts w:hint="eastAsia"/>
        </w:rPr>
        <w:t>已实施城市</w:t>
      </w:r>
      <w:r>
        <w:t>绿地</w:t>
      </w:r>
      <w:r>
        <w:rPr>
          <w:rFonts w:hint="eastAsia"/>
        </w:rPr>
        <w:t>宜在保障绿化面积的基础上可结合城市</w:t>
      </w:r>
      <w:r>
        <w:t>公共</w:t>
      </w:r>
      <w:r>
        <w:rPr>
          <w:rFonts w:hint="eastAsia"/>
        </w:rPr>
        <w:t>服务需求立体复合利用。</w:t>
      </w:r>
    </w:p>
    <w:p>
      <w:pPr>
        <w:pStyle w:val="4"/>
        <w:rPr>
          <w:rFonts w:ascii="Times New Roman" w:hAnsi="Times New Roman"/>
          <w:sz w:val="21"/>
        </w:rPr>
      </w:pPr>
      <w:bookmarkStart w:id="33" w:name="_Toc175668062"/>
      <w:r>
        <w:rPr>
          <w:rFonts w:ascii="Times New Roman" w:hAnsi="Times New Roman"/>
        </w:rPr>
        <w:t>6.3 交通一体化</w:t>
      </w:r>
      <w:bookmarkEnd w:id="33"/>
    </w:p>
    <w:p>
      <w:r>
        <w:t>6.3.1</w:t>
      </w:r>
      <w:r>
        <w:rPr>
          <w:rFonts w:hint="eastAsia"/>
        </w:rPr>
        <w:t xml:space="preserve"> </w:t>
      </w:r>
      <w:r>
        <w:t xml:space="preserve"> 一体化核心范围内</w:t>
      </w:r>
      <w:r>
        <w:rPr>
          <w:rFonts w:hint="eastAsia"/>
        </w:rPr>
        <w:t>的交通设施和交通组织宜</w:t>
      </w:r>
      <w:r>
        <w:t>按照</w:t>
      </w:r>
      <w:r>
        <w:rPr>
          <w:rFonts w:hint="eastAsia"/>
        </w:rPr>
        <w:t>如下优先级统筹布设：</w:t>
      </w:r>
      <w:r>
        <w:t>步行、自行车、公交、</w:t>
      </w:r>
      <w:r>
        <w:rPr>
          <w:rFonts w:hint="eastAsia"/>
        </w:rPr>
        <w:t>小汽车临停</w:t>
      </w:r>
      <w:r>
        <w:t>、小汽车</w:t>
      </w:r>
      <w:r>
        <w:rPr>
          <w:rFonts w:hint="eastAsia"/>
        </w:rPr>
        <w:t>停车</w:t>
      </w:r>
      <w:r>
        <w:t>。</w:t>
      </w:r>
    </w:p>
    <w:p>
      <w:r>
        <w:t xml:space="preserve">6.3.2  </w:t>
      </w:r>
      <w:r>
        <w:rPr>
          <w:rFonts w:hint="eastAsia"/>
        </w:rPr>
        <w:t>一体化研究范围内道路网规划宜采取小街区、密路网的方式，路网密度应高于一体化研究范围外地区，并符合下列规定：</w:t>
      </w:r>
    </w:p>
    <w:p>
      <w:pPr>
        <w:ind w:left="416" w:leftChars="200"/>
      </w:pPr>
      <w:r>
        <w:rPr>
          <w:rFonts w:hint="eastAsia"/>
        </w:rPr>
        <w:t>1  车站周边道路网密度应落实上位规划确定的道路系统，集中建设区规划道路网密度达到8公里/平方公里以上（出入口临近地块的尺度不宜大于200米，不应大于250米）。其中，商业区与行政办公区等就业集中地区的规划道路网密度应达到10公里/平方公里以上。</w:t>
      </w:r>
    </w:p>
    <w:p>
      <w:pPr>
        <w:ind w:left="416" w:leftChars="200"/>
      </w:pPr>
      <w:r>
        <w:rPr>
          <w:rFonts w:hint="eastAsia"/>
        </w:rPr>
        <w:t>2  鼓励在站点周边辐射影响范围通过增加城市支路、增设街坊路的形式增加道路网密度。</w:t>
      </w:r>
    </w:p>
    <w:p>
      <w:pPr>
        <w:ind w:left="416" w:leftChars="200"/>
      </w:pPr>
      <w:r>
        <w:rPr>
          <w:rFonts w:hint="eastAsia"/>
        </w:rPr>
        <w:t>3  在道路网密度的基础上，鼓励地块提升对外开放度，增加对外慢行空间，优化提升轨道站点周边步行路网密度，提升步行可达与便捷性。</w:t>
      </w:r>
    </w:p>
    <w:p>
      <w:r>
        <w:t xml:space="preserve">6.3.3  </w:t>
      </w:r>
      <w:r>
        <w:rPr>
          <w:rFonts w:hint="eastAsia"/>
        </w:rPr>
        <w:t>轨道车站周边步行系统应符合下列规定：</w:t>
      </w:r>
    </w:p>
    <w:p>
      <w:pPr>
        <w:ind w:left="416" w:leftChars="200"/>
      </w:pPr>
      <w:r>
        <w:t>1  应构建安全</w:t>
      </w:r>
      <w:r>
        <w:rPr>
          <w:rFonts w:hint="eastAsia"/>
        </w:rPr>
        <w:t>、</w:t>
      </w:r>
      <w:r>
        <w:t>便捷</w:t>
      </w:r>
      <w:r>
        <w:rPr>
          <w:rFonts w:hint="eastAsia"/>
        </w:rPr>
        <w:t>、</w:t>
      </w:r>
      <w:r>
        <w:t>连续的步行系统</w:t>
      </w:r>
      <w:r>
        <w:rPr>
          <w:rFonts w:hint="eastAsia"/>
        </w:rPr>
        <w:t>。</w:t>
      </w:r>
    </w:p>
    <w:p>
      <w:pPr>
        <w:ind w:left="416" w:leftChars="200"/>
      </w:pPr>
      <w:r>
        <w:rPr>
          <w:rFonts w:hint="eastAsia"/>
        </w:rPr>
        <w:t>2  规划实施率较低的车站轨道交通一体化核心范围内步行路网密度宜达到以下标准：</w:t>
      </w:r>
    </w:p>
    <w:p>
      <w:pPr>
        <w:jc w:val="center"/>
        <w:rPr>
          <w:szCs w:val="20"/>
        </w:rPr>
      </w:pPr>
      <w:r>
        <w:rPr>
          <w:rFonts w:hint="eastAsia"/>
          <w:szCs w:val="20"/>
        </w:rPr>
        <w:t>表</w:t>
      </w:r>
      <w:r>
        <w:rPr>
          <w:szCs w:val="20"/>
        </w:rPr>
        <w:t>6.</w:t>
      </w:r>
      <w:r>
        <w:rPr>
          <w:rFonts w:hint="eastAsia"/>
          <w:szCs w:val="20"/>
        </w:rPr>
        <w:t>6</w:t>
      </w:r>
      <w:r>
        <w:rPr>
          <w:szCs w:val="20"/>
        </w:rPr>
        <w:t xml:space="preserve"> </w:t>
      </w:r>
      <w:r>
        <w:rPr>
          <w:rFonts w:hint="eastAsia"/>
          <w:szCs w:val="20"/>
        </w:rPr>
        <w:t>规划实施率较低（低于80%）地区步行路网密度（单位：公里/平方公里）</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1969"/>
        <w:gridCol w:w="1969"/>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pct"/>
          </w:tcPr>
          <w:p>
            <w:pPr>
              <w:widowControl/>
              <w:spacing w:before="100" w:beforeAutospacing="1" w:after="100" w:afterAutospacing="1"/>
              <w:jc w:val="center"/>
              <w:rPr>
                <w:szCs w:val="20"/>
              </w:rPr>
            </w:pPr>
            <w:r>
              <w:rPr>
                <w:rFonts w:hint="eastAsia"/>
                <w:szCs w:val="20"/>
              </w:rPr>
              <w:t>车站级别/周边用地功能</w:t>
            </w:r>
          </w:p>
        </w:tc>
        <w:tc>
          <w:tcPr>
            <w:tcW w:w="1155" w:type="pct"/>
          </w:tcPr>
          <w:p>
            <w:pPr>
              <w:widowControl/>
              <w:spacing w:before="100" w:beforeAutospacing="1" w:after="100" w:afterAutospacing="1"/>
              <w:jc w:val="center"/>
              <w:rPr>
                <w:szCs w:val="20"/>
              </w:rPr>
            </w:pPr>
            <w:r>
              <w:rPr>
                <w:rFonts w:hint="eastAsia"/>
                <w:szCs w:val="20"/>
              </w:rPr>
              <w:t>就业商业为主</w:t>
            </w:r>
          </w:p>
        </w:tc>
        <w:tc>
          <w:tcPr>
            <w:tcW w:w="1155" w:type="pct"/>
          </w:tcPr>
          <w:p>
            <w:pPr>
              <w:widowControl/>
              <w:spacing w:before="100" w:beforeAutospacing="1" w:after="100" w:afterAutospacing="1"/>
              <w:jc w:val="center"/>
              <w:rPr>
                <w:szCs w:val="20"/>
              </w:rPr>
            </w:pPr>
            <w:r>
              <w:rPr>
                <w:rFonts w:hint="eastAsia"/>
                <w:szCs w:val="20"/>
              </w:rPr>
              <w:t>居住为主</w:t>
            </w:r>
          </w:p>
        </w:tc>
        <w:tc>
          <w:tcPr>
            <w:tcW w:w="1155" w:type="pct"/>
          </w:tcPr>
          <w:p>
            <w:pPr>
              <w:widowControl/>
              <w:spacing w:before="100" w:beforeAutospacing="1" w:after="100" w:afterAutospacing="1"/>
              <w:jc w:val="center"/>
              <w:rPr>
                <w:szCs w:val="20"/>
              </w:rPr>
            </w:pPr>
            <w:r>
              <w:rPr>
                <w:rFonts w:hint="eastAsia"/>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pct"/>
          </w:tcPr>
          <w:p>
            <w:pPr>
              <w:widowControl/>
              <w:spacing w:before="100" w:beforeAutospacing="1" w:after="100" w:afterAutospacing="1"/>
              <w:jc w:val="center"/>
              <w:rPr>
                <w:szCs w:val="20"/>
              </w:rPr>
            </w:pPr>
            <w:r>
              <w:rPr>
                <w:rFonts w:hint="eastAsia"/>
                <w:szCs w:val="20"/>
              </w:rPr>
              <w:t>枢纽级</w:t>
            </w:r>
          </w:p>
        </w:tc>
        <w:tc>
          <w:tcPr>
            <w:tcW w:w="3464" w:type="pct"/>
            <w:gridSpan w:val="3"/>
          </w:tcPr>
          <w:p>
            <w:pPr>
              <w:widowControl/>
              <w:spacing w:before="100" w:beforeAutospacing="1" w:after="100" w:afterAutospacing="1"/>
              <w:jc w:val="center"/>
              <w:rPr>
                <w:szCs w:val="20"/>
              </w:rPr>
            </w:pPr>
            <w:r>
              <w:rPr>
                <w:rFonts w:hint="eastAsia"/>
                <w:szCs w:val="20"/>
              </w:rPr>
              <w:t>宜≥10，具体应结合枢纽方案统筹考虑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pct"/>
          </w:tcPr>
          <w:p>
            <w:pPr>
              <w:widowControl/>
              <w:spacing w:before="100" w:beforeAutospacing="1" w:after="100" w:afterAutospacing="1"/>
              <w:jc w:val="center"/>
              <w:rPr>
                <w:szCs w:val="20"/>
              </w:rPr>
            </w:pPr>
            <w:r>
              <w:rPr>
                <w:rFonts w:hint="eastAsia"/>
                <w:szCs w:val="20"/>
              </w:rPr>
              <w:t>城市级</w:t>
            </w:r>
          </w:p>
        </w:tc>
        <w:tc>
          <w:tcPr>
            <w:tcW w:w="1155" w:type="pct"/>
          </w:tcPr>
          <w:p>
            <w:pPr>
              <w:widowControl/>
              <w:spacing w:before="100" w:beforeAutospacing="1" w:after="100" w:afterAutospacing="1"/>
              <w:jc w:val="center"/>
              <w:rPr>
                <w:szCs w:val="20"/>
              </w:rPr>
            </w:pPr>
            <w:r>
              <w:rPr>
                <w:rFonts w:hint="eastAsia"/>
                <w:szCs w:val="20"/>
              </w:rPr>
              <w:t>≥1</w:t>
            </w:r>
            <w:r>
              <w:rPr>
                <w:szCs w:val="20"/>
              </w:rPr>
              <w:t>2</w:t>
            </w:r>
          </w:p>
        </w:tc>
        <w:tc>
          <w:tcPr>
            <w:tcW w:w="1155" w:type="pct"/>
          </w:tcPr>
          <w:p>
            <w:pPr>
              <w:widowControl/>
              <w:spacing w:before="100" w:beforeAutospacing="1" w:after="100" w:afterAutospacing="1"/>
              <w:jc w:val="center"/>
              <w:rPr>
                <w:szCs w:val="20"/>
              </w:rPr>
            </w:pPr>
            <w:r>
              <w:rPr>
                <w:rFonts w:hint="eastAsia"/>
                <w:szCs w:val="20"/>
              </w:rPr>
              <w:t>≥1</w:t>
            </w:r>
            <w:r>
              <w:rPr>
                <w:szCs w:val="20"/>
              </w:rPr>
              <w:t>1</w:t>
            </w:r>
          </w:p>
        </w:tc>
        <w:tc>
          <w:tcPr>
            <w:tcW w:w="1155" w:type="pct"/>
          </w:tcPr>
          <w:p>
            <w:pPr>
              <w:widowControl/>
              <w:spacing w:before="100" w:beforeAutospacing="1" w:after="100" w:afterAutospacing="1"/>
              <w:jc w:val="center"/>
              <w:rPr>
                <w:szCs w:val="20"/>
              </w:rPr>
            </w:pPr>
            <w:r>
              <w:rPr>
                <w:rFonts w:hint="eastAsia"/>
                <w:szCs w:val="20"/>
              </w:rPr>
              <w:t>≥1</w:t>
            </w:r>
            <w:r>
              <w:rPr>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pct"/>
          </w:tcPr>
          <w:p>
            <w:pPr>
              <w:widowControl/>
              <w:spacing w:before="100" w:beforeAutospacing="1" w:after="100" w:afterAutospacing="1"/>
              <w:jc w:val="center"/>
              <w:rPr>
                <w:szCs w:val="20"/>
              </w:rPr>
            </w:pPr>
            <w:r>
              <w:rPr>
                <w:rFonts w:hint="eastAsia"/>
                <w:szCs w:val="20"/>
              </w:rPr>
              <w:t>区域级</w:t>
            </w:r>
          </w:p>
        </w:tc>
        <w:tc>
          <w:tcPr>
            <w:tcW w:w="1155" w:type="pct"/>
          </w:tcPr>
          <w:p>
            <w:pPr>
              <w:widowControl/>
              <w:spacing w:before="100" w:beforeAutospacing="1" w:after="100" w:afterAutospacing="1"/>
              <w:jc w:val="center"/>
              <w:rPr>
                <w:szCs w:val="20"/>
              </w:rPr>
            </w:pPr>
            <w:r>
              <w:rPr>
                <w:rFonts w:hint="eastAsia"/>
                <w:szCs w:val="20"/>
              </w:rPr>
              <w:t>≥1</w:t>
            </w:r>
            <w:r>
              <w:rPr>
                <w:szCs w:val="20"/>
              </w:rPr>
              <w:t>1</w:t>
            </w:r>
          </w:p>
        </w:tc>
        <w:tc>
          <w:tcPr>
            <w:tcW w:w="1155" w:type="pct"/>
          </w:tcPr>
          <w:p>
            <w:pPr>
              <w:widowControl/>
              <w:spacing w:before="100" w:beforeAutospacing="1" w:after="100" w:afterAutospacing="1"/>
              <w:jc w:val="center"/>
              <w:rPr>
                <w:szCs w:val="20"/>
              </w:rPr>
            </w:pPr>
            <w:r>
              <w:rPr>
                <w:rFonts w:hint="eastAsia"/>
                <w:szCs w:val="20"/>
              </w:rPr>
              <w:t>≥1</w:t>
            </w:r>
            <w:r>
              <w:rPr>
                <w:szCs w:val="20"/>
              </w:rPr>
              <w:t>0</w:t>
            </w:r>
          </w:p>
        </w:tc>
        <w:tc>
          <w:tcPr>
            <w:tcW w:w="1155" w:type="pct"/>
          </w:tcPr>
          <w:p>
            <w:pPr>
              <w:widowControl/>
              <w:spacing w:before="100" w:beforeAutospacing="1" w:after="100" w:afterAutospacing="1"/>
              <w:jc w:val="center"/>
              <w:rPr>
                <w:szCs w:val="20"/>
              </w:rPr>
            </w:pPr>
            <w:r>
              <w:rPr>
                <w:rFonts w:hint="eastAsia"/>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pct"/>
          </w:tcPr>
          <w:p>
            <w:pPr>
              <w:widowControl/>
              <w:spacing w:before="100" w:beforeAutospacing="1" w:after="100" w:afterAutospacing="1"/>
              <w:jc w:val="center"/>
              <w:rPr>
                <w:szCs w:val="20"/>
              </w:rPr>
            </w:pPr>
            <w:r>
              <w:rPr>
                <w:rFonts w:hint="eastAsia"/>
                <w:szCs w:val="20"/>
              </w:rPr>
              <w:t>街区级</w:t>
            </w:r>
          </w:p>
        </w:tc>
        <w:tc>
          <w:tcPr>
            <w:tcW w:w="1155" w:type="pct"/>
          </w:tcPr>
          <w:p>
            <w:pPr>
              <w:widowControl/>
              <w:spacing w:before="100" w:beforeAutospacing="1" w:after="100" w:afterAutospacing="1"/>
              <w:jc w:val="center"/>
              <w:rPr>
                <w:szCs w:val="20"/>
              </w:rPr>
            </w:pPr>
            <w:r>
              <w:rPr>
                <w:rFonts w:hint="eastAsia"/>
                <w:szCs w:val="20"/>
              </w:rPr>
              <w:t>≥1</w:t>
            </w:r>
            <w:r>
              <w:rPr>
                <w:szCs w:val="20"/>
              </w:rPr>
              <w:t>0</w:t>
            </w:r>
          </w:p>
        </w:tc>
        <w:tc>
          <w:tcPr>
            <w:tcW w:w="1155" w:type="pct"/>
          </w:tcPr>
          <w:p>
            <w:pPr>
              <w:widowControl/>
              <w:spacing w:before="100" w:beforeAutospacing="1" w:after="100" w:afterAutospacing="1"/>
              <w:jc w:val="center"/>
              <w:rPr>
                <w:szCs w:val="20"/>
              </w:rPr>
            </w:pPr>
            <w:r>
              <w:rPr>
                <w:rFonts w:hint="eastAsia"/>
                <w:szCs w:val="20"/>
              </w:rPr>
              <w:t>≥9</w:t>
            </w:r>
          </w:p>
        </w:tc>
        <w:tc>
          <w:tcPr>
            <w:tcW w:w="1155" w:type="pct"/>
          </w:tcPr>
          <w:p>
            <w:pPr>
              <w:widowControl/>
              <w:spacing w:before="100" w:beforeAutospacing="1" w:after="100" w:afterAutospacing="1"/>
              <w:jc w:val="center"/>
              <w:rPr>
                <w:szCs w:val="20"/>
              </w:rPr>
            </w:pPr>
            <w:r>
              <w:rPr>
                <w:rFonts w:hint="eastAsia"/>
                <w:szCs w:val="20"/>
              </w:rPr>
              <w:t>≥8</w:t>
            </w:r>
          </w:p>
        </w:tc>
      </w:tr>
    </w:tbl>
    <w:p>
      <w:pPr>
        <w:ind w:left="416" w:leftChars="200"/>
      </w:pPr>
      <w:r>
        <w:rPr>
          <w:rFonts w:hint="eastAsia"/>
        </w:rPr>
        <w:t>3  规划实施率较高的车站鼓励通过增加步行通道的方式打开现有封闭小区和单位大院，提升步行可达性。站点一体化核心范围内步行路网密度与步行通道的设置宜达到以下标准：</w:t>
      </w:r>
    </w:p>
    <w:p>
      <w:pPr>
        <w:jc w:val="center"/>
        <w:rPr>
          <w:szCs w:val="20"/>
        </w:rPr>
      </w:pPr>
      <w:r>
        <w:rPr>
          <w:rFonts w:hint="eastAsia"/>
          <w:szCs w:val="20"/>
        </w:rPr>
        <w:t>表</w:t>
      </w:r>
      <w:r>
        <w:rPr>
          <w:szCs w:val="20"/>
        </w:rPr>
        <w:t>6.</w:t>
      </w:r>
      <w:r>
        <w:rPr>
          <w:rFonts w:hint="eastAsia"/>
          <w:szCs w:val="20"/>
        </w:rPr>
        <w:t>7</w:t>
      </w:r>
      <w:r>
        <w:rPr>
          <w:szCs w:val="20"/>
        </w:rPr>
        <w:t xml:space="preserve"> </w:t>
      </w:r>
      <w:r>
        <w:rPr>
          <w:rFonts w:hint="eastAsia"/>
          <w:szCs w:val="20"/>
        </w:rPr>
        <w:t>规划实施率较高（80%以上）地区步行路网密度（单位：公里/平方公里）及步行通道间距推荐值（米）</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4146"/>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Align w:val="center"/>
          </w:tcPr>
          <w:p>
            <w:pPr>
              <w:widowControl/>
              <w:spacing w:before="100" w:beforeAutospacing="1" w:after="100" w:afterAutospacing="1"/>
              <w:jc w:val="center"/>
              <w:rPr>
                <w:szCs w:val="20"/>
              </w:rPr>
            </w:pPr>
            <w:r>
              <w:rPr>
                <w:rFonts w:hint="eastAsia"/>
                <w:szCs w:val="20"/>
              </w:rPr>
              <w:t>车站级别/周边用地功能</w:t>
            </w:r>
          </w:p>
        </w:tc>
        <w:tc>
          <w:tcPr>
            <w:tcW w:w="2432" w:type="pct"/>
            <w:vAlign w:val="center"/>
          </w:tcPr>
          <w:p>
            <w:pPr>
              <w:widowControl/>
              <w:spacing w:before="100" w:beforeAutospacing="1" w:after="100" w:afterAutospacing="1"/>
              <w:jc w:val="center"/>
              <w:rPr>
                <w:szCs w:val="20"/>
              </w:rPr>
            </w:pPr>
            <w:r>
              <w:rPr>
                <w:rFonts w:hint="eastAsia"/>
                <w:szCs w:val="20"/>
              </w:rPr>
              <w:t>步行路网密度</w:t>
            </w:r>
          </w:p>
        </w:tc>
        <w:tc>
          <w:tcPr>
            <w:tcW w:w="1612" w:type="pct"/>
            <w:vAlign w:val="center"/>
          </w:tcPr>
          <w:p>
            <w:pPr>
              <w:widowControl/>
              <w:spacing w:before="100" w:beforeAutospacing="1" w:after="100" w:afterAutospacing="1"/>
              <w:jc w:val="center"/>
              <w:rPr>
                <w:szCs w:val="20"/>
              </w:rPr>
            </w:pPr>
            <w:r>
              <w:rPr>
                <w:rFonts w:hint="eastAsia"/>
                <w:szCs w:val="20"/>
              </w:rPr>
              <w:t>步行通道间距推荐值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Align w:val="center"/>
          </w:tcPr>
          <w:p>
            <w:pPr>
              <w:widowControl/>
              <w:spacing w:before="100" w:beforeAutospacing="1" w:after="100" w:afterAutospacing="1"/>
              <w:jc w:val="center"/>
              <w:rPr>
                <w:szCs w:val="20"/>
              </w:rPr>
            </w:pPr>
            <w:r>
              <w:rPr>
                <w:rFonts w:hint="eastAsia"/>
                <w:szCs w:val="20"/>
              </w:rPr>
              <w:t>枢纽级</w:t>
            </w:r>
          </w:p>
        </w:tc>
        <w:tc>
          <w:tcPr>
            <w:tcW w:w="2432" w:type="pct"/>
            <w:vAlign w:val="center"/>
          </w:tcPr>
          <w:p>
            <w:pPr>
              <w:widowControl/>
              <w:spacing w:before="100" w:beforeAutospacing="1" w:after="100" w:afterAutospacing="1"/>
              <w:jc w:val="center"/>
              <w:rPr>
                <w:szCs w:val="20"/>
              </w:rPr>
            </w:pPr>
            <w:r>
              <w:rPr>
                <w:rFonts w:hint="eastAsia"/>
                <w:szCs w:val="20"/>
              </w:rPr>
              <w:t>宜≥1</w:t>
            </w:r>
            <w:r>
              <w:rPr>
                <w:szCs w:val="20"/>
              </w:rPr>
              <w:t>0</w:t>
            </w:r>
            <w:r>
              <w:rPr>
                <w:rFonts w:hint="eastAsia"/>
                <w:szCs w:val="20"/>
              </w:rPr>
              <w:t>，具体应结合枢纽方案统筹考虑</w:t>
            </w:r>
          </w:p>
        </w:tc>
        <w:tc>
          <w:tcPr>
            <w:tcW w:w="1612" w:type="pct"/>
            <w:vAlign w:val="center"/>
          </w:tcPr>
          <w:p>
            <w:pPr>
              <w:widowControl/>
              <w:spacing w:before="100" w:beforeAutospacing="1" w:after="100" w:afterAutospacing="1"/>
              <w:jc w:val="center"/>
              <w:rPr>
                <w:szCs w:val="20"/>
              </w:rPr>
            </w:pPr>
            <w:r>
              <w:rPr>
                <w:rFonts w:hint="eastAsia"/>
                <w:szCs w:val="20"/>
              </w:rPr>
              <w:t>参照城市级执行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Align w:val="center"/>
          </w:tcPr>
          <w:p>
            <w:pPr>
              <w:widowControl/>
              <w:spacing w:before="100" w:beforeAutospacing="1" w:after="100" w:afterAutospacing="1"/>
              <w:jc w:val="center"/>
              <w:rPr>
                <w:szCs w:val="20"/>
              </w:rPr>
            </w:pPr>
            <w:r>
              <w:rPr>
                <w:rFonts w:hint="eastAsia"/>
                <w:szCs w:val="20"/>
              </w:rPr>
              <w:t>城市级</w:t>
            </w:r>
          </w:p>
        </w:tc>
        <w:tc>
          <w:tcPr>
            <w:tcW w:w="2432" w:type="pct"/>
            <w:vAlign w:val="center"/>
          </w:tcPr>
          <w:p>
            <w:pPr>
              <w:widowControl/>
              <w:spacing w:before="100" w:beforeAutospacing="1" w:after="100" w:afterAutospacing="1"/>
              <w:jc w:val="center"/>
              <w:rPr>
                <w:szCs w:val="20"/>
              </w:rPr>
            </w:pPr>
            <w:r>
              <w:rPr>
                <w:rFonts w:hint="eastAsia"/>
                <w:szCs w:val="20"/>
              </w:rPr>
              <w:t>≥1</w:t>
            </w:r>
            <w:r>
              <w:rPr>
                <w:szCs w:val="20"/>
              </w:rPr>
              <w:t>0</w:t>
            </w:r>
          </w:p>
        </w:tc>
        <w:tc>
          <w:tcPr>
            <w:tcW w:w="1612" w:type="pct"/>
            <w:vAlign w:val="center"/>
          </w:tcPr>
          <w:p>
            <w:pPr>
              <w:widowControl/>
              <w:spacing w:before="100" w:beforeAutospacing="1" w:after="100" w:afterAutospacing="1"/>
              <w:jc w:val="center"/>
              <w:rPr>
                <w:szCs w:val="20"/>
              </w:rPr>
            </w:pPr>
            <w:r>
              <w:rPr>
                <w:rFonts w:hint="eastAsia"/>
                <w:szCs w:val="20"/>
              </w:rPr>
              <w:t>8</w:t>
            </w:r>
            <w:r>
              <w:rPr>
                <w:szCs w:val="20"/>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Align w:val="center"/>
          </w:tcPr>
          <w:p>
            <w:pPr>
              <w:widowControl/>
              <w:spacing w:before="100" w:beforeAutospacing="1" w:after="100" w:afterAutospacing="1"/>
              <w:jc w:val="center"/>
              <w:rPr>
                <w:szCs w:val="20"/>
              </w:rPr>
            </w:pPr>
            <w:r>
              <w:rPr>
                <w:rFonts w:hint="eastAsia"/>
                <w:szCs w:val="20"/>
              </w:rPr>
              <w:t>区域级</w:t>
            </w:r>
          </w:p>
        </w:tc>
        <w:tc>
          <w:tcPr>
            <w:tcW w:w="2432" w:type="pct"/>
            <w:vAlign w:val="center"/>
          </w:tcPr>
          <w:p>
            <w:pPr>
              <w:widowControl/>
              <w:spacing w:before="100" w:beforeAutospacing="1" w:after="100" w:afterAutospacing="1"/>
              <w:jc w:val="center"/>
              <w:rPr>
                <w:szCs w:val="20"/>
              </w:rPr>
            </w:pPr>
            <w:r>
              <w:rPr>
                <w:rFonts w:hint="eastAsia"/>
                <w:szCs w:val="20"/>
              </w:rPr>
              <w:t>≥</w:t>
            </w:r>
            <w:r>
              <w:rPr>
                <w:szCs w:val="20"/>
              </w:rPr>
              <w:t>9</w:t>
            </w:r>
          </w:p>
        </w:tc>
        <w:tc>
          <w:tcPr>
            <w:tcW w:w="1612" w:type="pct"/>
            <w:vAlign w:val="center"/>
          </w:tcPr>
          <w:p>
            <w:pPr>
              <w:widowControl/>
              <w:spacing w:before="100" w:beforeAutospacing="1" w:after="100" w:afterAutospacing="1"/>
              <w:jc w:val="center"/>
              <w:rPr>
                <w:szCs w:val="20"/>
              </w:rPr>
            </w:pPr>
            <w:r>
              <w:rPr>
                <w:rFonts w:hint="eastAsia"/>
                <w:szCs w:val="20"/>
              </w:rPr>
              <w:t>1</w:t>
            </w:r>
            <w:r>
              <w:rPr>
                <w:szCs w:val="20"/>
              </w:rPr>
              <w:t>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Align w:val="center"/>
          </w:tcPr>
          <w:p>
            <w:pPr>
              <w:widowControl/>
              <w:spacing w:before="100" w:beforeAutospacing="1" w:after="100" w:afterAutospacing="1"/>
              <w:jc w:val="center"/>
              <w:rPr>
                <w:szCs w:val="20"/>
              </w:rPr>
            </w:pPr>
            <w:r>
              <w:rPr>
                <w:rFonts w:hint="eastAsia"/>
                <w:szCs w:val="20"/>
              </w:rPr>
              <w:t>街区级</w:t>
            </w:r>
          </w:p>
        </w:tc>
        <w:tc>
          <w:tcPr>
            <w:tcW w:w="2432" w:type="pct"/>
            <w:vAlign w:val="center"/>
          </w:tcPr>
          <w:p>
            <w:pPr>
              <w:widowControl/>
              <w:spacing w:before="100" w:beforeAutospacing="1" w:after="100" w:afterAutospacing="1"/>
              <w:jc w:val="center"/>
              <w:rPr>
                <w:szCs w:val="20"/>
              </w:rPr>
            </w:pPr>
            <w:r>
              <w:rPr>
                <w:rFonts w:hint="eastAsia"/>
                <w:szCs w:val="20"/>
              </w:rPr>
              <w:t>≥8</w:t>
            </w:r>
          </w:p>
        </w:tc>
        <w:tc>
          <w:tcPr>
            <w:tcW w:w="1612" w:type="pct"/>
            <w:vAlign w:val="center"/>
          </w:tcPr>
          <w:p>
            <w:pPr>
              <w:widowControl/>
              <w:spacing w:before="100" w:beforeAutospacing="1" w:after="100" w:afterAutospacing="1"/>
              <w:jc w:val="center"/>
              <w:rPr>
                <w:szCs w:val="20"/>
              </w:rPr>
            </w:pPr>
            <w:r>
              <w:rPr>
                <w:rFonts w:hint="eastAsia"/>
                <w:szCs w:val="20"/>
              </w:rPr>
              <w:t>1</w:t>
            </w:r>
            <w:r>
              <w:rPr>
                <w:szCs w:val="20"/>
              </w:rPr>
              <w:t>20-150</w:t>
            </w:r>
          </w:p>
        </w:tc>
      </w:tr>
    </w:tbl>
    <w:p>
      <w:pPr>
        <w:ind w:left="416" w:leftChars="200"/>
      </w:pPr>
      <w:r>
        <w:rPr>
          <w:rFonts w:hint="eastAsia"/>
        </w:rPr>
        <w:t>4  根据站点出入口布局及客流特点设置集散广场，集散广场应与临近多条道路就近多向连通。</w:t>
      </w:r>
    </w:p>
    <w:p>
      <w:pPr>
        <w:ind w:left="416" w:leftChars="200"/>
      </w:pPr>
      <w:r>
        <w:rPr>
          <w:rFonts w:hint="eastAsia"/>
        </w:rPr>
        <w:t>5  应结合出入口过街需求设置便捷的天桥或地下通道等过街设施。用于接驳的地下慢行通道的有效步行宽度不宜小于6米，布置商业功能的不宜小于8米。</w:t>
      </w:r>
    </w:p>
    <w:p>
      <w:pPr>
        <w:ind w:left="416" w:leftChars="200"/>
      </w:pPr>
      <w:r>
        <w:rPr>
          <w:rFonts w:hint="eastAsia"/>
        </w:rPr>
        <w:t>6  站点周边100米范围应设置从多个方向连接到车站出入口的连续人行道，人行道宽度不宜小于4米，不应小于3米。</w:t>
      </w:r>
    </w:p>
    <w:p>
      <w:pPr>
        <w:ind w:left="416" w:leftChars="200"/>
      </w:pPr>
      <w:r>
        <w:rPr>
          <w:rFonts w:hint="eastAsia"/>
        </w:rPr>
        <w:t>7  鼓励优先利用地下空间，在站点周边辐射影响范围实现站点与周边建筑的互联互通。尽可能将站点核心范围内的公共服务设施和商业设施布局与步行系统相结合，提升步行者的环境和空间品质。</w:t>
      </w:r>
    </w:p>
    <w:p>
      <w:pPr>
        <w:ind w:left="416" w:leftChars="200"/>
      </w:pPr>
      <w:r>
        <w:rPr>
          <w:rFonts w:hint="eastAsia"/>
        </w:rPr>
        <w:t>8  规划布局人性化、系统化、立体化的慢行系统，强化地下接驳系统与地面接驳系统的衔接规划。</w:t>
      </w:r>
    </w:p>
    <w:p>
      <w:pPr>
        <w:ind w:left="416" w:leftChars="200"/>
      </w:pPr>
      <w:r>
        <w:rPr>
          <w:rFonts w:hint="eastAsia"/>
        </w:rPr>
        <w:t>9  应强化垂直交通的衔接，并适度提高电梯、扶梯等的设置标准。</w:t>
      </w:r>
    </w:p>
    <w:p>
      <w:r>
        <w:rPr>
          <w:rFonts w:hint="eastAsia"/>
        </w:rPr>
        <w:t>6.3.</w:t>
      </w:r>
      <w:r>
        <w:t xml:space="preserve">4  </w:t>
      </w:r>
      <w:r>
        <w:rPr>
          <w:rFonts w:hint="eastAsia"/>
        </w:rPr>
        <w:t>轨道车站周边非机动车停放/接驳应符合下列规定：</w:t>
      </w:r>
    </w:p>
    <w:p>
      <w:pPr>
        <w:ind w:left="416" w:leftChars="200"/>
      </w:pPr>
      <w:r>
        <w:rPr>
          <w:rFonts w:hint="eastAsia"/>
        </w:rPr>
        <w:t>1</w:t>
      </w:r>
      <w:r>
        <w:t xml:space="preserve">  </w:t>
      </w:r>
      <w:r>
        <w:rPr>
          <w:rFonts w:hint="eastAsia"/>
        </w:rPr>
        <w:t>轨道车站应按需根据周边条件布设非机动车接驳设施，应结合出入口分散布置，每个停车点规模不宜过大，距离车站出入口的距离不宜过近且不宜大于</w:t>
      </w:r>
      <w:r>
        <w:t>50</w:t>
      </w:r>
      <w:r>
        <w:rPr>
          <w:rFonts w:hint="eastAsia"/>
        </w:rPr>
        <w:t>米。</w:t>
      </w:r>
    </w:p>
    <w:p>
      <w:pPr>
        <w:ind w:left="416" w:leftChars="200"/>
      </w:pPr>
      <w:r>
        <w:t xml:space="preserve">2  </w:t>
      </w:r>
      <w:r>
        <w:rPr>
          <w:rFonts w:hint="eastAsia"/>
        </w:rPr>
        <w:t>非机动车接驳设施鼓励结合周边用地一体化设计，可根据车站实际情况与站前广场结合设置。</w:t>
      </w:r>
    </w:p>
    <w:p>
      <w:pPr>
        <w:ind w:left="416" w:leftChars="200"/>
      </w:pPr>
      <w:r>
        <w:rPr>
          <w:rFonts w:hint="eastAsia"/>
        </w:rPr>
        <w:t>3  宜在站点周边1500米范围内设置从多个方向连接到车站出入口的连续非机动车道，尽量减少与机动车流线交叉。</w:t>
      </w:r>
    </w:p>
    <w:p>
      <w:r>
        <w:rPr>
          <w:rFonts w:hint="eastAsia"/>
        </w:rPr>
        <w:t>6.3.5  轨道车站周边公交系统应符合下列规定：</w:t>
      </w:r>
    </w:p>
    <w:p>
      <w:pPr>
        <w:ind w:left="416" w:leftChars="200"/>
      </w:pPr>
      <w:r>
        <w:rPr>
          <w:rFonts w:hint="eastAsia"/>
        </w:rPr>
        <w:t>1  应充分考虑轨道交通与公交的融合发展需求，结合区域发展、交通接驳需求合理设置公交微循环和公交场站；非机动车接驳需求较大的车站，宜优化公交场站及线路布局，引导乘客采用公交出行。</w:t>
      </w:r>
    </w:p>
    <w:p>
      <w:pPr>
        <w:ind w:left="416" w:leftChars="200"/>
      </w:pPr>
      <w:r>
        <w:rPr>
          <w:rFonts w:hint="eastAsia"/>
        </w:rPr>
        <w:t>2  轨道车站周边宜布局与轨道换乘接驳相关的公交上落客功能，保留必要周转空间，不宜集中布局公交驻车功能。轨道车站一体化核心范围内既有公交场站，应研究公交场站驻车功能外移、场站一体化复合利用的可行性；新城地区轨道站点周边已规划布局的公交场站，可结合小汽车停车等功能复合利用，且不宜紧邻轨道车站。</w:t>
      </w:r>
    </w:p>
    <w:p>
      <w:pPr>
        <w:ind w:left="416" w:leftChars="200"/>
      </w:pPr>
      <w:r>
        <w:rPr>
          <w:rFonts w:hint="eastAsia"/>
        </w:rPr>
        <w:t>3  公交停靠站尽量靠近车站出入口，与出入口的距离不应超过50米。</w:t>
      </w:r>
    </w:p>
    <w:p>
      <w:r>
        <w:t xml:space="preserve">6.3.6  </w:t>
      </w:r>
      <w:r>
        <w:rPr>
          <w:rFonts w:hint="eastAsia"/>
        </w:rPr>
        <w:t>轨道车站周边小汽车（出租车、网约车）停车应符合下列规定：</w:t>
      </w:r>
    </w:p>
    <w:p>
      <w:pPr>
        <w:ind w:left="416" w:leftChars="200"/>
      </w:pPr>
      <w:r>
        <w:rPr>
          <w:rFonts w:hint="eastAsia"/>
        </w:rPr>
        <w:t>1  小汽车落客区的布置不应阻断步行、自行车、公交的接驳流线，落客区距离车站出入口不宜大于150米。</w:t>
      </w:r>
    </w:p>
    <w:p>
      <w:pPr>
        <w:ind w:left="416" w:leftChars="200"/>
      </w:pPr>
      <w:r>
        <w:rPr>
          <w:rFonts w:hint="eastAsia"/>
        </w:rPr>
        <w:t>2  小汽车停车接驳设施用地宜与其他用地相结合为主，对不具备综合利用条件的可采用独立占地形式，并应考虑立体停车条件。</w:t>
      </w:r>
    </w:p>
    <w:p>
      <w:pPr>
        <w:pStyle w:val="4"/>
        <w:rPr>
          <w:rFonts w:ascii="Times New Roman" w:hAnsi="Times New Roman"/>
        </w:rPr>
      </w:pPr>
      <w:bookmarkStart w:id="34" w:name="_Toc175668063"/>
      <w:r>
        <w:rPr>
          <w:rFonts w:ascii="Times New Roman" w:hAnsi="Times New Roman"/>
        </w:rPr>
        <w:t>6.4 市政</w:t>
      </w:r>
      <w:r>
        <w:rPr>
          <w:rFonts w:hint="eastAsia" w:ascii="Times New Roman" w:hAnsi="Times New Roman"/>
        </w:rPr>
        <w:t>一体化</w:t>
      </w:r>
      <w:bookmarkEnd w:id="34"/>
    </w:p>
    <w:p>
      <w:r>
        <w:t xml:space="preserve">6.4.1  </w:t>
      </w:r>
      <w:r>
        <w:rPr>
          <w:rFonts w:hint="eastAsia"/>
        </w:rPr>
        <w:t>车站一体化核心范围内能源站、变电站等</w:t>
      </w:r>
      <w:r>
        <w:t>市政</w:t>
      </w:r>
      <w:r>
        <w:rPr>
          <w:rFonts w:hint="eastAsia"/>
        </w:rPr>
        <w:t>场站</w:t>
      </w:r>
      <w:r>
        <w:t>设施</w:t>
      </w:r>
      <w:r>
        <w:rPr>
          <w:rFonts w:hint="eastAsia"/>
        </w:rPr>
        <w:t>应符合下列规定：</w:t>
      </w:r>
    </w:p>
    <w:p>
      <w:pPr>
        <w:ind w:left="416" w:leftChars="200"/>
      </w:pPr>
      <w:r>
        <w:rPr>
          <w:rFonts w:hint="eastAsia"/>
        </w:rPr>
        <w:t>1  宜采用地下或半地下方式。</w:t>
      </w:r>
    </w:p>
    <w:p>
      <w:pPr>
        <w:ind w:left="416" w:leftChars="200"/>
      </w:pPr>
      <w:r>
        <w:rPr>
          <w:rFonts w:hint="eastAsia"/>
        </w:rPr>
        <w:t>2  宜与其他建（构）筑物融合设置，并应与周边环境景观相协调。</w:t>
      </w:r>
    </w:p>
    <w:p>
      <w:pPr>
        <w:ind w:left="416" w:leftChars="200"/>
      </w:pPr>
      <w:r>
        <w:rPr>
          <w:rFonts w:hint="eastAsia"/>
        </w:rPr>
        <w:t>3  应满足防淹防火要求。</w:t>
      </w:r>
    </w:p>
    <w:p>
      <w:r>
        <w:rPr>
          <w:rFonts w:hint="eastAsia"/>
        </w:rPr>
        <w:t>6.4.2  车站一体化核心范围内迁改管线、规划市政管线宜采用综合管廊集约敷设。</w:t>
      </w:r>
    </w:p>
    <w:p>
      <w:r>
        <w:t>6.4.</w:t>
      </w:r>
      <w:r>
        <w:rPr>
          <w:rFonts w:hint="eastAsia"/>
        </w:rPr>
        <w:t>3</w:t>
      </w:r>
      <w:r>
        <w:t xml:space="preserve">  </w:t>
      </w:r>
      <w:r>
        <w:rPr>
          <w:rFonts w:hint="eastAsia"/>
        </w:rPr>
        <w:t>轨道车站不应设在低洼易涝区，出地面附属构筑物敞口部位设计标高应满足内涝防治要求，并应有防淹措施。</w:t>
      </w:r>
    </w:p>
    <w:p>
      <w:r>
        <w:rPr>
          <w:rFonts w:hint="eastAsia"/>
        </w:rPr>
        <w:t>6.4.4</w:t>
      </w:r>
      <w:r>
        <w:t xml:space="preserve"> </w:t>
      </w:r>
      <w:r>
        <w:rPr>
          <w:rFonts w:hint="eastAsia"/>
        </w:rPr>
        <w:t xml:space="preserve"> 地下车站敞口出入口、敞口风井及隧道洞口的雨水排水系统设计重现期不应小于100年；与地下车站相连的下沉广场、市政过街通道等场所雨水排水系统设计重现期不应小于100年。</w:t>
      </w:r>
    </w:p>
    <w:p>
      <w:pPr>
        <w:pStyle w:val="4"/>
        <w:rPr>
          <w:rFonts w:ascii="Times New Roman" w:hAnsi="Times New Roman"/>
        </w:rPr>
      </w:pPr>
      <w:bookmarkStart w:id="35" w:name="_Toc175668064"/>
      <w:r>
        <w:rPr>
          <w:rFonts w:ascii="Times New Roman" w:hAnsi="Times New Roman"/>
        </w:rPr>
        <w:t>6.5 车站附属</w:t>
      </w:r>
      <w:bookmarkEnd w:id="35"/>
    </w:p>
    <w:p>
      <w:pPr>
        <w:tabs>
          <w:tab w:val="left" w:pos="312"/>
        </w:tabs>
      </w:pPr>
      <w:r>
        <w:rPr>
          <w:rFonts w:hint="eastAsia"/>
          <w:szCs w:val="20"/>
        </w:rPr>
        <w:t>6</w:t>
      </w:r>
      <w:r>
        <w:rPr>
          <w:szCs w:val="20"/>
        </w:rPr>
        <w:t xml:space="preserve">.5.1  </w:t>
      </w:r>
      <w:r>
        <w:rPr>
          <w:rFonts w:hint="eastAsia"/>
          <w:szCs w:val="20"/>
        </w:rPr>
        <w:t>车站附属设施一体化设计应符合所在地区的城市环境及景观风貌，并结合城市建筑、下沉广场、城市景观等整合设置；应通过</w:t>
      </w:r>
      <w:r>
        <w:t>模块化设计</w:t>
      </w:r>
      <w:r>
        <w:rPr>
          <w:rFonts w:hint="eastAsia"/>
        </w:rPr>
        <w:t>手段</w:t>
      </w:r>
      <w:r>
        <w:rPr>
          <w:rFonts w:hint="eastAsia"/>
          <w:szCs w:val="20"/>
        </w:rPr>
        <w:t>控制综合布局、建筑体量、造型、材料、色彩等要素，</w:t>
      </w:r>
      <w:r>
        <w:t>对附属</w:t>
      </w:r>
      <w:r>
        <w:rPr>
          <w:rFonts w:hint="eastAsia"/>
        </w:rPr>
        <w:t>设施</w:t>
      </w:r>
      <w:r>
        <w:t>进行消隐处理</w:t>
      </w:r>
      <w:r>
        <w:rPr>
          <w:rFonts w:hint="eastAsia"/>
        </w:rPr>
        <w:t>。</w:t>
      </w:r>
    </w:p>
    <w:p>
      <w:pPr>
        <w:tabs>
          <w:tab w:val="left" w:pos="312"/>
        </w:tabs>
      </w:pPr>
      <w:r>
        <w:rPr>
          <w:rFonts w:hint="eastAsia"/>
          <w:szCs w:val="20"/>
        </w:rPr>
        <w:t>6</w:t>
      </w:r>
      <w:r>
        <w:rPr>
          <w:szCs w:val="20"/>
        </w:rPr>
        <w:t xml:space="preserve">.5.2  </w:t>
      </w:r>
      <w:r>
        <w:t>轨道交通附属设施可与建筑地下室或建筑地上裙房结合或贴建</w:t>
      </w:r>
      <w:r>
        <w:rPr>
          <w:rFonts w:hint="eastAsia"/>
        </w:rPr>
        <w:t>，附属设施结建率宜结合周边规划实施率与车站分级综合考虑，并符合以下要求：</w:t>
      </w:r>
    </w:p>
    <w:p>
      <w:pPr>
        <w:jc w:val="center"/>
      </w:pPr>
      <w:r>
        <w:rPr>
          <w:rFonts w:hint="eastAsia"/>
        </w:rPr>
        <w:t>表6.8 车站结建率建议值</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2410"/>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Pr>
          <w:p>
            <w:pPr>
              <w:jc w:val="center"/>
            </w:pPr>
            <w:r>
              <w:rPr>
                <w:rFonts w:hint="eastAsia"/>
              </w:rPr>
              <w:t>附属结建率</w:t>
            </w:r>
          </w:p>
        </w:tc>
        <w:tc>
          <w:tcPr>
            <w:tcW w:w="2410" w:type="dxa"/>
          </w:tcPr>
          <w:p>
            <w:pPr>
              <w:jc w:val="center"/>
            </w:pPr>
            <w:r>
              <w:rPr>
                <w:rFonts w:hint="eastAsia"/>
              </w:rPr>
              <w:t>枢纽级/城市级</w:t>
            </w:r>
          </w:p>
        </w:tc>
        <w:tc>
          <w:tcPr>
            <w:tcW w:w="2489" w:type="dxa"/>
          </w:tcPr>
          <w:p>
            <w:pPr>
              <w:jc w:val="center"/>
            </w:pPr>
            <w:r>
              <w:rPr>
                <w:rFonts w:hint="eastAsia"/>
              </w:rPr>
              <w:t>区域级/街区级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Pr>
          <w:p>
            <w:pPr>
              <w:jc w:val="center"/>
            </w:pPr>
            <w:r>
              <w:rPr>
                <w:rFonts w:hint="eastAsia"/>
              </w:rPr>
              <w:t>周边规划实施率达到80%的站点</w:t>
            </w:r>
          </w:p>
        </w:tc>
        <w:tc>
          <w:tcPr>
            <w:tcW w:w="2410" w:type="dxa"/>
          </w:tcPr>
          <w:p>
            <w:pPr>
              <w:jc w:val="center"/>
            </w:pPr>
            <w:r>
              <w:rPr>
                <w:rFonts w:hint="eastAsia"/>
              </w:rPr>
              <w:t>/</w:t>
            </w:r>
          </w:p>
        </w:tc>
        <w:tc>
          <w:tcPr>
            <w:tcW w:w="2489" w:type="dxa"/>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Pr>
          <w:p>
            <w:pPr>
              <w:jc w:val="center"/>
            </w:pPr>
            <w:r>
              <w:rPr>
                <w:rFonts w:hint="eastAsia"/>
              </w:rPr>
              <w:t>周边规划实施率40%-80%的站点</w:t>
            </w:r>
          </w:p>
        </w:tc>
        <w:tc>
          <w:tcPr>
            <w:tcW w:w="2410" w:type="dxa"/>
          </w:tcPr>
          <w:p>
            <w:pPr>
              <w:jc w:val="center"/>
            </w:pPr>
            <w:r>
              <w:rPr>
                <w:rFonts w:hint="eastAsia"/>
              </w:rPr>
              <w:t>70%</w:t>
            </w:r>
          </w:p>
        </w:tc>
        <w:tc>
          <w:tcPr>
            <w:tcW w:w="2489" w:type="dxa"/>
          </w:tcPr>
          <w:p>
            <w:pPr>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Pr>
          <w:p>
            <w:pPr>
              <w:jc w:val="center"/>
            </w:pPr>
            <w:r>
              <w:rPr>
                <w:rFonts w:hint="eastAsia"/>
              </w:rPr>
              <w:t>周边规划实施率低于40%的站点</w:t>
            </w:r>
          </w:p>
        </w:tc>
        <w:tc>
          <w:tcPr>
            <w:tcW w:w="2410" w:type="dxa"/>
          </w:tcPr>
          <w:p>
            <w:pPr>
              <w:jc w:val="center"/>
            </w:pPr>
            <w:r>
              <w:rPr>
                <w:rFonts w:hint="eastAsia"/>
              </w:rPr>
              <w:t>90%</w:t>
            </w:r>
          </w:p>
        </w:tc>
        <w:tc>
          <w:tcPr>
            <w:tcW w:w="2489" w:type="dxa"/>
          </w:tcPr>
          <w:p>
            <w:pPr>
              <w:jc w:val="center"/>
            </w:pPr>
            <w:r>
              <w:rPr>
                <w:rFonts w:hint="eastAsia"/>
              </w:rPr>
              <w:t>70%</w:t>
            </w:r>
          </w:p>
        </w:tc>
      </w:tr>
    </w:tbl>
    <w:p>
      <w:pPr>
        <w:jc w:val="center"/>
      </w:pPr>
    </w:p>
    <w:p>
      <w:pPr>
        <w:tabs>
          <w:tab w:val="left" w:pos="312"/>
        </w:tabs>
        <w:rPr>
          <w:szCs w:val="20"/>
        </w:rPr>
      </w:pPr>
      <w:r>
        <w:rPr>
          <w:szCs w:val="20"/>
        </w:rPr>
        <w:t xml:space="preserve">6.5.3  </w:t>
      </w:r>
      <w:r>
        <w:rPr>
          <w:rFonts w:hint="eastAsia"/>
          <w:szCs w:val="20"/>
        </w:rPr>
        <w:t>车站出入口设置</w:t>
      </w:r>
      <w:r>
        <w:rPr>
          <w:rFonts w:hint="eastAsia"/>
        </w:rPr>
        <w:t>应符合下列规定</w:t>
      </w:r>
      <w:r>
        <w:rPr>
          <w:rFonts w:hint="eastAsia"/>
          <w:szCs w:val="20"/>
        </w:rPr>
        <w:t>：</w:t>
      </w:r>
    </w:p>
    <w:p>
      <w:pPr>
        <w:ind w:left="416" w:leftChars="200"/>
      </w:pPr>
      <w:r>
        <w:t xml:space="preserve">1  </w:t>
      </w:r>
      <w:r>
        <w:rPr>
          <w:rFonts w:hint="eastAsia"/>
        </w:rPr>
        <w:t>应妥善协调轨道出入口及各类设施的用地布局、场地关系，确保人流路线安全、便捷。车站出入口应进入相邻地块红线内（军事用地等特殊用地除外），经研究确不具备条件的，可结合道路及周边用地公共空间统筹设置；因空间局促难以落实的轨道出入口及设施，可提出近远期结合方案。</w:t>
      </w:r>
    </w:p>
    <w:p>
      <w:pPr>
        <w:ind w:left="416" w:leftChars="200"/>
      </w:pPr>
      <w:r>
        <w:rPr>
          <w:rFonts w:hint="eastAsia"/>
        </w:rPr>
        <w:t>2  轨道交通投资建设主体及轨道运营主体应支持轨道交通出入口与周边建筑一体化结合，鼓励支持出入口与周边地块连通或预留条件，切实保障站点一体化核心范围内新增连通出入口实施。</w:t>
      </w:r>
    </w:p>
    <w:p>
      <w:pPr>
        <w:ind w:left="416" w:leftChars="200"/>
      </w:pPr>
      <w:r>
        <w:rPr>
          <w:rFonts w:hint="eastAsia"/>
        </w:rPr>
        <w:t>3</w:t>
      </w:r>
      <w:r>
        <w:t xml:space="preserve">  </w:t>
      </w:r>
      <w:r>
        <w:rPr>
          <w:rFonts w:hint="eastAsia"/>
        </w:rPr>
        <w:t>车站出入口设置的方向与数量应根据客流需求、周边用地及道路条件综合判定。</w:t>
      </w:r>
      <w:r>
        <w:t>车站沿</w:t>
      </w:r>
      <w:r>
        <w:rPr>
          <w:rFonts w:hint="eastAsia"/>
        </w:rPr>
        <w:t>主干路及以上道路、</w:t>
      </w:r>
      <w:r>
        <w:t>河道</w:t>
      </w:r>
      <w:r>
        <w:rPr>
          <w:rFonts w:hint="eastAsia"/>
        </w:rPr>
        <w:t>、</w:t>
      </w:r>
      <w:r>
        <w:t>铁路</w:t>
      </w:r>
      <w:r>
        <w:rPr>
          <w:rFonts w:hint="eastAsia"/>
        </w:rPr>
        <w:t>单侧设置出入口的，宜增加人行过街设施。</w:t>
      </w:r>
    </w:p>
    <w:p>
      <w:pPr>
        <w:ind w:left="416" w:leftChars="200"/>
      </w:pPr>
      <w:r>
        <w:rPr>
          <w:rFonts w:hint="eastAsia"/>
        </w:rPr>
        <w:t>4  区域级以上站点出入口数量不宜少于6个（其中轨道交通换乘站不宜少于8个，两线以上换乘站不宜少于10个）；街区级站点出入口数量不宜少于4个。</w:t>
      </w:r>
    </w:p>
    <w:p>
      <w:pPr>
        <w:ind w:left="416" w:leftChars="200"/>
      </w:pPr>
      <w:r>
        <w:rPr>
          <w:rFonts w:hint="eastAsia"/>
        </w:rPr>
        <w:t>5</w:t>
      </w:r>
      <w:r>
        <w:t xml:space="preserve">  </w:t>
      </w:r>
      <w:r>
        <w:rPr>
          <w:rFonts w:hint="eastAsia"/>
        </w:rPr>
        <w:t>当轨道车站与周边地块不满足同期施工条件时，应设置临时出入口；临时出入口设置应考虑远期规划方案，宜永临结合，保证疏散及施工安全。</w:t>
      </w:r>
    </w:p>
    <w:p>
      <w:pPr>
        <w:tabs>
          <w:tab w:val="left" w:pos="312"/>
        </w:tabs>
        <w:rPr>
          <w:szCs w:val="20"/>
        </w:rPr>
      </w:pPr>
      <w:r>
        <w:rPr>
          <w:szCs w:val="20"/>
        </w:rPr>
        <w:t xml:space="preserve">6.5.4  </w:t>
      </w:r>
      <w:r>
        <w:rPr>
          <w:rFonts w:hint="eastAsia"/>
          <w:szCs w:val="20"/>
        </w:rPr>
        <w:t>车站附属必须独立设置时，各构成要素之间应进行整合，并</w:t>
      </w:r>
      <w:r>
        <w:t>采用</w:t>
      </w:r>
      <w:r>
        <w:rPr>
          <w:rFonts w:hint="eastAsia"/>
        </w:rPr>
        <w:t>敞口低矮风亭、冷却塔及VRV机房下置、敞口式安全出入口设计等</w:t>
      </w:r>
      <w:r>
        <w:t>新技术、新形式、新方法对附属进行消隐处理，按需求减小附属体量、降低高度、地下设置</w:t>
      </w:r>
      <w:r>
        <w:rPr>
          <w:rFonts w:hint="eastAsia"/>
        </w:rPr>
        <w:t>等</w:t>
      </w:r>
      <w:r>
        <w:rPr>
          <w:rFonts w:hint="eastAsia"/>
          <w:szCs w:val="20"/>
        </w:rPr>
        <w:t>。</w:t>
      </w:r>
    </w:p>
    <w:p>
      <w:pPr>
        <w:pStyle w:val="4"/>
        <w:rPr>
          <w:rFonts w:ascii="Times New Roman" w:hAnsi="Times New Roman"/>
        </w:rPr>
      </w:pPr>
      <w:bookmarkStart w:id="36" w:name="_Toc175668065"/>
      <w:r>
        <w:rPr>
          <w:rFonts w:ascii="Times New Roman" w:hAnsi="Times New Roman"/>
        </w:rPr>
        <w:t xml:space="preserve">6.6 </w:t>
      </w:r>
      <w:r>
        <w:rPr>
          <w:rFonts w:hint="eastAsia" w:ascii="Times New Roman" w:hAnsi="Times New Roman"/>
          <w:lang w:eastAsia="zh-Hans"/>
        </w:rPr>
        <w:t>城市公共空间</w:t>
      </w:r>
      <w:bookmarkEnd w:id="36"/>
    </w:p>
    <w:p>
      <w:r>
        <w:rPr>
          <w:szCs w:val="20"/>
        </w:rPr>
        <w:t xml:space="preserve">6.6.1  </w:t>
      </w:r>
      <w:r>
        <w:rPr>
          <w:rFonts w:hint="eastAsia"/>
          <w:szCs w:val="20"/>
        </w:rPr>
        <w:t>车站一体化的城市公共空间</w:t>
      </w:r>
      <w:r>
        <w:t>应</w:t>
      </w:r>
      <w:r>
        <w:rPr>
          <w:rFonts w:hint="eastAsia"/>
        </w:rPr>
        <w:t>符合区域上位规划的管控要求，</w:t>
      </w:r>
      <w:r>
        <w:t>应根据客流预测、</w:t>
      </w:r>
      <w:r>
        <w:rPr>
          <w:rFonts w:hint="eastAsia"/>
        </w:rPr>
        <w:t>交通组织、</w:t>
      </w:r>
      <w:r>
        <w:t>用地条件、功能</w:t>
      </w:r>
      <w:r>
        <w:rPr>
          <w:rFonts w:hint="eastAsia"/>
        </w:rPr>
        <w:t>和景观</w:t>
      </w:r>
      <w:r>
        <w:t>需求等</w:t>
      </w:r>
      <w:r>
        <w:rPr>
          <w:rFonts w:hint="eastAsia"/>
        </w:rPr>
        <w:t>精细化布局车</w:t>
      </w:r>
      <w:r>
        <w:t>站一体化</w:t>
      </w:r>
      <w:r>
        <w:rPr>
          <w:rFonts w:hint="eastAsia"/>
        </w:rPr>
        <w:t>研究范围内</w:t>
      </w:r>
      <w:r>
        <w:t>的建筑形态</w:t>
      </w:r>
      <w:r>
        <w:rPr>
          <w:rFonts w:hint="eastAsia"/>
        </w:rPr>
        <w:t>及城市公共空间风貌，对广场空间、建筑空间及滨水空间等进行布局，各</w:t>
      </w:r>
      <w:r>
        <w:t>公共空间</w:t>
      </w:r>
      <w:r>
        <w:rPr>
          <w:rFonts w:hint="eastAsia"/>
        </w:rPr>
        <w:t>宜形成空间联系，</w:t>
      </w:r>
      <w:r>
        <w:t>在适用、经济、绿色、美观的基础上融入城市环境</w:t>
      </w:r>
      <w:r>
        <w:rPr>
          <w:rFonts w:hint="eastAsia"/>
        </w:rPr>
        <w:t>。</w:t>
      </w:r>
    </w:p>
    <w:p>
      <w:r>
        <w:rPr>
          <w:rFonts w:hint="eastAsia"/>
          <w:bCs/>
        </w:rPr>
        <w:t>6.</w:t>
      </w:r>
      <w:r>
        <w:rPr>
          <w:bCs/>
        </w:rPr>
        <w:t>6.2</w:t>
      </w:r>
      <w:r>
        <w:rPr>
          <w:rFonts w:hint="eastAsia"/>
          <w:bCs/>
        </w:rPr>
        <w:t xml:space="preserve"> </w:t>
      </w:r>
      <w:r>
        <w:rPr>
          <w:bCs/>
        </w:rPr>
        <w:t xml:space="preserve"> </w:t>
      </w:r>
      <w:r>
        <w:rPr>
          <w:rFonts w:hint="eastAsia"/>
          <w:bCs/>
        </w:rPr>
        <w:t>车站</w:t>
      </w:r>
      <w:r>
        <w:rPr>
          <w:bCs/>
        </w:rPr>
        <w:t>周边</w:t>
      </w:r>
      <w:r>
        <w:rPr>
          <w:rFonts w:hint="eastAsia"/>
          <w:bCs/>
        </w:rPr>
        <w:t>建设</w:t>
      </w:r>
      <w:r>
        <w:rPr>
          <w:bCs/>
        </w:rPr>
        <w:t>用地建筑</w:t>
      </w:r>
      <w:r>
        <w:rPr>
          <w:rFonts w:hint="eastAsia"/>
          <w:bCs/>
        </w:rPr>
        <w:t>密度应</w:t>
      </w:r>
      <w:r>
        <w:rPr>
          <w:bCs/>
        </w:rPr>
        <w:t>根据</w:t>
      </w:r>
      <w:r>
        <w:rPr>
          <w:rFonts w:hint="eastAsia"/>
          <w:bCs/>
        </w:rPr>
        <w:t>车站所处</w:t>
      </w:r>
      <w:r>
        <w:rPr>
          <w:bCs/>
        </w:rPr>
        <w:t>区位</w:t>
      </w:r>
      <w:r>
        <w:rPr>
          <w:rFonts w:hint="eastAsia"/>
          <w:bCs/>
        </w:rPr>
        <w:t>以及</w:t>
      </w:r>
      <w:r>
        <w:rPr>
          <w:bCs/>
        </w:rPr>
        <w:t>区域城市环境品质实际需求确定</w:t>
      </w:r>
      <w:r>
        <w:rPr>
          <w:rFonts w:hint="eastAsia"/>
          <w:bCs/>
        </w:rPr>
        <w:t>，在确保土地利用集约高效的同时提供充足的开放空间，实现车站周边城市空间疏密有致，人员活动便捷舒适。</w:t>
      </w:r>
    </w:p>
    <w:p>
      <w:pPr>
        <w:tabs>
          <w:tab w:val="left" w:pos="312"/>
        </w:tabs>
      </w:pPr>
      <w:r>
        <w:rPr>
          <w:rFonts w:hint="eastAsia"/>
          <w:szCs w:val="20"/>
        </w:rPr>
        <w:t>6</w:t>
      </w:r>
      <w:r>
        <w:rPr>
          <w:szCs w:val="20"/>
        </w:rPr>
        <w:t>.6.</w:t>
      </w:r>
      <w:r>
        <w:rPr>
          <w:rFonts w:hint="eastAsia"/>
          <w:szCs w:val="20"/>
        </w:rPr>
        <w:t>3</w:t>
      </w:r>
      <w:r>
        <w:rPr>
          <w:szCs w:val="20"/>
        </w:rPr>
        <w:t xml:space="preserve">  </w:t>
      </w:r>
      <w:r>
        <w:rPr>
          <w:rFonts w:hint="eastAsia"/>
          <w:szCs w:val="20"/>
        </w:rPr>
        <w:t>轨道交通车站</w:t>
      </w:r>
      <w:r>
        <w:rPr>
          <w:szCs w:val="20"/>
        </w:rPr>
        <w:t>一体化</w:t>
      </w:r>
      <w:r>
        <w:rPr>
          <w:rFonts w:hint="eastAsia"/>
          <w:szCs w:val="20"/>
        </w:rPr>
        <w:t>核心范围用地与轨道交通车站应连尽连，</w:t>
      </w:r>
      <w:r>
        <w:rPr>
          <w:rFonts w:hint="eastAsia"/>
        </w:rPr>
        <w:t>枢纽级、城市级车站与周边建筑一体化连通的出入口数量占出入口总数的比例宜达70%以上。</w:t>
      </w:r>
    </w:p>
    <w:p>
      <w:pPr>
        <w:pStyle w:val="4"/>
        <w:rPr>
          <w:rFonts w:ascii="Times New Roman" w:hAnsi="Times New Roman"/>
        </w:rPr>
      </w:pPr>
      <w:bookmarkStart w:id="37" w:name="_Toc175668066"/>
      <w:r>
        <w:rPr>
          <w:rFonts w:ascii="Times New Roman" w:hAnsi="Times New Roman"/>
        </w:rPr>
        <w:t>6.7 地下空间</w:t>
      </w:r>
      <w:bookmarkEnd w:id="37"/>
    </w:p>
    <w:p>
      <w:r>
        <w:rPr>
          <w:szCs w:val="20"/>
        </w:rPr>
        <w:t xml:space="preserve">6.7.1  </w:t>
      </w:r>
      <w:r>
        <w:rPr>
          <w:rFonts w:hint="eastAsia"/>
          <w:szCs w:val="20"/>
        </w:rPr>
        <w:t>紧邻车站的地下空间应优先布置交通换乘空间、人行连通空间、</w:t>
      </w:r>
      <w:r>
        <w:rPr>
          <w:rFonts w:hint="eastAsia"/>
        </w:rPr>
        <w:t>室内外公共空间、</w:t>
      </w:r>
      <w:r>
        <w:rPr>
          <w:rFonts w:hint="eastAsia"/>
          <w:szCs w:val="20"/>
        </w:rPr>
        <w:t>商业及公共服务设施。</w:t>
      </w:r>
    </w:p>
    <w:p>
      <w:r>
        <w:rPr>
          <w:rFonts w:hint="eastAsia"/>
        </w:rPr>
        <w:t>6.7.2 车站地下功能宜符合以下规定：</w:t>
      </w:r>
    </w:p>
    <w:p>
      <w:pPr>
        <w:jc w:val="center"/>
      </w:pPr>
      <w:r>
        <w:rPr>
          <w:rFonts w:hint="eastAsia"/>
        </w:rPr>
        <w:t>表6.9 车站地下功能引导</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81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rPr>
                <w:kern w:val="0"/>
                <w:szCs w:val="20"/>
              </w:rPr>
            </w:pPr>
            <w:r>
              <w:rPr>
                <w:rFonts w:hint="eastAsia"/>
                <w:spacing w:val="0"/>
                <w:kern w:val="0"/>
                <w:szCs w:val="20"/>
              </w:rPr>
              <w:t>车站等级</w:t>
            </w:r>
          </w:p>
        </w:tc>
        <w:tc>
          <w:tcPr>
            <w:tcW w:w="5812" w:type="dxa"/>
          </w:tcPr>
          <w:p>
            <w:pPr>
              <w:widowControl/>
              <w:jc w:val="center"/>
              <w:rPr>
                <w:kern w:val="0"/>
                <w:szCs w:val="20"/>
              </w:rPr>
            </w:pPr>
            <w:r>
              <w:rPr>
                <w:rFonts w:hint="eastAsia"/>
                <w:spacing w:val="0"/>
                <w:kern w:val="0"/>
                <w:szCs w:val="20"/>
              </w:rPr>
              <w:t>一体化核心范围</w:t>
            </w:r>
          </w:p>
        </w:tc>
        <w:tc>
          <w:tcPr>
            <w:tcW w:w="1355" w:type="dxa"/>
          </w:tcPr>
          <w:p>
            <w:pPr>
              <w:widowControl/>
              <w:jc w:val="center"/>
              <w:rPr>
                <w:kern w:val="0"/>
                <w:szCs w:val="20"/>
              </w:rPr>
            </w:pPr>
            <w:r>
              <w:rPr>
                <w:rFonts w:hint="eastAsia"/>
                <w:spacing w:val="0"/>
                <w:kern w:val="0"/>
                <w:szCs w:val="20"/>
              </w:rPr>
              <w:t>一体化研究范围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rPr>
                <w:kern w:val="0"/>
                <w:szCs w:val="20"/>
              </w:rPr>
            </w:pPr>
            <w:r>
              <w:rPr>
                <w:rFonts w:hint="eastAsia"/>
                <w:spacing w:val="0"/>
                <w:kern w:val="0"/>
                <w:szCs w:val="20"/>
              </w:rPr>
              <w:t>枢纽级</w:t>
            </w:r>
            <w:r>
              <w:rPr>
                <w:spacing w:val="0"/>
                <w:kern w:val="0"/>
                <w:szCs w:val="20"/>
              </w:rPr>
              <w:t>/</w:t>
            </w:r>
            <w:r>
              <w:rPr>
                <w:rFonts w:hint="eastAsia"/>
                <w:spacing w:val="0"/>
                <w:kern w:val="0"/>
                <w:szCs w:val="20"/>
              </w:rPr>
              <w:t>城市级</w:t>
            </w:r>
          </w:p>
        </w:tc>
        <w:tc>
          <w:tcPr>
            <w:tcW w:w="5812" w:type="dxa"/>
          </w:tcPr>
          <w:p>
            <w:pPr>
              <w:widowControl/>
              <w:jc w:val="center"/>
              <w:rPr>
                <w:kern w:val="0"/>
                <w:szCs w:val="20"/>
              </w:rPr>
            </w:pPr>
            <w:r>
              <w:rPr>
                <w:rFonts w:hint="eastAsia"/>
                <w:spacing w:val="0"/>
                <w:kern w:val="0"/>
                <w:szCs w:val="20"/>
              </w:rPr>
              <w:t>宜布局商业、公共服务、公共人行通道、停车等功能；尽可能设置地下交通换乘系统，实现立体交通组织，加强与轨道站点、地上商业设施、公共服务设施、公共空间等互联互通。</w:t>
            </w:r>
          </w:p>
        </w:tc>
        <w:tc>
          <w:tcPr>
            <w:tcW w:w="1355" w:type="dxa"/>
            <w:vMerge w:val="restart"/>
          </w:tcPr>
          <w:p>
            <w:pPr>
              <w:widowControl/>
              <w:jc w:val="center"/>
              <w:rPr>
                <w:kern w:val="0"/>
                <w:szCs w:val="20"/>
              </w:rPr>
            </w:pPr>
            <w:r>
              <w:rPr>
                <w:rFonts w:hint="eastAsia"/>
                <w:spacing w:val="0"/>
                <w:kern w:val="0"/>
                <w:szCs w:val="20"/>
              </w:rPr>
              <w:t>结合区域连通需求，鼓励地下开发。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rPr>
                <w:kern w:val="0"/>
                <w:szCs w:val="20"/>
              </w:rPr>
            </w:pPr>
            <w:r>
              <w:rPr>
                <w:rFonts w:hint="eastAsia"/>
                <w:spacing w:val="0"/>
                <w:kern w:val="0"/>
                <w:szCs w:val="20"/>
              </w:rPr>
              <w:t>区域级</w:t>
            </w:r>
            <w:r>
              <w:rPr>
                <w:spacing w:val="0"/>
                <w:kern w:val="0"/>
                <w:szCs w:val="20"/>
              </w:rPr>
              <w:t>/</w:t>
            </w:r>
            <w:r>
              <w:rPr>
                <w:rFonts w:hint="eastAsia"/>
                <w:spacing w:val="0"/>
                <w:kern w:val="0"/>
                <w:szCs w:val="20"/>
              </w:rPr>
              <w:t>街区级</w:t>
            </w:r>
          </w:p>
        </w:tc>
        <w:tc>
          <w:tcPr>
            <w:tcW w:w="5812" w:type="dxa"/>
          </w:tcPr>
          <w:p>
            <w:pPr>
              <w:widowControl/>
              <w:jc w:val="center"/>
              <w:rPr>
                <w:kern w:val="0"/>
                <w:szCs w:val="20"/>
              </w:rPr>
            </w:pPr>
            <w:r>
              <w:rPr>
                <w:rFonts w:hint="eastAsia"/>
                <w:spacing w:val="0"/>
                <w:kern w:val="0"/>
                <w:szCs w:val="20"/>
              </w:rPr>
              <w:t>宜布局公共人行通道、停车，适度配建地下商业、公共服务，加强与轨道站点、地上空间互连互通。</w:t>
            </w:r>
          </w:p>
        </w:tc>
        <w:tc>
          <w:tcPr>
            <w:tcW w:w="1355" w:type="dxa"/>
            <w:vMerge w:val="continue"/>
          </w:tcPr>
          <w:p>
            <w:pPr>
              <w:widowControl/>
              <w:jc w:val="center"/>
              <w:rPr>
                <w:kern w:val="0"/>
                <w:szCs w:val="20"/>
              </w:rPr>
            </w:pPr>
          </w:p>
        </w:tc>
      </w:tr>
    </w:tbl>
    <w:p>
      <w:r>
        <w:rPr>
          <w:rFonts w:hint="eastAsia"/>
        </w:rPr>
        <w:t>6</w:t>
      </w:r>
      <w:r>
        <w:t>.7.</w:t>
      </w:r>
      <w:r>
        <w:rPr>
          <w:rFonts w:hint="eastAsia"/>
        </w:rPr>
        <w:t>3</w:t>
      </w:r>
      <w:r>
        <w:t xml:space="preserve">  </w:t>
      </w:r>
      <w:r>
        <w:rPr>
          <w:rFonts w:hint="eastAsia"/>
        </w:rPr>
        <w:t>在城市重点功能区宜围绕多个临近的高等级轨道车站（区域级以上）打造片区式互联互通地下空间网络；其他区域鼓励地下车站与周边地块地下空间联通，同时引导一体化核心范围内地块与地块之间地下联通，提高站点到站域地下空间连续性与舒适性。</w:t>
      </w:r>
    </w:p>
    <w:p>
      <w:r>
        <w:t xml:space="preserve">6.7.4  </w:t>
      </w:r>
      <w:r>
        <w:rPr>
          <w:rFonts w:hint="eastAsia"/>
        </w:rPr>
        <w:t>地下空间各功能设施在空间布局时，应以集约利用空间资源、以人为本、公益优先为基本原则，对各功能设施空间位置进行优化调整，若各功能设施空间位置调整确实存在困难，依据以下规定进行布局和避让：</w:t>
      </w:r>
    </w:p>
    <w:p>
      <w:pPr>
        <w:ind w:left="416" w:leftChars="200"/>
      </w:pPr>
      <w:r>
        <w:t xml:space="preserve">1  </w:t>
      </w:r>
      <w:r>
        <w:rPr>
          <w:rFonts w:hint="eastAsia"/>
        </w:rPr>
        <w:t>人行优先：地下各类设施之间产生矛盾时，应以方便人行、提高土地使用效率、环境效益和社会综合效益最优为原则决定优先权。地下人行空间与地下车行空间产生矛盾时，人行空间优先。</w:t>
      </w:r>
    </w:p>
    <w:p>
      <w:pPr>
        <w:ind w:left="416" w:leftChars="200"/>
      </w:pPr>
      <w:r>
        <w:t xml:space="preserve">2  </w:t>
      </w:r>
      <w:r>
        <w:rPr>
          <w:rFonts w:hint="eastAsia"/>
        </w:rPr>
        <w:t>地下小型设施避让大型设施。</w:t>
      </w:r>
    </w:p>
    <w:p>
      <w:pPr>
        <w:ind w:left="416" w:leftChars="200"/>
      </w:pPr>
      <w:r>
        <w:t xml:space="preserve">3  </w:t>
      </w:r>
      <w:r>
        <w:rPr>
          <w:rFonts w:hint="eastAsia"/>
        </w:rPr>
        <w:t>新建地下设施避让现状地下设施。</w:t>
      </w:r>
    </w:p>
    <w:p>
      <w:pPr>
        <w:ind w:left="416" w:leftChars="200"/>
      </w:pPr>
      <w:r>
        <w:t xml:space="preserve">4  </w:t>
      </w:r>
      <w:r>
        <w:rPr>
          <w:rFonts w:hint="eastAsia"/>
        </w:rPr>
        <w:t>地下临时设施避让地下永久设施。</w:t>
      </w:r>
    </w:p>
    <w:p>
      <w:pPr>
        <w:pStyle w:val="4"/>
        <w:rPr>
          <w:rFonts w:ascii="Times New Roman" w:hAnsi="Times New Roman"/>
        </w:rPr>
      </w:pPr>
      <w:bookmarkStart w:id="38" w:name="_Toc175668067"/>
      <w:bookmarkStart w:id="39" w:name="_Hlk149141735"/>
      <w:r>
        <w:rPr>
          <w:rFonts w:ascii="Times New Roman" w:hAnsi="Times New Roman"/>
        </w:rPr>
        <w:t xml:space="preserve">6.8 </w:t>
      </w:r>
      <w:r>
        <w:rPr>
          <w:rFonts w:hint="eastAsia" w:ascii="Times New Roman" w:hAnsi="Times New Roman"/>
        </w:rPr>
        <w:t>人性化与智能化</w:t>
      </w:r>
      <w:bookmarkEnd w:id="38"/>
    </w:p>
    <w:p>
      <w:pPr>
        <w:rPr>
          <w:szCs w:val="20"/>
        </w:rPr>
      </w:pPr>
      <w:r>
        <w:rPr>
          <w:rFonts w:hint="eastAsia"/>
          <w:szCs w:val="20"/>
        </w:rPr>
        <w:t>6.8.1  轨道交通车站与周边用地的无障碍设计应满足完整连续、流线连贯的要求。</w:t>
      </w:r>
    </w:p>
    <w:p>
      <w:pPr>
        <w:rPr>
          <w:szCs w:val="20"/>
        </w:rPr>
      </w:pPr>
      <w:r>
        <w:rPr>
          <w:rFonts w:hint="eastAsia"/>
          <w:szCs w:val="20"/>
        </w:rPr>
        <w:t>6.8.2  一体化工程人性化设计应结合建筑、用地及周围环境进行设计，充分考虑交通、绿化、采光、管线、建筑等具体情况；应考虑适老化及儿童友好设计，关注全年龄段乘客使用需求，在大客流一体化空间内设置母婴室和休憩座椅。</w:t>
      </w:r>
    </w:p>
    <w:p>
      <w:pPr>
        <w:rPr>
          <w:szCs w:val="20"/>
        </w:rPr>
      </w:pPr>
      <w:r>
        <w:rPr>
          <w:rFonts w:hint="eastAsia"/>
          <w:szCs w:val="20"/>
        </w:rPr>
        <w:t>6.8.3  便民服务设施的设置应以保障地铁安全运营为前提，避免与站内流线的相互干扰；车站便民服务设施服务范围以车站客流为主，兼顾城市服务需求，功能应符合北京市总体规划和控制性详细规划，实现地上地下设施互补、功能业态组合合理。便民服务设施可设置水源及饮水设施、商业设施、信息发布系统、充电站、书报亭、图书借阅设施等功能。</w:t>
      </w:r>
    </w:p>
    <w:p>
      <w:pPr>
        <w:rPr>
          <w:szCs w:val="20"/>
        </w:rPr>
      </w:pPr>
      <w:r>
        <w:rPr>
          <w:rFonts w:hint="eastAsia"/>
          <w:szCs w:val="20"/>
        </w:rPr>
        <w:t>6.8.4  一体化工程各设备系统宜满足智慧化、信息化、绿色双碳的规划要求。</w:t>
      </w:r>
    </w:p>
    <w:p>
      <w:pPr>
        <w:rPr>
          <w:szCs w:val="20"/>
        </w:rPr>
      </w:pPr>
      <w:r>
        <w:rPr>
          <w:rFonts w:hint="eastAsia"/>
          <w:szCs w:val="20"/>
        </w:rPr>
        <w:t>6.8.5  轨道交通车站与一体化工程内的城市功能设施的智慧化功能、智能化系统应按需配置，并结合产权归属、投资、建设、管理维护等界面进行设计。</w:t>
      </w:r>
    </w:p>
    <w:p>
      <w:pPr>
        <w:ind w:left="416" w:leftChars="200"/>
      </w:pPr>
    </w:p>
    <w:bookmarkEnd w:id="39"/>
    <w:p>
      <w:pPr>
        <w:sectPr>
          <w:pgSz w:w="11906" w:h="16838"/>
          <w:pgMar w:top="1440" w:right="1800" w:bottom="1440" w:left="1800" w:header="851" w:footer="992" w:gutter="0"/>
          <w:cols w:space="425" w:num="1"/>
          <w:docGrid w:type="lines" w:linePitch="312" w:charSpace="0"/>
        </w:sectPr>
      </w:pPr>
    </w:p>
    <w:bookmarkEnd w:id="15"/>
    <w:bookmarkEnd w:id="16"/>
    <w:p>
      <w:pPr>
        <w:pStyle w:val="3"/>
        <w:rPr>
          <w:rFonts w:ascii="Times New Roman" w:hAnsi="Times New Roman" w:cs="Times New Roman"/>
        </w:rPr>
      </w:pPr>
      <w:bookmarkStart w:id="40" w:name="_Toc117670638"/>
      <w:bookmarkStart w:id="41" w:name="_Toc175668068"/>
      <w:bookmarkStart w:id="42" w:name="_Toc90877573"/>
      <w:bookmarkStart w:id="43" w:name="_Toc90878008"/>
      <w:r>
        <w:rPr>
          <w:rFonts w:ascii="Times New Roman" w:hAnsi="Times New Roman" w:cs="Times New Roman"/>
        </w:rPr>
        <w:t>附录</w:t>
      </w:r>
      <w:bookmarkEnd w:id="40"/>
      <w:bookmarkEnd w:id="41"/>
    </w:p>
    <w:p>
      <w:pPr>
        <w:pStyle w:val="4"/>
        <w:rPr>
          <w:rFonts w:ascii="Times New Roman" w:hAnsi="Times New Roman"/>
        </w:rPr>
      </w:pPr>
      <w:bookmarkStart w:id="44" w:name="_Toc117670639"/>
      <w:bookmarkStart w:id="45" w:name="_Toc175668069"/>
      <w:r>
        <w:rPr>
          <w:rFonts w:ascii="Times New Roman" w:hAnsi="Times New Roman"/>
        </w:rPr>
        <w:t>A 技术指标与计算方法</w:t>
      </w:r>
      <w:bookmarkEnd w:id="44"/>
      <w:bookmarkEnd w:id="45"/>
    </w:p>
    <w:p>
      <w:pPr>
        <w:rPr>
          <w:szCs w:val="20"/>
        </w:rPr>
      </w:pPr>
      <w:r>
        <w:rPr>
          <w:szCs w:val="20"/>
        </w:rPr>
        <w:t>A.1 人口岗位综合密度</w:t>
      </w:r>
    </w:p>
    <w:p>
      <m:oMathPara>
        <m:oMath>
          <m:r>
            <m:rPr>
              <m:sty m:val="p"/>
            </m:rPr>
            <w:rPr>
              <w:rFonts w:ascii="Cambria Math" w:hAnsi="Cambria Math"/>
            </w:rPr>
            <m:t>人口岗位综合密度</m:t>
          </m:r>
          <m:r>
            <m:rPr>
              <m:sty m:val="p"/>
            </m:rPr>
            <w:rPr>
              <w:rFonts w:ascii="Cambria Math" w:hAnsi="Cambria Math" w:eastAsia="Cambria Math"/>
            </w:rPr>
            <m:t>=</m:t>
          </m:r>
          <m:f>
            <m:fPr>
              <m:ctrlPr>
                <w:rPr>
                  <w:rFonts w:ascii="Cambria Math" w:hAnsi="Cambria Math" w:eastAsia="Cambria Math"/>
                </w:rPr>
              </m:ctrlPr>
            </m:fPr>
            <m:num>
              <m:r>
                <m:rPr>
                  <m:sty m:val="p"/>
                </m:rPr>
                <w:rPr>
                  <w:rFonts w:hint="eastAsia" w:ascii="Cambria Math" w:hAnsi="Cambria Math"/>
                </w:rPr>
                <m:t>常住</m:t>
              </m:r>
              <m:r>
                <m:rPr>
                  <m:sty m:val="p"/>
                </m:rPr>
                <w:rPr>
                  <w:rFonts w:ascii="Cambria Math" w:hAnsi="Cambria Math"/>
                </w:rPr>
                <m:t>人口总量+</m:t>
              </m:r>
              <m:r>
                <m:rPr>
                  <m:sty m:val="p"/>
                </m:rPr>
                <w:rPr>
                  <w:rFonts w:hint="eastAsia" w:ascii="Cambria Math" w:hAnsi="Cambria Math"/>
                </w:rPr>
                <m:t>就业</m:t>
              </m:r>
              <m:r>
                <m:rPr>
                  <m:sty m:val="p"/>
                </m:rPr>
                <w:rPr>
                  <w:rFonts w:ascii="Cambria Math" w:hAnsi="Cambria Math"/>
                </w:rPr>
                <m:t>岗位总量</m:t>
              </m:r>
              <m:ctrlPr>
                <w:rPr>
                  <w:rFonts w:ascii="Cambria Math" w:hAnsi="Cambria Math" w:eastAsia="Cambria Math"/>
                </w:rPr>
              </m:ctrlPr>
            </m:num>
            <m:den>
              <m:r>
                <m:rPr>
                  <m:sty m:val="p"/>
                </m:rPr>
                <w:rPr>
                  <w:rFonts w:ascii="Cambria Math" w:hAnsi="Cambria Math"/>
                </w:rPr>
                <m:t>用地面积</m:t>
              </m:r>
              <m:ctrlPr>
                <w:rPr>
                  <w:rFonts w:ascii="Cambria Math" w:hAnsi="Cambria Math" w:eastAsia="Cambria Math"/>
                </w:rPr>
              </m:ctrlPr>
            </m:den>
          </m:f>
        </m:oMath>
      </m:oMathPara>
    </w:p>
    <w:p>
      <w:r>
        <w:t>A.2  毛容积率</w:t>
      </w:r>
    </w:p>
    <w:p>
      <m:oMathPara>
        <m:oMath>
          <m:r>
            <m:rPr>
              <m:sty m:val="p"/>
            </m:rPr>
            <w:rPr>
              <w:rFonts w:ascii="Cambria Math" w:hAnsi="Cambria Math"/>
            </w:rPr>
            <m:t>毛容积率</m:t>
          </m:r>
          <m:r>
            <m:rPr>
              <m:sty m:val="p"/>
            </m:rPr>
            <w:rPr>
              <w:rFonts w:ascii="Cambria Math" w:hAnsi="Cambria Math" w:eastAsia="Cambria Math"/>
            </w:rPr>
            <m:t>=</m:t>
          </m:r>
          <m:f>
            <m:fPr>
              <m:ctrlPr>
                <w:rPr>
                  <w:rFonts w:ascii="Cambria Math" w:hAnsi="Cambria Math" w:eastAsia="Cambria Math"/>
                </w:rPr>
              </m:ctrlPr>
            </m:fPr>
            <m:num>
              <m:r>
                <m:rPr>
                  <m:sty m:val="p"/>
                </m:rPr>
                <w:rPr>
                  <w:rFonts w:ascii="Cambria Math" w:hAnsi="Cambria Math"/>
                </w:rPr>
                <m:t>统计范围</m:t>
              </m:r>
              <m:r>
                <m:rPr>
                  <m:sty m:val="p"/>
                </m:rPr>
                <w:rPr>
                  <w:rFonts w:hint="eastAsia" w:ascii="Cambria Math" w:hAnsi="Cambria Math"/>
                </w:rPr>
                <m:t>地上</m:t>
              </m:r>
              <m:r>
                <m:rPr>
                  <m:sty m:val="p"/>
                </m:rPr>
                <w:rPr>
                  <w:rFonts w:ascii="Cambria Math" w:hAnsi="Cambria Math"/>
                </w:rPr>
                <m:t>建筑面积总和</m:t>
              </m:r>
              <m:ctrlPr>
                <w:rPr>
                  <w:rFonts w:ascii="Cambria Math" w:hAnsi="Cambria Math" w:eastAsia="Cambria Math"/>
                </w:rPr>
              </m:ctrlPr>
            </m:num>
            <m:den>
              <m:r>
                <m:rPr>
                  <m:sty m:val="p"/>
                </m:rPr>
                <w:rPr>
                  <w:rFonts w:ascii="Cambria Math" w:hAnsi="Cambria Math"/>
                </w:rPr>
                <m:t>统计范围用地面积</m:t>
              </m:r>
              <m:ctrlPr>
                <w:rPr>
                  <w:rFonts w:ascii="Cambria Math" w:hAnsi="Cambria Math" w:eastAsia="Cambria Math"/>
                </w:rPr>
              </m:ctrlPr>
            </m:den>
          </m:f>
        </m:oMath>
      </m:oMathPara>
    </w:p>
    <w:p>
      <w:r>
        <w:t>A.3  建筑密度</w:t>
      </w:r>
    </w:p>
    <w:p>
      <w:pPr>
        <w:jc w:val="center"/>
      </w:pPr>
      <m:oMathPara>
        <m:oMath>
          <m:r>
            <m:rPr>
              <m:sty m:val="p"/>
            </m:rPr>
            <w:rPr>
              <w:rFonts w:ascii="Cambria Math" w:hAnsi="Cambria Math"/>
            </w:rPr>
            <m:t>建筑密度</m:t>
          </m:r>
          <m:r>
            <m:rPr>
              <m:sty m:val="p"/>
            </m:rPr>
            <w:rPr>
              <w:rFonts w:ascii="Cambria Math" w:hAnsi="Cambria Math" w:eastAsia="Cambria Math"/>
            </w:rPr>
            <m:t>=</m:t>
          </m:r>
          <m:f>
            <m:fPr>
              <m:ctrlPr>
                <w:rPr>
                  <w:rFonts w:ascii="Cambria Math" w:hAnsi="Cambria Math" w:eastAsia="Cambria Math"/>
                </w:rPr>
              </m:ctrlPr>
            </m:fPr>
            <m:num>
              <m:r>
                <m:rPr>
                  <m:sty m:val="p"/>
                </m:rPr>
                <w:rPr>
                  <w:rFonts w:ascii="Cambria Math" w:hAnsi="Cambria Math"/>
                </w:rPr>
                <m:t>统计范围建筑基层面积总和</m:t>
              </m:r>
              <m:ctrlPr>
                <w:rPr>
                  <w:rFonts w:ascii="Cambria Math" w:hAnsi="Cambria Math" w:eastAsia="Cambria Math"/>
                </w:rPr>
              </m:ctrlPr>
            </m:num>
            <m:den>
              <m:r>
                <m:rPr>
                  <m:sty m:val="p"/>
                </m:rPr>
                <w:rPr>
                  <w:rFonts w:ascii="Cambria Math" w:hAnsi="Cambria Math"/>
                </w:rPr>
                <m:t>统计范围用地面积</m:t>
              </m:r>
              <m:ctrlPr>
                <w:rPr>
                  <w:rFonts w:ascii="Cambria Math" w:hAnsi="Cambria Math" w:eastAsia="Cambria Math"/>
                </w:rPr>
              </m:ctrlPr>
            </m:den>
          </m:f>
          <m:r>
            <m:rPr/>
            <w:rPr>
              <w:rFonts w:ascii="Cambria Math" w:hAnsi="Cambria Math" w:eastAsia="Cambria Math"/>
            </w:rPr>
            <m:t>×100%</m:t>
          </m:r>
        </m:oMath>
      </m:oMathPara>
    </w:p>
    <w:p/>
    <w:p>
      <w:pPr>
        <w:sectPr>
          <w:pgSz w:w="11906" w:h="16838"/>
          <w:pgMar w:top="1440" w:right="1800" w:bottom="1440" w:left="1800" w:header="851" w:footer="992" w:gutter="0"/>
          <w:cols w:space="425" w:num="1"/>
          <w:docGrid w:type="lines" w:linePitch="312" w:charSpace="0"/>
        </w:sectPr>
      </w:pPr>
    </w:p>
    <w:p>
      <w:pPr>
        <w:pStyle w:val="3"/>
        <w:rPr>
          <w:rFonts w:ascii="Times New Roman" w:hAnsi="Times New Roman" w:cs="Times New Roman"/>
        </w:rPr>
      </w:pPr>
      <w:bookmarkStart w:id="46" w:name="_Toc175668070"/>
      <w:r>
        <w:rPr>
          <w:rFonts w:ascii="Times New Roman" w:hAnsi="Times New Roman" w:cs="Times New Roman"/>
        </w:rPr>
        <w:t>本规范用词说明</w:t>
      </w:r>
      <w:bookmarkEnd w:id="42"/>
      <w:bookmarkEnd w:id="43"/>
      <w:bookmarkEnd w:id="46"/>
    </w:p>
    <w:p>
      <w:pPr>
        <w:ind w:firstLine="420"/>
      </w:pPr>
      <w:r>
        <w:t>1  为便于在执行本</w:t>
      </w:r>
      <w:r>
        <w:rPr>
          <w:rFonts w:hint="eastAsia"/>
        </w:rPr>
        <w:t>指南</w:t>
      </w:r>
      <w:r>
        <w:t>条</w:t>
      </w:r>
      <w:r>
        <w:rPr>
          <w:rFonts w:hint="eastAsia"/>
        </w:rPr>
        <w:t>文</w:t>
      </w:r>
      <w:r>
        <w:t>时区别对待，对要求严格程度不同的用词说明如下：</w:t>
      </w:r>
    </w:p>
    <w:p>
      <w:pPr>
        <w:ind w:firstLine="832" w:firstLineChars="400"/>
      </w:pPr>
      <w:r>
        <w:t>1）表示很严格，非这样做不可的用词：</w:t>
      </w:r>
    </w:p>
    <w:p>
      <w:pPr>
        <w:ind w:firstLine="1144" w:firstLineChars="550"/>
      </w:pPr>
      <w:r>
        <w:t>正面词采用“必须”，反面词采用“严禁”；</w:t>
      </w:r>
    </w:p>
    <w:p>
      <w:pPr>
        <w:ind w:firstLine="832" w:firstLineChars="400"/>
      </w:pPr>
      <w:r>
        <w:t>2）表示严格，在正常情况下均应这样做的用词：</w:t>
      </w:r>
    </w:p>
    <w:p>
      <w:pPr>
        <w:ind w:firstLine="1160" w:firstLineChars="558"/>
      </w:pPr>
      <w:r>
        <w:t>正面词采用“应”，反面词采用“不应”或“不得”；</w:t>
      </w:r>
    </w:p>
    <w:p>
      <w:pPr>
        <w:ind w:firstLine="832" w:firstLineChars="400"/>
      </w:pPr>
      <w:r>
        <w:t>3）表示允许稍微选择，在条件许可时首先应这样做的用词：</w:t>
      </w:r>
    </w:p>
    <w:p>
      <w:pPr>
        <w:ind w:firstLine="1125" w:firstLineChars="541"/>
      </w:pPr>
      <w:r>
        <w:t>正面词采用“宜”，反面词采用“不宜”；</w:t>
      </w:r>
    </w:p>
    <w:p>
      <w:pPr>
        <w:ind w:firstLine="832" w:firstLineChars="400"/>
      </w:pPr>
      <w:r>
        <w:t>4）表示有选择，在一定条件下可以这样做的用词，采用“可”。</w:t>
      </w:r>
    </w:p>
    <w:p>
      <w:pPr>
        <w:ind w:firstLine="420"/>
      </w:pPr>
      <w:r>
        <w:t xml:space="preserve">2  </w:t>
      </w:r>
      <w:r>
        <w:rPr>
          <w:rFonts w:hint="eastAsia"/>
        </w:rPr>
        <w:t>条文中指明应按其他有关标准执行的写法：“应符合……的规定”或“应按……执行”。</w:t>
      </w:r>
    </w:p>
    <w:p>
      <w:pPr>
        <w:ind w:firstLine="420"/>
      </w:pPr>
    </w:p>
    <w:p>
      <w:pPr>
        <w:ind w:firstLine="420"/>
      </w:pPr>
    </w:p>
    <w:p>
      <w:bookmarkStart w:id="47" w:name="_Toc88121686"/>
    </w:p>
    <w:p>
      <w:pPr>
        <w:sectPr>
          <w:pgSz w:w="11906" w:h="16838"/>
          <w:pgMar w:top="1440" w:right="1800" w:bottom="1440" w:left="1800" w:header="851" w:footer="992" w:gutter="0"/>
          <w:cols w:space="425" w:num="1"/>
          <w:docGrid w:type="lines" w:linePitch="312" w:charSpace="0"/>
        </w:sectPr>
      </w:pPr>
    </w:p>
    <w:p>
      <w:pPr>
        <w:pStyle w:val="53"/>
        <w:spacing w:before="624" w:after="624"/>
        <w:rPr>
          <w:rFonts w:cs="Times New Roman"/>
        </w:rPr>
      </w:pPr>
      <w:bookmarkStart w:id="48" w:name="_Toc175668071"/>
      <w:r>
        <w:rPr>
          <w:rFonts w:cs="Times New Roman"/>
        </w:rPr>
        <w:t>引用标准名录</w:t>
      </w:r>
      <w:bookmarkEnd w:id="47"/>
      <w:bookmarkEnd w:id="48"/>
    </w:p>
    <w:p>
      <w:pPr>
        <w:pStyle w:val="54"/>
        <w:ind w:firstLine="0" w:firstLineChars="0"/>
        <w:rPr>
          <w:rFonts w:cs="Times New Roman"/>
        </w:rPr>
      </w:pPr>
      <w:r>
        <w:rPr>
          <w:rFonts w:cs="Times New Roman"/>
        </w:rPr>
        <w:t>1 《地铁设计规范》GB 50157-2013</w:t>
      </w:r>
    </w:p>
    <w:p>
      <w:pPr>
        <w:pStyle w:val="54"/>
        <w:ind w:firstLine="0" w:firstLineChars="0"/>
        <w:rPr>
          <w:rFonts w:cs="Times New Roman"/>
        </w:rPr>
      </w:pPr>
      <w:r>
        <w:rPr>
          <w:rFonts w:cs="Times New Roman"/>
        </w:rPr>
        <w:t>2 《城市轨道交通线网规划标准》GB/T 50546-2018</w:t>
      </w:r>
    </w:p>
    <w:p>
      <w:pPr>
        <w:pStyle w:val="54"/>
        <w:ind w:firstLine="0" w:firstLineChars="0"/>
        <w:rPr>
          <w:kern w:val="0"/>
        </w:rPr>
      </w:pPr>
      <w:r>
        <w:rPr>
          <w:rFonts w:hint="eastAsia"/>
          <w:kern w:val="0"/>
        </w:rPr>
        <w:t>3</w:t>
      </w:r>
      <w:r>
        <w:rPr>
          <w:kern w:val="0"/>
        </w:rPr>
        <w:t xml:space="preserve"> </w:t>
      </w:r>
      <w:r>
        <w:rPr>
          <w:rFonts w:hint="eastAsia"/>
          <w:kern w:val="0"/>
        </w:rPr>
        <w:t>《城市居住区规划设计标准》GB50180-2018</w:t>
      </w:r>
    </w:p>
    <w:p>
      <w:pPr>
        <w:pStyle w:val="54"/>
        <w:ind w:firstLine="0" w:firstLineChars="0"/>
      </w:pPr>
      <w:r>
        <w:rPr>
          <w:rFonts w:hint="eastAsia"/>
        </w:rPr>
        <w:t>4</w:t>
      </w:r>
      <w:r>
        <w:t xml:space="preserve"> </w:t>
      </w:r>
      <w:r>
        <w:rPr>
          <w:rFonts w:hint="eastAsia"/>
        </w:rPr>
        <w:t>《城乡排水工程项目规范》GB 55027</w:t>
      </w:r>
    </w:p>
    <w:p>
      <w:pPr>
        <w:pStyle w:val="54"/>
        <w:ind w:firstLine="0" w:firstLineChars="0"/>
        <w:rPr>
          <w:rFonts w:cs="Times New Roman"/>
        </w:rPr>
      </w:pPr>
      <w:r>
        <w:t xml:space="preserve">5 </w:t>
      </w:r>
      <w:r>
        <w:rPr>
          <w:rFonts w:hint="eastAsia"/>
        </w:rPr>
        <w:t>《城镇内涝防治技术规范》GB 51222</w:t>
      </w:r>
    </w:p>
    <w:p>
      <w:pPr>
        <w:pStyle w:val="54"/>
        <w:ind w:firstLine="0" w:firstLineChars="0"/>
        <w:rPr>
          <w:rFonts w:cs="Times New Roman"/>
        </w:rPr>
      </w:pPr>
      <w:r>
        <w:rPr>
          <w:rFonts w:cs="Times New Roman"/>
        </w:rPr>
        <w:t>6 《公共建筑机动车停车配建指标》DB11/T 1813-2020</w:t>
      </w:r>
    </w:p>
    <w:p>
      <w:pPr>
        <w:pStyle w:val="54"/>
        <w:ind w:firstLine="0" w:firstLineChars="0"/>
        <w:rPr>
          <w:rFonts w:cs="Times New Roman"/>
        </w:rPr>
      </w:pPr>
      <w:r>
        <w:rPr>
          <w:rFonts w:cs="Times New Roman"/>
        </w:rPr>
        <w:t>7 《北京中心城高度控制规划方案》</w:t>
      </w:r>
    </w:p>
    <w:p>
      <w:pPr>
        <w:pStyle w:val="54"/>
        <w:ind w:firstLine="0" w:firstLineChars="0"/>
        <w:rPr>
          <w:rFonts w:cs="Times New Roman"/>
        </w:rPr>
      </w:pPr>
      <w:r>
        <w:rPr>
          <w:rFonts w:cs="Times New Roman"/>
        </w:rPr>
        <w:t>8 《北京市居住公共服务设施配置指标》</w:t>
      </w:r>
    </w:p>
    <w:p>
      <w:pPr>
        <w:pStyle w:val="54"/>
        <w:ind w:firstLine="0" w:firstLineChars="0"/>
      </w:pPr>
      <w:r>
        <w:rPr>
          <w:rFonts w:cs="Times New Roman"/>
        </w:rPr>
        <w:t>9 《海绵城市雨水控制与利用工程设计规范》</w:t>
      </w:r>
      <w:r>
        <w:rPr>
          <w:rFonts w:hint="eastAsia"/>
        </w:rPr>
        <w:t>DB11/ 685</w:t>
      </w:r>
    </w:p>
    <w:p>
      <w:pPr>
        <w:pStyle w:val="54"/>
        <w:ind w:firstLine="0" w:firstLineChars="0"/>
        <w:rPr>
          <w:rFonts w:cs="Times New Roman"/>
        </w:rPr>
      </w:pPr>
      <w:r>
        <w:t>10</w:t>
      </w:r>
      <w:r>
        <w:rPr>
          <w:rFonts w:hint="eastAsia"/>
        </w:rPr>
        <w:t>《城市综合管廊工程设计规范》DB11/ 1505</w:t>
      </w:r>
    </w:p>
    <w:p>
      <w:pPr>
        <w:pStyle w:val="54"/>
        <w:ind w:firstLine="0" w:firstLineChars="0"/>
        <w:rPr>
          <w:rFonts w:cs="Times New Roman"/>
        </w:rPr>
      </w:pPr>
      <w:r>
        <w:rPr>
          <w:rFonts w:cs="Times New Roman"/>
        </w:rPr>
        <w:t>11 《北京市城市设计导则》</w:t>
      </w:r>
    </w:p>
    <w:p>
      <w:pPr>
        <w:pStyle w:val="54"/>
        <w:ind w:firstLine="0" w:firstLineChars="0"/>
        <w:rPr>
          <w:rFonts w:cs="Times New Roman"/>
        </w:rPr>
      </w:pPr>
      <w:r>
        <w:rPr>
          <w:rFonts w:cs="Times New Roman"/>
        </w:rPr>
        <w:t>12 《北京市地下空间规划设计技术指南》</w:t>
      </w:r>
    </w:p>
    <w:p>
      <w:pPr>
        <w:pStyle w:val="54"/>
        <w:ind w:firstLine="0" w:firstLineChars="0"/>
        <w:rPr>
          <w:rFonts w:cs="Times New Roman"/>
        </w:rPr>
      </w:pPr>
      <w:r>
        <w:rPr>
          <w:rFonts w:cs="Times New Roman"/>
        </w:rPr>
        <w:t>13 《园林绿化种植土壤技术要求》DB11/T864</w:t>
      </w:r>
    </w:p>
    <w:p>
      <w:pPr>
        <w:pStyle w:val="54"/>
        <w:ind w:firstLine="0" w:firstLineChars="0"/>
        <w:rPr>
          <w:rFonts w:cs="Times New Roman"/>
        </w:rPr>
      </w:pPr>
      <w:r>
        <w:rPr>
          <w:rFonts w:cs="Times New Roman"/>
        </w:rPr>
        <w:t>14 《屋顶绿化规范》DB11/T 281</w:t>
      </w:r>
    </w:p>
    <w:p>
      <w:pPr>
        <w:pStyle w:val="54"/>
        <w:ind w:firstLine="0" w:firstLineChars="0"/>
        <w:rPr>
          <w:rFonts w:cs="Times New Roman"/>
        </w:rPr>
      </w:pPr>
      <w:r>
        <w:rPr>
          <w:rFonts w:hint="eastAsia" w:cs="Times New Roman"/>
        </w:rPr>
        <w:t>1</w:t>
      </w:r>
      <w:r>
        <w:rPr>
          <w:rFonts w:cs="Times New Roman"/>
        </w:rPr>
        <w:t xml:space="preserve">5 </w:t>
      </w:r>
      <w:r>
        <w:rPr>
          <w:rFonts w:hint="eastAsia" w:cs="Times New Roman"/>
        </w:rPr>
        <w:t>《步行和自行车交通环境规划设计标准》DB11/1761-2020</w:t>
      </w:r>
      <w:r>
        <w:rPr>
          <w:rFonts w:cs="Times New Roman"/>
        </w:rPr>
        <w:t xml:space="preserve"> </w:t>
      </w:r>
    </w:p>
    <w:p>
      <w:pPr>
        <w:pStyle w:val="54"/>
        <w:ind w:firstLine="0" w:firstLineChars="0"/>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ヒラギノ角ゴ Pro W3">
    <w:altName w:val="宋体"/>
    <w:panose1 w:val="00000000000000000000"/>
    <w:charset w:val="86"/>
    <w:family w:val="roman"/>
    <w:pitch w:val="default"/>
    <w:sig w:usb0="00000000" w:usb1="00000000" w:usb2="00000000" w:usb3="00000000" w:csb0="0016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3013493"/>
    </w:sdtPr>
    <w:sdtContent>
      <w:p>
        <w:pPr>
          <w:pStyle w:val="12"/>
          <w:jc w:val="center"/>
        </w:pPr>
        <w:r>
          <w:fldChar w:fldCharType="begin"/>
        </w:r>
        <w:r>
          <w:instrText xml:space="preserve">PAGE   \* MERGEFORMAT</w:instrText>
        </w:r>
        <w:r>
          <w:fldChar w:fldCharType="separate"/>
        </w:r>
        <w:r>
          <w:rPr>
            <w:lang w:val="zh-CN"/>
          </w:rPr>
          <w:t>3</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463412"/>
    </w:sdtPr>
    <w:sdtContent>
      <w:p>
        <w:pPr>
          <w:pStyle w:val="12"/>
          <w:jc w:val="center"/>
        </w:pPr>
        <w:r>
          <w:fldChar w:fldCharType="begin"/>
        </w:r>
        <w:r>
          <w:instrText xml:space="preserve">PAGE   \* MERGEFORMAT</w:instrText>
        </w:r>
        <w:r>
          <w:fldChar w:fldCharType="separate"/>
        </w:r>
        <w:r>
          <w:rPr>
            <w:lang w:val="zh-CN"/>
          </w:rPr>
          <w:t>15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5608"/>
    </w:sdtPr>
    <w:sdtContent>
      <w:p>
        <w:pPr>
          <w:pStyle w:val="12"/>
          <w:jc w:val="center"/>
        </w:pPr>
        <w:r>
          <w:fldChar w:fldCharType="begin"/>
        </w:r>
        <w:r>
          <w:instrText xml:space="preserve">PAGE   \* MERGEFORMAT</w:instrText>
        </w:r>
        <w:r>
          <w:fldChar w:fldCharType="separate"/>
        </w:r>
        <w:r>
          <w:rPr>
            <w:lang w:val="zh-CN"/>
          </w:rPr>
          <w:t>16</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DE"/>
    <w:rsid w:val="0000167B"/>
    <w:rsid w:val="00002C68"/>
    <w:rsid w:val="0000314B"/>
    <w:rsid w:val="0000328B"/>
    <w:rsid w:val="00003443"/>
    <w:rsid w:val="00003FED"/>
    <w:rsid w:val="000051EF"/>
    <w:rsid w:val="00006524"/>
    <w:rsid w:val="0000717F"/>
    <w:rsid w:val="00012E01"/>
    <w:rsid w:val="000134A6"/>
    <w:rsid w:val="000135CB"/>
    <w:rsid w:val="00013F1A"/>
    <w:rsid w:val="000140C1"/>
    <w:rsid w:val="000147FF"/>
    <w:rsid w:val="00015E2B"/>
    <w:rsid w:val="0001701C"/>
    <w:rsid w:val="00017A18"/>
    <w:rsid w:val="000213D5"/>
    <w:rsid w:val="00022E77"/>
    <w:rsid w:val="000261A7"/>
    <w:rsid w:val="00027B9B"/>
    <w:rsid w:val="00030927"/>
    <w:rsid w:val="00030E04"/>
    <w:rsid w:val="00031800"/>
    <w:rsid w:val="00037436"/>
    <w:rsid w:val="0003757A"/>
    <w:rsid w:val="000415C3"/>
    <w:rsid w:val="00042071"/>
    <w:rsid w:val="00042F75"/>
    <w:rsid w:val="000468B0"/>
    <w:rsid w:val="00047761"/>
    <w:rsid w:val="00050756"/>
    <w:rsid w:val="00053B03"/>
    <w:rsid w:val="0005512E"/>
    <w:rsid w:val="00061501"/>
    <w:rsid w:val="00061855"/>
    <w:rsid w:val="0006194A"/>
    <w:rsid w:val="00064243"/>
    <w:rsid w:val="000652B4"/>
    <w:rsid w:val="00066DA2"/>
    <w:rsid w:val="0006718A"/>
    <w:rsid w:val="00070427"/>
    <w:rsid w:val="000718DD"/>
    <w:rsid w:val="00073264"/>
    <w:rsid w:val="000758DE"/>
    <w:rsid w:val="00076FE0"/>
    <w:rsid w:val="00077529"/>
    <w:rsid w:val="00082AB3"/>
    <w:rsid w:val="00082FE4"/>
    <w:rsid w:val="000833B4"/>
    <w:rsid w:val="000838CC"/>
    <w:rsid w:val="00083B63"/>
    <w:rsid w:val="00083DAC"/>
    <w:rsid w:val="00084448"/>
    <w:rsid w:val="00084FA7"/>
    <w:rsid w:val="00085D25"/>
    <w:rsid w:val="000867C2"/>
    <w:rsid w:val="00086DF1"/>
    <w:rsid w:val="00087DFE"/>
    <w:rsid w:val="00087FF5"/>
    <w:rsid w:val="00091D46"/>
    <w:rsid w:val="000923F0"/>
    <w:rsid w:val="000924CC"/>
    <w:rsid w:val="0009346A"/>
    <w:rsid w:val="00094382"/>
    <w:rsid w:val="00095111"/>
    <w:rsid w:val="0009622A"/>
    <w:rsid w:val="000A0734"/>
    <w:rsid w:val="000A0C50"/>
    <w:rsid w:val="000A500D"/>
    <w:rsid w:val="000A728F"/>
    <w:rsid w:val="000B020F"/>
    <w:rsid w:val="000B1CD6"/>
    <w:rsid w:val="000B46C9"/>
    <w:rsid w:val="000B5766"/>
    <w:rsid w:val="000B587C"/>
    <w:rsid w:val="000B640B"/>
    <w:rsid w:val="000B6712"/>
    <w:rsid w:val="000B6BF6"/>
    <w:rsid w:val="000B7952"/>
    <w:rsid w:val="000B7AB5"/>
    <w:rsid w:val="000B7F94"/>
    <w:rsid w:val="000C0042"/>
    <w:rsid w:val="000C0C48"/>
    <w:rsid w:val="000C0ED0"/>
    <w:rsid w:val="000C1E6C"/>
    <w:rsid w:val="000C38CA"/>
    <w:rsid w:val="000C5E5D"/>
    <w:rsid w:val="000C6AC5"/>
    <w:rsid w:val="000C7045"/>
    <w:rsid w:val="000C73C9"/>
    <w:rsid w:val="000D0523"/>
    <w:rsid w:val="000D2D0E"/>
    <w:rsid w:val="000D4105"/>
    <w:rsid w:val="000D4550"/>
    <w:rsid w:val="000D554F"/>
    <w:rsid w:val="000D589E"/>
    <w:rsid w:val="000D6706"/>
    <w:rsid w:val="000D79CB"/>
    <w:rsid w:val="000D7FBB"/>
    <w:rsid w:val="000E13FB"/>
    <w:rsid w:val="000E28E8"/>
    <w:rsid w:val="000E4283"/>
    <w:rsid w:val="000E52A6"/>
    <w:rsid w:val="000E5A94"/>
    <w:rsid w:val="000E6A28"/>
    <w:rsid w:val="000E7E63"/>
    <w:rsid w:val="000F0ECD"/>
    <w:rsid w:val="000F1A2C"/>
    <w:rsid w:val="000F1D94"/>
    <w:rsid w:val="000F427F"/>
    <w:rsid w:val="000F4459"/>
    <w:rsid w:val="000F5728"/>
    <w:rsid w:val="000F63BF"/>
    <w:rsid w:val="001005CE"/>
    <w:rsid w:val="001026E3"/>
    <w:rsid w:val="001065AD"/>
    <w:rsid w:val="0010720A"/>
    <w:rsid w:val="0010721C"/>
    <w:rsid w:val="00110995"/>
    <w:rsid w:val="00110C00"/>
    <w:rsid w:val="00110DFD"/>
    <w:rsid w:val="00111470"/>
    <w:rsid w:val="001128CE"/>
    <w:rsid w:val="00112E63"/>
    <w:rsid w:val="00114C91"/>
    <w:rsid w:val="001151F6"/>
    <w:rsid w:val="00116F6D"/>
    <w:rsid w:val="00117FAE"/>
    <w:rsid w:val="001202EC"/>
    <w:rsid w:val="00120762"/>
    <w:rsid w:val="00120F22"/>
    <w:rsid w:val="0012248D"/>
    <w:rsid w:val="00123A6C"/>
    <w:rsid w:val="0012590D"/>
    <w:rsid w:val="00125BA6"/>
    <w:rsid w:val="001270F6"/>
    <w:rsid w:val="001273A0"/>
    <w:rsid w:val="0012769A"/>
    <w:rsid w:val="0013087F"/>
    <w:rsid w:val="00131B71"/>
    <w:rsid w:val="00131DD3"/>
    <w:rsid w:val="00132297"/>
    <w:rsid w:val="00132D67"/>
    <w:rsid w:val="0013474B"/>
    <w:rsid w:val="00134A28"/>
    <w:rsid w:val="001351E4"/>
    <w:rsid w:val="0013523E"/>
    <w:rsid w:val="00137124"/>
    <w:rsid w:val="001374FF"/>
    <w:rsid w:val="00137C91"/>
    <w:rsid w:val="0014067C"/>
    <w:rsid w:val="00142058"/>
    <w:rsid w:val="00144852"/>
    <w:rsid w:val="00145E6F"/>
    <w:rsid w:val="00146DF3"/>
    <w:rsid w:val="00151322"/>
    <w:rsid w:val="00153221"/>
    <w:rsid w:val="001537D7"/>
    <w:rsid w:val="00155CCC"/>
    <w:rsid w:val="00156957"/>
    <w:rsid w:val="0015703A"/>
    <w:rsid w:val="0016012B"/>
    <w:rsid w:val="00161725"/>
    <w:rsid w:val="001629C4"/>
    <w:rsid w:val="00162B43"/>
    <w:rsid w:val="00163F89"/>
    <w:rsid w:val="00164157"/>
    <w:rsid w:val="0016550B"/>
    <w:rsid w:val="0016591A"/>
    <w:rsid w:val="001667B9"/>
    <w:rsid w:val="00166F61"/>
    <w:rsid w:val="00167A6F"/>
    <w:rsid w:val="001717C9"/>
    <w:rsid w:val="00171B51"/>
    <w:rsid w:val="00172A27"/>
    <w:rsid w:val="001747A4"/>
    <w:rsid w:val="001753E3"/>
    <w:rsid w:val="0018188A"/>
    <w:rsid w:val="00184484"/>
    <w:rsid w:val="00184798"/>
    <w:rsid w:val="00185F9F"/>
    <w:rsid w:val="00187441"/>
    <w:rsid w:val="001876EB"/>
    <w:rsid w:val="00190A53"/>
    <w:rsid w:val="00192EE8"/>
    <w:rsid w:val="00193D83"/>
    <w:rsid w:val="00195E08"/>
    <w:rsid w:val="00196BEC"/>
    <w:rsid w:val="00196E9F"/>
    <w:rsid w:val="00197138"/>
    <w:rsid w:val="001A024B"/>
    <w:rsid w:val="001A0304"/>
    <w:rsid w:val="001A0FAE"/>
    <w:rsid w:val="001A16DE"/>
    <w:rsid w:val="001A190E"/>
    <w:rsid w:val="001A1B01"/>
    <w:rsid w:val="001A2319"/>
    <w:rsid w:val="001A36C0"/>
    <w:rsid w:val="001A40A9"/>
    <w:rsid w:val="001A4D24"/>
    <w:rsid w:val="001A5B8C"/>
    <w:rsid w:val="001A7271"/>
    <w:rsid w:val="001A734F"/>
    <w:rsid w:val="001B0957"/>
    <w:rsid w:val="001B2653"/>
    <w:rsid w:val="001B2C1F"/>
    <w:rsid w:val="001B2C68"/>
    <w:rsid w:val="001B2F49"/>
    <w:rsid w:val="001B42D4"/>
    <w:rsid w:val="001B4383"/>
    <w:rsid w:val="001B5AE3"/>
    <w:rsid w:val="001C0749"/>
    <w:rsid w:val="001C1052"/>
    <w:rsid w:val="001C21F3"/>
    <w:rsid w:val="001C28CB"/>
    <w:rsid w:val="001C389F"/>
    <w:rsid w:val="001C5618"/>
    <w:rsid w:val="001C62AD"/>
    <w:rsid w:val="001C6916"/>
    <w:rsid w:val="001D0BAD"/>
    <w:rsid w:val="001D1F84"/>
    <w:rsid w:val="001D1F95"/>
    <w:rsid w:val="001D48D4"/>
    <w:rsid w:val="001D5A27"/>
    <w:rsid w:val="001D6574"/>
    <w:rsid w:val="001D6A75"/>
    <w:rsid w:val="001D6F73"/>
    <w:rsid w:val="001E094C"/>
    <w:rsid w:val="001E0A30"/>
    <w:rsid w:val="001E2E18"/>
    <w:rsid w:val="001E4B63"/>
    <w:rsid w:val="001E5815"/>
    <w:rsid w:val="001E7025"/>
    <w:rsid w:val="001E70C8"/>
    <w:rsid w:val="001F0753"/>
    <w:rsid w:val="001F07D9"/>
    <w:rsid w:val="001F1AFF"/>
    <w:rsid w:val="001F3FED"/>
    <w:rsid w:val="001F49D1"/>
    <w:rsid w:val="001F4E06"/>
    <w:rsid w:val="001F4FA1"/>
    <w:rsid w:val="001F6AB9"/>
    <w:rsid w:val="001F6B60"/>
    <w:rsid w:val="002006CF"/>
    <w:rsid w:val="00200966"/>
    <w:rsid w:val="00200D17"/>
    <w:rsid w:val="0020116E"/>
    <w:rsid w:val="002011D7"/>
    <w:rsid w:val="00202C94"/>
    <w:rsid w:val="00202E91"/>
    <w:rsid w:val="002042C2"/>
    <w:rsid w:val="00204C79"/>
    <w:rsid w:val="0020650C"/>
    <w:rsid w:val="002131DC"/>
    <w:rsid w:val="00217047"/>
    <w:rsid w:val="00217929"/>
    <w:rsid w:val="00220644"/>
    <w:rsid w:val="00220B8C"/>
    <w:rsid w:val="00221BE6"/>
    <w:rsid w:val="0022273D"/>
    <w:rsid w:val="002230E9"/>
    <w:rsid w:val="00224266"/>
    <w:rsid w:val="002255A4"/>
    <w:rsid w:val="00226851"/>
    <w:rsid w:val="00227E83"/>
    <w:rsid w:val="00231A99"/>
    <w:rsid w:val="00231B33"/>
    <w:rsid w:val="00232E31"/>
    <w:rsid w:val="00234CEC"/>
    <w:rsid w:val="00237140"/>
    <w:rsid w:val="00237F80"/>
    <w:rsid w:val="00241544"/>
    <w:rsid w:val="00242207"/>
    <w:rsid w:val="00242B5B"/>
    <w:rsid w:val="00244157"/>
    <w:rsid w:val="00245DDA"/>
    <w:rsid w:val="002474C0"/>
    <w:rsid w:val="00250E59"/>
    <w:rsid w:val="002513BF"/>
    <w:rsid w:val="00252301"/>
    <w:rsid w:val="00254F2D"/>
    <w:rsid w:val="002566FF"/>
    <w:rsid w:val="0025754E"/>
    <w:rsid w:val="00260298"/>
    <w:rsid w:val="00260712"/>
    <w:rsid w:val="002616FE"/>
    <w:rsid w:val="00261A67"/>
    <w:rsid w:val="00262D4D"/>
    <w:rsid w:val="002631A6"/>
    <w:rsid w:val="00263980"/>
    <w:rsid w:val="002649F7"/>
    <w:rsid w:val="00264C82"/>
    <w:rsid w:val="002669AC"/>
    <w:rsid w:val="00266E06"/>
    <w:rsid w:val="0026725D"/>
    <w:rsid w:val="002726DC"/>
    <w:rsid w:val="002760D8"/>
    <w:rsid w:val="002775F6"/>
    <w:rsid w:val="00277D2F"/>
    <w:rsid w:val="00280E4A"/>
    <w:rsid w:val="00285209"/>
    <w:rsid w:val="00285DD7"/>
    <w:rsid w:val="00285F61"/>
    <w:rsid w:val="002901BE"/>
    <w:rsid w:val="002907B3"/>
    <w:rsid w:val="00290F12"/>
    <w:rsid w:val="00291149"/>
    <w:rsid w:val="00291BB7"/>
    <w:rsid w:val="00292030"/>
    <w:rsid w:val="0029254F"/>
    <w:rsid w:val="00293AA3"/>
    <w:rsid w:val="00294800"/>
    <w:rsid w:val="00297100"/>
    <w:rsid w:val="00297934"/>
    <w:rsid w:val="002A00DB"/>
    <w:rsid w:val="002A1507"/>
    <w:rsid w:val="002A1641"/>
    <w:rsid w:val="002A2BF9"/>
    <w:rsid w:val="002A2E98"/>
    <w:rsid w:val="002A3260"/>
    <w:rsid w:val="002A336F"/>
    <w:rsid w:val="002A42B3"/>
    <w:rsid w:val="002A4415"/>
    <w:rsid w:val="002A6112"/>
    <w:rsid w:val="002A62CA"/>
    <w:rsid w:val="002A73C9"/>
    <w:rsid w:val="002B0EB1"/>
    <w:rsid w:val="002B115B"/>
    <w:rsid w:val="002B14F2"/>
    <w:rsid w:val="002B224E"/>
    <w:rsid w:val="002B3F0A"/>
    <w:rsid w:val="002B4435"/>
    <w:rsid w:val="002B44FE"/>
    <w:rsid w:val="002B4BC0"/>
    <w:rsid w:val="002B6D2C"/>
    <w:rsid w:val="002B6EBC"/>
    <w:rsid w:val="002C043A"/>
    <w:rsid w:val="002C38E2"/>
    <w:rsid w:val="002C39F8"/>
    <w:rsid w:val="002C65ED"/>
    <w:rsid w:val="002C72B3"/>
    <w:rsid w:val="002C74D7"/>
    <w:rsid w:val="002C76E6"/>
    <w:rsid w:val="002D195B"/>
    <w:rsid w:val="002D2138"/>
    <w:rsid w:val="002D28F2"/>
    <w:rsid w:val="002D4F79"/>
    <w:rsid w:val="002D6A8F"/>
    <w:rsid w:val="002D75FF"/>
    <w:rsid w:val="002E13DA"/>
    <w:rsid w:val="002E1400"/>
    <w:rsid w:val="002E1FA6"/>
    <w:rsid w:val="002E203D"/>
    <w:rsid w:val="002E7003"/>
    <w:rsid w:val="002E7F7A"/>
    <w:rsid w:val="002F13FE"/>
    <w:rsid w:val="002F1E0A"/>
    <w:rsid w:val="002F2B38"/>
    <w:rsid w:val="002F393A"/>
    <w:rsid w:val="002F3E39"/>
    <w:rsid w:val="002F4C48"/>
    <w:rsid w:val="002F6297"/>
    <w:rsid w:val="002F62D3"/>
    <w:rsid w:val="0030044E"/>
    <w:rsid w:val="00300815"/>
    <w:rsid w:val="003024FC"/>
    <w:rsid w:val="0030535F"/>
    <w:rsid w:val="00306BCF"/>
    <w:rsid w:val="0030722D"/>
    <w:rsid w:val="0031004D"/>
    <w:rsid w:val="0031049A"/>
    <w:rsid w:val="003104CA"/>
    <w:rsid w:val="003110F1"/>
    <w:rsid w:val="00311DB4"/>
    <w:rsid w:val="00315B64"/>
    <w:rsid w:val="003170E0"/>
    <w:rsid w:val="003206B4"/>
    <w:rsid w:val="00322C13"/>
    <w:rsid w:val="00326540"/>
    <w:rsid w:val="00326A9E"/>
    <w:rsid w:val="00327141"/>
    <w:rsid w:val="00327391"/>
    <w:rsid w:val="0033025A"/>
    <w:rsid w:val="0033033F"/>
    <w:rsid w:val="00330BFB"/>
    <w:rsid w:val="003313F8"/>
    <w:rsid w:val="00331895"/>
    <w:rsid w:val="00331E8C"/>
    <w:rsid w:val="00332594"/>
    <w:rsid w:val="00332DDB"/>
    <w:rsid w:val="003334C6"/>
    <w:rsid w:val="003335A8"/>
    <w:rsid w:val="00333829"/>
    <w:rsid w:val="00337467"/>
    <w:rsid w:val="003418FE"/>
    <w:rsid w:val="00341A7F"/>
    <w:rsid w:val="00342164"/>
    <w:rsid w:val="0034243F"/>
    <w:rsid w:val="003438EF"/>
    <w:rsid w:val="00343B2B"/>
    <w:rsid w:val="0034485F"/>
    <w:rsid w:val="00345DE1"/>
    <w:rsid w:val="00347B6D"/>
    <w:rsid w:val="00351F40"/>
    <w:rsid w:val="00354506"/>
    <w:rsid w:val="00354C76"/>
    <w:rsid w:val="00354CE0"/>
    <w:rsid w:val="00356DFD"/>
    <w:rsid w:val="00357BC2"/>
    <w:rsid w:val="003634BC"/>
    <w:rsid w:val="003638A4"/>
    <w:rsid w:val="00364A4D"/>
    <w:rsid w:val="003650B0"/>
    <w:rsid w:val="003674D2"/>
    <w:rsid w:val="00367D35"/>
    <w:rsid w:val="00370FA6"/>
    <w:rsid w:val="00372829"/>
    <w:rsid w:val="00372A60"/>
    <w:rsid w:val="00372D4A"/>
    <w:rsid w:val="00372E8D"/>
    <w:rsid w:val="00373E46"/>
    <w:rsid w:val="0037476C"/>
    <w:rsid w:val="00375249"/>
    <w:rsid w:val="003764CA"/>
    <w:rsid w:val="0037777F"/>
    <w:rsid w:val="00381C44"/>
    <w:rsid w:val="00381CD9"/>
    <w:rsid w:val="00383524"/>
    <w:rsid w:val="003835DE"/>
    <w:rsid w:val="00384083"/>
    <w:rsid w:val="00385760"/>
    <w:rsid w:val="003873A6"/>
    <w:rsid w:val="00390600"/>
    <w:rsid w:val="00390604"/>
    <w:rsid w:val="003911EF"/>
    <w:rsid w:val="0039120A"/>
    <w:rsid w:val="00392D9C"/>
    <w:rsid w:val="00393557"/>
    <w:rsid w:val="00393F9E"/>
    <w:rsid w:val="00395542"/>
    <w:rsid w:val="00395DB0"/>
    <w:rsid w:val="00397386"/>
    <w:rsid w:val="003A2D03"/>
    <w:rsid w:val="003A3973"/>
    <w:rsid w:val="003A3B31"/>
    <w:rsid w:val="003A425A"/>
    <w:rsid w:val="003A6A0E"/>
    <w:rsid w:val="003A6B83"/>
    <w:rsid w:val="003A6F06"/>
    <w:rsid w:val="003A71AD"/>
    <w:rsid w:val="003A7401"/>
    <w:rsid w:val="003A7F71"/>
    <w:rsid w:val="003B0FFB"/>
    <w:rsid w:val="003B1597"/>
    <w:rsid w:val="003B4928"/>
    <w:rsid w:val="003C06B2"/>
    <w:rsid w:val="003C1465"/>
    <w:rsid w:val="003C19DC"/>
    <w:rsid w:val="003C27AF"/>
    <w:rsid w:val="003C2D11"/>
    <w:rsid w:val="003C3FEA"/>
    <w:rsid w:val="003C5385"/>
    <w:rsid w:val="003C6927"/>
    <w:rsid w:val="003D38C7"/>
    <w:rsid w:val="003D40CF"/>
    <w:rsid w:val="003D410A"/>
    <w:rsid w:val="003D4E6C"/>
    <w:rsid w:val="003D586E"/>
    <w:rsid w:val="003D5FF6"/>
    <w:rsid w:val="003E2586"/>
    <w:rsid w:val="003E3EF3"/>
    <w:rsid w:val="003E4B78"/>
    <w:rsid w:val="003F06BB"/>
    <w:rsid w:val="003F107E"/>
    <w:rsid w:val="003F1108"/>
    <w:rsid w:val="003F139A"/>
    <w:rsid w:val="003F22D3"/>
    <w:rsid w:val="003F57A6"/>
    <w:rsid w:val="003F6D71"/>
    <w:rsid w:val="00401398"/>
    <w:rsid w:val="004028A1"/>
    <w:rsid w:val="00402DC4"/>
    <w:rsid w:val="00403B6D"/>
    <w:rsid w:val="004043CE"/>
    <w:rsid w:val="00406791"/>
    <w:rsid w:val="00406993"/>
    <w:rsid w:val="00407177"/>
    <w:rsid w:val="00407F10"/>
    <w:rsid w:val="00411FC1"/>
    <w:rsid w:val="00414970"/>
    <w:rsid w:val="00415040"/>
    <w:rsid w:val="0042050D"/>
    <w:rsid w:val="004211DC"/>
    <w:rsid w:val="00421776"/>
    <w:rsid w:val="00422F8B"/>
    <w:rsid w:val="0042352D"/>
    <w:rsid w:val="00423830"/>
    <w:rsid w:val="004244A1"/>
    <w:rsid w:val="0042563E"/>
    <w:rsid w:val="0042588A"/>
    <w:rsid w:val="004274DC"/>
    <w:rsid w:val="004276E2"/>
    <w:rsid w:val="0043065C"/>
    <w:rsid w:val="00430954"/>
    <w:rsid w:val="0043099A"/>
    <w:rsid w:val="004317AA"/>
    <w:rsid w:val="00431F06"/>
    <w:rsid w:val="0043236D"/>
    <w:rsid w:val="00433A26"/>
    <w:rsid w:val="00433F00"/>
    <w:rsid w:val="0043492E"/>
    <w:rsid w:val="0043560A"/>
    <w:rsid w:val="004361F4"/>
    <w:rsid w:val="00436584"/>
    <w:rsid w:val="00437512"/>
    <w:rsid w:val="004378DE"/>
    <w:rsid w:val="00442E73"/>
    <w:rsid w:val="00443FD7"/>
    <w:rsid w:val="00445C6A"/>
    <w:rsid w:val="00452B7B"/>
    <w:rsid w:val="0045624A"/>
    <w:rsid w:val="0045773B"/>
    <w:rsid w:val="00457E61"/>
    <w:rsid w:val="004604DC"/>
    <w:rsid w:val="00460795"/>
    <w:rsid w:val="00463645"/>
    <w:rsid w:val="00464466"/>
    <w:rsid w:val="00465FEE"/>
    <w:rsid w:val="004667B4"/>
    <w:rsid w:val="00466E19"/>
    <w:rsid w:val="00467405"/>
    <w:rsid w:val="004676EF"/>
    <w:rsid w:val="00467A13"/>
    <w:rsid w:val="004712F6"/>
    <w:rsid w:val="00472266"/>
    <w:rsid w:val="004724F9"/>
    <w:rsid w:val="0047591B"/>
    <w:rsid w:val="00475AE8"/>
    <w:rsid w:val="004766B8"/>
    <w:rsid w:val="004769C1"/>
    <w:rsid w:val="00477EA8"/>
    <w:rsid w:val="004808EA"/>
    <w:rsid w:val="004817F5"/>
    <w:rsid w:val="00482537"/>
    <w:rsid w:val="004864BF"/>
    <w:rsid w:val="00491EA4"/>
    <w:rsid w:val="0049229F"/>
    <w:rsid w:val="004926DA"/>
    <w:rsid w:val="00492EA6"/>
    <w:rsid w:val="0049574F"/>
    <w:rsid w:val="0049596A"/>
    <w:rsid w:val="00495AB6"/>
    <w:rsid w:val="00495B95"/>
    <w:rsid w:val="00497E62"/>
    <w:rsid w:val="004A1E28"/>
    <w:rsid w:val="004A1FD6"/>
    <w:rsid w:val="004A4B75"/>
    <w:rsid w:val="004A5312"/>
    <w:rsid w:val="004A5B76"/>
    <w:rsid w:val="004A689B"/>
    <w:rsid w:val="004A6B57"/>
    <w:rsid w:val="004A7751"/>
    <w:rsid w:val="004B19C4"/>
    <w:rsid w:val="004B3924"/>
    <w:rsid w:val="004B3C1F"/>
    <w:rsid w:val="004B3D7D"/>
    <w:rsid w:val="004B5141"/>
    <w:rsid w:val="004B5CF6"/>
    <w:rsid w:val="004B7CC9"/>
    <w:rsid w:val="004C1565"/>
    <w:rsid w:val="004C2895"/>
    <w:rsid w:val="004C4D03"/>
    <w:rsid w:val="004C5E2E"/>
    <w:rsid w:val="004C6871"/>
    <w:rsid w:val="004C6ACC"/>
    <w:rsid w:val="004C6D17"/>
    <w:rsid w:val="004C7461"/>
    <w:rsid w:val="004C7615"/>
    <w:rsid w:val="004C79F6"/>
    <w:rsid w:val="004D1275"/>
    <w:rsid w:val="004D1523"/>
    <w:rsid w:val="004D1841"/>
    <w:rsid w:val="004D1EC6"/>
    <w:rsid w:val="004D39D5"/>
    <w:rsid w:val="004D5AA6"/>
    <w:rsid w:val="004D706A"/>
    <w:rsid w:val="004E22B3"/>
    <w:rsid w:val="004E3816"/>
    <w:rsid w:val="004E5226"/>
    <w:rsid w:val="004E5B82"/>
    <w:rsid w:val="004E5E21"/>
    <w:rsid w:val="004E5F6A"/>
    <w:rsid w:val="004F1617"/>
    <w:rsid w:val="004F2D92"/>
    <w:rsid w:val="004F43CA"/>
    <w:rsid w:val="004F45EC"/>
    <w:rsid w:val="004F7969"/>
    <w:rsid w:val="005005F8"/>
    <w:rsid w:val="00501D96"/>
    <w:rsid w:val="0050364E"/>
    <w:rsid w:val="005036EB"/>
    <w:rsid w:val="00505333"/>
    <w:rsid w:val="00506274"/>
    <w:rsid w:val="00506BB7"/>
    <w:rsid w:val="00506E2E"/>
    <w:rsid w:val="005071B2"/>
    <w:rsid w:val="0050729E"/>
    <w:rsid w:val="00510373"/>
    <w:rsid w:val="00510D3D"/>
    <w:rsid w:val="00510DA1"/>
    <w:rsid w:val="005144FA"/>
    <w:rsid w:val="00520EFD"/>
    <w:rsid w:val="005217AC"/>
    <w:rsid w:val="00523794"/>
    <w:rsid w:val="00524454"/>
    <w:rsid w:val="00525C68"/>
    <w:rsid w:val="00525DF0"/>
    <w:rsid w:val="00532760"/>
    <w:rsid w:val="0053405E"/>
    <w:rsid w:val="005344A3"/>
    <w:rsid w:val="00534944"/>
    <w:rsid w:val="00534AC3"/>
    <w:rsid w:val="0053542D"/>
    <w:rsid w:val="0053757E"/>
    <w:rsid w:val="005377D0"/>
    <w:rsid w:val="005403F8"/>
    <w:rsid w:val="005407CC"/>
    <w:rsid w:val="0054324B"/>
    <w:rsid w:val="00544F15"/>
    <w:rsid w:val="00546167"/>
    <w:rsid w:val="00547F2D"/>
    <w:rsid w:val="00551B4F"/>
    <w:rsid w:val="00552128"/>
    <w:rsid w:val="00552CE7"/>
    <w:rsid w:val="00552E97"/>
    <w:rsid w:val="005555D5"/>
    <w:rsid w:val="00555B16"/>
    <w:rsid w:val="00556963"/>
    <w:rsid w:val="00560024"/>
    <w:rsid w:val="00560B7F"/>
    <w:rsid w:val="00561950"/>
    <w:rsid w:val="00562A0A"/>
    <w:rsid w:val="005645A6"/>
    <w:rsid w:val="005647F3"/>
    <w:rsid w:val="00564EF1"/>
    <w:rsid w:val="0056528E"/>
    <w:rsid w:val="00567269"/>
    <w:rsid w:val="00570809"/>
    <w:rsid w:val="005708E5"/>
    <w:rsid w:val="005715F4"/>
    <w:rsid w:val="00571B53"/>
    <w:rsid w:val="00574815"/>
    <w:rsid w:val="00580451"/>
    <w:rsid w:val="00580670"/>
    <w:rsid w:val="00581109"/>
    <w:rsid w:val="00581F53"/>
    <w:rsid w:val="00584CA6"/>
    <w:rsid w:val="00584D23"/>
    <w:rsid w:val="00584D41"/>
    <w:rsid w:val="005864AF"/>
    <w:rsid w:val="00586CB3"/>
    <w:rsid w:val="00587444"/>
    <w:rsid w:val="00587984"/>
    <w:rsid w:val="00587A94"/>
    <w:rsid w:val="00590885"/>
    <w:rsid w:val="005908BC"/>
    <w:rsid w:val="005944EC"/>
    <w:rsid w:val="005950B7"/>
    <w:rsid w:val="005959B1"/>
    <w:rsid w:val="005969AD"/>
    <w:rsid w:val="005A09AC"/>
    <w:rsid w:val="005A134E"/>
    <w:rsid w:val="005A2B57"/>
    <w:rsid w:val="005A3AAF"/>
    <w:rsid w:val="005A4432"/>
    <w:rsid w:val="005A5101"/>
    <w:rsid w:val="005A5504"/>
    <w:rsid w:val="005A5857"/>
    <w:rsid w:val="005B0357"/>
    <w:rsid w:val="005B39D2"/>
    <w:rsid w:val="005B3F7E"/>
    <w:rsid w:val="005B4787"/>
    <w:rsid w:val="005B5FA5"/>
    <w:rsid w:val="005B68D6"/>
    <w:rsid w:val="005B73FE"/>
    <w:rsid w:val="005C071C"/>
    <w:rsid w:val="005C0FA4"/>
    <w:rsid w:val="005C171E"/>
    <w:rsid w:val="005C19C2"/>
    <w:rsid w:val="005C6539"/>
    <w:rsid w:val="005D08AF"/>
    <w:rsid w:val="005D1199"/>
    <w:rsid w:val="005D22ED"/>
    <w:rsid w:val="005D6314"/>
    <w:rsid w:val="005D6518"/>
    <w:rsid w:val="005D7100"/>
    <w:rsid w:val="005D7220"/>
    <w:rsid w:val="005E0F1C"/>
    <w:rsid w:val="005E24BE"/>
    <w:rsid w:val="005E3C31"/>
    <w:rsid w:val="005E3DB3"/>
    <w:rsid w:val="005E3EA9"/>
    <w:rsid w:val="005E5908"/>
    <w:rsid w:val="005F197D"/>
    <w:rsid w:val="005F3B58"/>
    <w:rsid w:val="005F6ED3"/>
    <w:rsid w:val="005F7346"/>
    <w:rsid w:val="005F7B19"/>
    <w:rsid w:val="005F7CC9"/>
    <w:rsid w:val="00602AC4"/>
    <w:rsid w:val="00605AB2"/>
    <w:rsid w:val="00611966"/>
    <w:rsid w:val="00612B00"/>
    <w:rsid w:val="00613C30"/>
    <w:rsid w:val="00616960"/>
    <w:rsid w:val="00616F2D"/>
    <w:rsid w:val="006178E7"/>
    <w:rsid w:val="00621455"/>
    <w:rsid w:val="006250BD"/>
    <w:rsid w:val="006255BE"/>
    <w:rsid w:val="006266D9"/>
    <w:rsid w:val="00626CC5"/>
    <w:rsid w:val="00627456"/>
    <w:rsid w:val="0063263A"/>
    <w:rsid w:val="0063552E"/>
    <w:rsid w:val="00635F86"/>
    <w:rsid w:val="00635FFA"/>
    <w:rsid w:val="00636C67"/>
    <w:rsid w:val="00637793"/>
    <w:rsid w:val="00643103"/>
    <w:rsid w:val="00644903"/>
    <w:rsid w:val="00644CC0"/>
    <w:rsid w:val="006457DF"/>
    <w:rsid w:val="0064764F"/>
    <w:rsid w:val="00650847"/>
    <w:rsid w:val="00650F09"/>
    <w:rsid w:val="00652068"/>
    <w:rsid w:val="00654FE7"/>
    <w:rsid w:val="006562BF"/>
    <w:rsid w:val="00660FBE"/>
    <w:rsid w:val="00661EC7"/>
    <w:rsid w:val="00664943"/>
    <w:rsid w:val="00671A8F"/>
    <w:rsid w:val="00671AC1"/>
    <w:rsid w:val="00671CCA"/>
    <w:rsid w:val="00673A43"/>
    <w:rsid w:val="0067457A"/>
    <w:rsid w:val="00674F19"/>
    <w:rsid w:val="006753BD"/>
    <w:rsid w:val="00677B77"/>
    <w:rsid w:val="00680173"/>
    <w:rsid w:val="006801E9"/>
    <w:rsid w:val="00680A47"/>
    <w:rsid w:val="0068386E"/>
    <w:rsid w:val="006841C4"/>
    <w:rsid w:val="00684B62"/>
    <w:rsid w:val="006859C3"/>
    <w:rsid w:val="00685F60"/>
    <w:rsid w:val="006904DF"/>
    <w:rsid w:val="00692602"/>
    <w:rsid w:val="00692DDE"/>
    <w:rsid w:val="00692FA2"/>
    <w:rsid w:val="00696A4C"/>
    <w:rsid w:val="00697328"/>
    <w:rsid w:val="00697928"/>
    <w:rsid w:val="006A0193"/>
    <w:rsid w:val="006A03D1"/>
    <w:rsid w:val="006A0BC2"/>
    <w:rsid w:val="006A2E4B"/>
    <w:rsid w:val="006A364E"/>
    <w:rsid w:val="006A3E3B"/>
    <w:rsid w:val="006A4669"/>
    <w:rsid w:val="006A56EE"/>
    <w:rsid w:val="006A6A66"/>
    <w:rsid w:val="006A6E0E"/>
    <w:rsid w:val="006A6F51"/>
    <w:rsid w:val="006A7716"/>
    <w:rsid w:val="006A7BC3"/>
    <w:rsid w:val="006B2219"/>
    <w:rsid w:val="006B4E3F"/>
    <w:rsid w:val="006B57DF"/>
    <w:rsid w:val="006B6069"/>
    <w:rsid w:val="006B6298"/>
    <w:rsid w:val="006B6554"/>
    <w:rsid w:val="006B7E20"/>
    <w:rsid w:val="006C0344"/>
    <w:rsid w:val="006C04F7"/>
    <w:rsid w:val="006C069E"/>
    <w:rsid w:val="006C50C3"/>
    <w:rsid w:val="006C578F"/>
    <w:rsid w:val="006C605C"/>
    <w:rsid w:val="006C66CC"/>
    <w:rsid w:val="006D0DA9"/>
    <w:rsid w:val="006D239E"/>
    <w:rsid w:val="006D26D5"/>
    <w:rsid w:val="006D2DC4"/>
    <w:rsid w:val="006D5374"/>
    <w:rsid w:val="006D6008"/>
    <w:rsid w:val="006D79C3"/>
    <w:rsid w:val="006E1197"/>
    <w:rsid w:val="006E172D"/>
    <w:rsid w:val="006E278A"/>
    <w:rsid w:val="006E42F9"/>
    <w:rsid w:val="006E4D2F"/>
    <w:rsid w:val="006E6890"/>
    <w:rsid w:val="006E7006"/>
    <w:rsid w:val="006E725C"/>
    <w:rsid w:val="006F0DB7"/>
    <w:rsid w:val="006F2299"/>
    <w:rsid w:val="006F5086"/>
    <w:rsid w:val="00701F27"/>
    <w:rsid w:val="007029FE"/>
    <w:rsid w:val="00703645"/>
    <w:rsid w:val="00703914"/>
    <w:rsid w:val="00703A75"/>
    <w:rsid w:val="00704164"/>
    <w:rsid w:val="00704F6B"/>
    <w:rsid w:val="00706502"/>
    <w:rsid w:val="007074AD"/>
    <w:rsid w:val="007103A3"/>
    <w:rsid w:val="007104CF"/>
    <w:rsid w:val="00710C07"/>
    <w:rsid w:val="00711086"/>
    <w:rsid w:val="00711E43"/>
    <w:rsid w:val="00712A20"/>
    <w:rsid w:val="007131C8"/>
    <w:rsid w:val="00713EE1"/>
    <w:rsid w:val="00714A98"/>
    <w:rsid w:val="00715377"/>
    <w:rsid w:val="00717852"/>
    <w:rsid w:val="00720350"/>
    <w:rsid w:val="00720775"/>
    <w:rsid w:val="00722C48"/>
    <w:rsid w:val="00723149"/>
    <w:rsid w:val="00724F00"/>
    <w:rsid w:val="00727E7F"/>
    <w:rsid w:val="00731B03"/>
    <w:rsid w:val="007340A2"/>
    <w:rsid w:val="00734DFA"/>
    <w:rsid w:val="00735E20"/>
    <w:rsid w:val="0073785D"/>
    <w:rsid w:val="007402C7"/>
    <w:rsid w:val="00740CE4"/>
    <w:rsid w:val="007419EA"/>
    <w:rsid w:val="007427E7"/>
    <w:rsid w:val="007446A3"/>
    <w:rsid w:val="00745270"/>
    <w:rsid w:val="0074565A"/>
    <w:rsid w:val="0074738D"/>
    <w:rsid w:val="00751B8D"/>
    <w:rsid w:val="00751F9A"/>
    <w:rsid w:val="00752184"/>
    <w:rsid w:val="007551E4"/>
    <w:rsid w:val="00757E9C"/>
    <w:rsid w:val="00760DE6"/>
    <w:rsid w:val="00762188"/>
    <w:rsid w:val="007639FC"/>
    <w:rsid w:val="00763D21"/>
    <w:rsid w:val="00763F91"/>
    <w:rsid w:val="007644DD"/>
    <w:rsid w:val="00764A47"/>
    <w:rsid w:val="00765717"/>
    <w:rsid w:val="00765767"/>
    <w:rsid w:val="00765BC2"/>
    <w:rsid w:val="00765F3C"/>
    <w:rsid w:val="00766EF8"/>
    <w:rsid w:val="007737E0"/>
    <w:rsid w:val="0077524D"/>
    <w:rsid w:val="007758B5"/>
    <w:rsid w:val="00775A49"/>
    <w:rsid w:val="00775B52"/>
    <w:rsid w:val="00780936"/>
    <w:rsid w:val="00781A9E"/>
    <w:rsid w:val="00781B5B"/>
    <w:rsid w:val="00781B9E"/>
    <w:rsid w:val="00781C32"/>
    <w:rsid w:val="00781F06"/>
    <w:rsid w:val="0078212E"/>
    <w:rsid w:val="00783370"/>
    <w:rsid w:val="00786149"/>
    <w:rsid w:val="00786659"/>
    <w:rsid w:val="00786A3B"/>
    <w:rsid w:val="00786DBD"/>
    <w:rsid w:val="007875E5"/>
    <w:rsid w:val="007876DF"/>
    <w:rsid w:val="00787A67"/>
    <w:rsid w:val="00787D51"/>
    <w:rsid w:val="00790477"/>
    <w:rsid w:val="00790DD7"/>
    <w:rsid w:val="00790EF6"/>
    <w:rsid w:val="00790F4C"/>
    <w:rsid w:val="0079131F"/>
    <w:rsid w:val="0079215D"/>
    <w:rsid w:val="00792EDC"/>
    <w:rsid w:val="00794428"/>
    <w:rsid w:val="0079455D"/>
    <w:rsid w:val="00794869"/>
    <w:rsid w:val="00794C09"/>
    <w:rsid w:val="007951F6"/>
    <w:rsid w:val="00795B65"/>
    <w:rsid w:val="00796F29"/>
    <w:rsid w:val="00797878"/>
    <w:rsid w:val="007A0DEA"/>
    <w:rsid w:val="007A1076"/>
    <w:rsid w:val="007A2FDD"/>
    <w:rsid w:val="007A5884"/>
    <w:rsid w:val="007A69AE"/>
    <w:rsid w:val="007B0F7D"/>
    <w:rsid w:val="007B1A07"/>
    <w:rsid w:val="007B29E5"/>
    <w:rsid w:val="007B3860"/>
    <w:rsid w:val="007B4379"/>
    <w:rsid w:val="007B445D"/>
    <w:rsid w:val="007B4C68"/>
    <w:rsid w:val="007B59B5"/>
    <w:rsid w:val="007B5A52"/>
    <w:rsid w:val="007B5F2C"/>
    <w:rsid w:val="007B6537"/>
    <w:rsid w:val="007B67A6"/>
    <w:rsid w:val="007B692F"/>
    <w:rsid w:val="007B6F38"/>
    <w:rsid w:val="007C00E5"/>
    <w:rsid w:val="007C02D8"/>
    <w:rsid w:val="007C0350"/>
    <w:rsid w:val="007C1853"/>
    <w:rsid w:val="007C19C2"/>
    <w:rsid w:val="007C471A"/>
    <w:rsid w:val="007D3440"/>
    <w:rsid w:val="007D3BEA"/>
    <w:rsid w:val="007D4460"/>
    <w:rsid w:val="007D6BF2"/>
    <w:rsid w:val="007D7E60"/>
    <w:rsid w:val="007D7F90"/>
    <w:rsid w:val="007E12A1"/>
    <w:rsid w:val="007E1CBE"/>
    <w:rsid w:val="007E2D71"/>
    <w:rsid w:val="007F10D4"/>
    <w:rsid w:val="007F2AA7"/>
    <w:rsid w:val="007F358C"/>
    <w:rsid w:val="007F3C86"/>
    <w:rsid w:val="007F5A74"/>
    <w:rsid w:val="007F5BA4"/>
    <w:rsid w:val="007F5EA4"/>
    <w:rsid w:val="008012DB"/>
    <w:rsid w:val="00802952"/>
    <w:rsid w:val="008033C9"/>
    <w:rsid w:val="008036DD"/>
    <w:rsid w:val="00804D43"/>
    <w:rsid w:val="00806065"/>
    <w:rsid w:val="00807C44"/>
    <w:rsid w:val="00810413"/>
    <w:rsid w:val="008124C8"/>
    <w:rsid w:val="00812A74"/>
    <w:rsid w:val="00814114"/>
    <w:rsid w:val="00814286"/>
    <w:rsid w:val="00814AA3"/>
    <w:rsid w:val="00814B56"/>
    <w:rsid w:val="00816C15"/>
    <w:rsid w:val="00816F41"/>
    <w:rsid w:val="00817FB4"/>
    <w:rsid w:val="00820369"/>
    <w:rsid w:val="00820EBA"/>
    <w:rsid w:val="00823326"/>
    <w:rsid w:val="00823333"/>
    <w:rsid w:val="00823F3F"/>
    <w:rsid w:val="00825A4D"/>
    <w:rsid w:val="00830A45"/>
    <w:rsid w:val="00831050"/>
    <w:rsid w:val="008311BC"/>
    <w:rsid w:val="00831B8C"/>
    <w:rsid w:val="00832F30"/>
    <w:rsid w:val="0083539C"/>
    <w:rsid w:val="008357A4"/>
    <w:rsid w:val="008409B9"/>
    <w:rsid w:val="008410E5"/>
    <w:rsid w:val="00844709"/>
    <w:rsid w:val="00844837"/>
    <w:rsid w:val="008451FA"/>
    <w:rsid w:val="008463DD"/>
    <w:rsid w:val="00847377"/>
    <w:rsid w:val="00847F74"/>
    <w:rsid w:val="00851F40"/>
    <w:rsid w:val="008523E4"/>
    <w:rsid w:val="00852F7D"/>
    <w:rsid w:val="00854071"/>
    <w:rsid w:val="0085468F"/>
    <w:rsid w:val="00854AF0"/>
    <w:rsid w:val="00854E6B"/>
    <w:rsid w:val="008553E6"/>
    <w:rsid w:val="0085597B"/>
    <w:rsid w:val="0086082B"/>
    <w:rsid w:val="00861040"/>
    <w:rsid w:val="00861917"/>
    <w:rsid w:val="00863345"/>
    <w:rsid w:val="00863906"/>
    <w:rsid w:val="0086600A"/>
    <w:rsid w:val="0086697D"/>
    <w:rsid w:val="00866D67"/>
    <w:rsid w:val="00866F0F"/>
    <w:rsid w:val="0086716B"/>
    <w:rsid w:val="00870695"/>
    <w:rsid w:val="00872D4A"/>
    <w:rsid w:val="00872D86"/>
    <w:rsid w:val="00874574"/>
    <w:rsid w:val="00875A9A"/>
    <w:rsid w:val="00876604"/>
    <w:rsid w:val="008768B7"/>
    <w:rsid w:val="00877B3D"/>
    <w:rsid w:val="00880567"/>
    <w:rsid w:val="00881162"/>
    <w:rsid w:val="00881C54"/>
    <w:rsid w:val="00887C64"/>
    <w:rsid w:val="00891E02"/>
    <w:rsid w:val="00893190"/>
    <w:rsid w:val="00894E06"/>
    <w:rsid w:val="00895A3B"/>
    <w:rsid w:val="00896934"/>
    <w:rsid w:val="00896AD0"/>
    <w:rsid w:val="00896E16"/>
    <w:rsid w:val="008976E9"/>
    <w:rsid w:val="008A67EF"/>
    <w:rsid w:val="008B165F"/>
    <w:rsid w:val="008B1BDC"/>
    <w:rsid w:val="008B204D"/>
    <w:rsid w:val="008B43A2"/>
    <w:rsid w:val="008B441B"/>
    <w:rsid w:val="008B5564"/>
    <w:rsid w:val="008B6333"/>
    <w:rsid w:val="008C1269"/>
    <w:rsid w:val="008C33BE"/>
    <w:rsid w:val="008C35D3"/>
    <w:rsid w:val="008C41AC"/>
    <w:rsid w:val="008C4BB3"/>
    <w:rsid w:val="008C4F4C"/>
    <w:rsid w:val="008C523A"/>
    <w:rsid w:val="008C5D1B"/>
    <w:rsid w:val="008C7352"/>
    <w:rsid w:val="008C786E"/>
    <w:rsid w:val="008C7ED4"/>
    <w:rsid w:val="008D1C82"/>
    <w:rsid w:val="008D1DCA"/>
    <w:rsid w:val="008D45C9"/>
    <w:rsid w:val="008D4D68"/>
    <w:rsid w:val="008D7015"/>
    <w:rsid w:val="008E009C"/>
    <w:rsid w:val="008E07D0"/>
    <w:rsid w:val="008E105E"/>
    <w:rsid w:val="008E2014"/>
    <w:rsid w:val="008E3C2F"/>
    <w:rsid w:val="008E5644"/>
    <w:rsid w:val="008E6B84"/>
    <w:rsid w:val="008E7274"/>
    <w:rsid w:val="008F131E"/>
    <w:rsid w:val="008F1CE8"/>
    <w:rsid w:val="008F43AB"/>
    <w:rsid w:val="00900844"/>
    <w:rsid w:val="009009A1"/>
    <w:rsid w:val="0090234D"/>
    <w:rsid w:val="00903073"/>
    <w:rsid w:val="0090323A"/>
    <w:rsid w:val="009034C0"/>
    <w:rsid w:val="00903D7E"/>
    <w:rsid w:val="009068F0"/>
    <w:rsid w:val="009079A5"/>
    <w:rsid w:val="00910E07"/>
    <w:rsid w:val="009111BB"/>
    <w:rsid w:val="00911E28"/>
    <w:rsid w:val="00912CA3"/>
    <w:rsid w:val="00914064"/>
    <w:rsid w:val="0091478A"/>
    <w:rsid w:val="009148B3"/>
    <w:rsid w:val="00914C91"/>
    <w:rsid w:val="00915637"/>
    <w:rsid w:val="00916350"/>
    <w:rsid w:val="009168E5"/>
    <w:rsid w:val="00916A1B"/>
    <w:rsid w:val="00920C6D"/>
    <w:rsid w:val="00922D4E"/>
    <w:rsid w:val="009238E7"/>
    <w:rsid w:val="0092426C"/>
    <w:rsid w:val="00925810"/>
    <w:rsid w:val="00925C06"/>
    <w:rsid w:val="00925E28"/>
    <w:rsid w:val="00927095"/>
    <w:rsid w:val="0092797D"/>
    <w:rsid w:val="00930296"/>
    <w:rsid w:val="00931C1E"/>
    <w:rsid w:val="00933C7C"/>
    <w:rsid w:val="00934201"/>
    <w:rsid w:val="00935208"/>
    <w:rsid w:val="009367B1"/>
    <w:rsid w:val="0093688E"/>
    <w:rsid w:val="00936F88"/>
    <w:rsid w:val="00937248"/>
    <w:rsid w:val="00941B95"/>
    <w:rsid w:val="0094291B"/>
    <w:rsid w:val="00942CFA"/>
    <w:rsid w:val="00944871"/>
    <w:rsid w:val="00946FCB"/>
    <w:rsid w:val="009477E7"/>
    <w:rsid w:val="00947CEA"/>
    <w:rsid w:val="00951204"/>
    <w:rsid w:val="009519C2"/>
    <w:rsid w:val="00953B29"/>
    <w:rsid w:val="00953F9A"/>
    <w:rsid w:val="00956028"/>
    <w:rsid w:val="00956D45"/>
    <w:rsid w:val="0095707F"/>
    <w:rsid w:val="0096170F"/>
    <w:rsid w:val="009626BD"/>
    <w:rsid w:val="00963820"/>
    <w:rsid w:val="009642A0"/>
    <w:rsid w:val="00965B08"/>
    <w:rsid w:val="00967155"/>
    <w:rsid w:val="0096717B"/>
    <w:rsid w:val="009672D3"/>
    <w:rsid w:val="009674B3"/>
    <w:rsid w:val="00970DBD"/>
    <w:rsid w:val="00972786"/>
    <w:rsid w:val="00972A53"/>
    <w:rsid w:val="00973E35"/>
    <w:rsid w:val="00975879"/>
    <w:rsid w:val="00977FFB"/>
    <w:rsid w:val="00980E59"/>
    <w:rsid w:val="00981DFD"/>
    <w:rsid w:val="00982BFF"/>
    <w:rsid w:val="00984752"/>
    <w:rsid w:val="009853F6"/>
    <w:rsid w:val="009866A4"/>
    <w:rsid w:val="00987A5B"/>
    <w:rsid w:val="00990255"/>
    <w:rsid w:val="0099030C"/>
    <w:rsid w:val="0099080F"/>
    <w:rsid w:val="00990B14"/>
    <w:rsid w:val="009944B8"/>
    <w:rsid w:val="00994764"/>
    <w:rsid w:val="0099595E"/>
    <w:rsid w:val="009962C1"/>
    <w:rsid w:val="00997090"/>
    <w:rsid w:val="009A0172"/>
    <w:rsid w:val="009A03B8"/>
    <w:rsid w:val="009A0923"/>
    <w:rsid w:val="009A2974"/>
    <w:rsid w:val="009A29B8"/>
    <w:rsid w:val="009A2C21"/>
    <w:rsid w:val="009A2DFA"/>
    <w:rsid w:val="009A3EC4"/>
    <w:rsid w:val="009A57EE"/>
    <w:rsid w:val="009A6757"/>
    <w:rsid w:val="009B0408"/>
    <w:rsid w:val="009B04B6"/>
    <w:rsid w:val="009B075D"/>
    <w:rsid w:val="009B316F"/>
    <w:rsid w:val="009B5938"/>
    <w:rsid w:val="009B6A3D"/>
    <w:rsid w:val="009B7C1F"/>
    <w:rsid w:val="009B7F07"/>
    <w:rsid w:val="009C0397"/>
    <w:rsid w:val="009C1A0A"/>
    <w:rsid w:val="009C1EE0"/>
    <w:rsid w:val="009C62F4"/>
    <w:rsid w:val="009C64EF"/>
    <w:rsid w:val="009C7B54"/>
    <w:rsid w:val="009D0D67"/>
    <w:rsid w:val="009D0E68"/>
    <w:rsid w:val="009D323E"/>
    <w:rsid w:val="009D570E"/>
    <w:rsid w:val="009D7B44"/>
    <w:rsid w:val="009D7BA5"/>
    <w:rsid w:val="009E361D"/>
    <w:rsid w:val="009E43E4"/>
    <w:rsid w:val="009E5406"/>
    <w:rsid w:val="009E76FB"/>
    <w:rsid w:val="009F09D4"/>
    <w:rsid w:val="009F20EB"/>
    <w:rsid w:val="009F21F5"/>
    <w:rsid w:val="009F242A"/>
    <w:rsid w:val="009F2DC0"/>
    <w:rsid w:val="009F3308"/>
    <w:rsid w:val="009F3D6A"/>
    <w:rsid w:val="009F4186"/>
    <w:rsid w:val="009F5067"/>
    <w:rsid w:val="009F65D0"/>
    <w:rsid w:val="009F6EB9"/>
    <w:rsid w:val="00A01005"/>
    <w:rsid w:val="00A0138B"/>
    <w:rsid w:val="00A02B40"/>
    <w:rsid w:val="00A02B84"/>
    <w:rsid w:val="00A062F7"/>
    <w:rsid w:val="00A06A21"/>
    <w:rsid w:val="00A077FC"/>
    <w:rsid w:val="00A1006F"/>
    <w:rsid w:val="00A10207"/>
    <w:rsid w:val="00A1222A"/>
    <w:rsid w:val="00A12393"/>
    <w:rsid w:val="00A13CCC"/>
    <w:rsid w:val="00A15689"/>
    <w:rsid w:val="00A159DB"/>
    <w:rsid w:val="00A167DF"/>
    <w:rsid w:val="00A16980"/>
    <w:rsid w:val="00A172CB"/>
    <w:rsid w:val="00A17641"/>
    <w:rsid w:val="00A20089"/>
    <w:rsid w:val="00A21554"/>
    <w:rsid w:val="00A21BBA"/>
    <w:rsid w:val="00A23706"/>
    <w:rsid w:val="00A23C7D"/>
    <w:rsid w:val="00A241E7"/>
    <w:rsid w:val="00A24635"/>
    <w:rsid w:val="00A252ED"/>
    <w:rsid w:val="00A25A9C"/>
    <w:rsid w:val="00A26677"/>
    <w:rsid w:val="00A268F7"/>
    <w:rsid w:val="00A300A8"/>
    <w:rsid w:val="00A303B0"/>
    <w:rsid w:val="00A30E57"/>
    <w:rsid w:val="00A31E2C"/>
    <w:rsid w:val="00A31F6A"/>
    <w:rsid w:val="00A31FE2"/>
    <w:rsid w:val="00A36234"/>
    <w:rsid w:val="00A40F43"/>
    <w:rsid w:val="00A41355"/>
    <w:rsid w:val="00A43082"/>
    <w:rsid w:val="00A43AD0"/>
    <w:rsid w:val="00A447C0"/>
    <w:rsid w:val="00A44B0A"/>
    <w:rsid w:val="00A44BCF"/>
    <w:rsid w:val="00A46381"/>
    <w:rsid w:val="00A468D5"/>
    <w:rsid w:val="00A46A96"/>
    <w:rsid w:val="00A47040"/>
    <w:rsid w:val="00A473D7"/>
    <w:rsid w:val="00A47E22"/>
    <w:rsid w:val="00A52C71"/>
    <w:rsid w:val="00A53F22"/>
    <w:rsid w:val="00A54FD2"/>
    <w:rsid w:val="00A57C8D"/>
    <w:rsid w:val="00A60991"/>
    <w:rsid w:val="00A617A8"/>
    <w:rsid w:val="00A61F16"/>
    <w:rsid w:val="00A61FEC"/>
    <w:rsid w:val="00A622F4"/>
    <w:rsid w:val="00A632EB"/>
    <w:rsid w:val="00A64EF4"/>
    <w:rsid w:val="00A6524D"/>
    <w:rsid w:val="00A6731F"/>
    <w:rsid w:val="00A7062D"/>
    <w:rsid w:val="00A72245"/>
    <w:rsid w:val="00A7292D"/>
    <w:rsid w:val="00A745E6"/>
    <w:rsid w:val="00A75D00"/>
    <w:rsid w:val="00A765C0"/>
    <w:rsid w:val="00A81547"/>
    <w:rsid w:val="00A81DD0"/>
    <w:rsid w:val="00A8436C"/>
    <w:rsid w:val="00A8471B"/>
    <w:rsid w:val="00A84F89"/>
    <w:rsid w:val="00A86558"/>
    <w:rsid w:val="00A9031D"/>
    <w:rsid w:val="00A909D5"/>
    <w:rsid w:val="00A91EC8"/>
    <w:rsid w:val="00A92307"/>
    <w:rsid w:val="00A92623"/>
    <w:rsid w:val="00A9371E"/>
    <w:rsid w:val="00A93F21"/>
    <w:rsid w:val="00A94641"/>
    <w:rsid w:val="00A9687D"/>
    <w:rsid w:val="00A96DB6"/>
    <w:rsid w:val="00AA0358"/>
    <w:rsid w:val="00AA13C7"/>
    <w:rsid w:val="00AA1779"/>
    <w:rsid w:val="00AA313D"/>
    <w:rsid w:val="00AA3BC8"/>
    <w:rsid w:val="00AA3E52"/>
    <w:rsid w:val="00AA505F"/>
    <w:rsid w:val="00AA5BF4"/>
    <w:rsid w:val="00AA64E7"/>
    <w:rsid w:val="00AA6DAD"/>
    <w:rsid w:val="00AA6E55"/>
    <w:rsid w:val="00AA7942"/>
    <w:rsid w:val="00AB2065"/>
    <w:rsid w:val="00AB3A9C"/>
    <w:rsid w:val="00AB5550"/>
    <w:rsid w:val="00AB5AA3"/>
    <w:rsid w:val="00AB6FC1"/>
    <w:rsid w:val="00AB7CEC"/>
    <w:rsid w:val="00AC05DE"/>
    <w:rsid w:val="00AC0664"/>
    <w:rsid w:val="00AC0990"/>
    <w:rsid w:val="00AC2903"/>
    <w:rsid w:val="00AC3FBE"/>
    <w:rsid w:val="00AC44BE"/>
    <w:rsid w:val="00AC5750"/>
    <w:rsid w:val="00AC5FB0"/>
    <w:rsid w:val="00AC7173"/>
    <w:rsid w:val="00AD000D"/>
    <w:rsid w:val="00AD116A"/>
    <w:rsid w:val="00AD40CA"/>
    <w:rsid w:val="00AD4513"/>
    <w:rsid w:val="00AD51A6"/>
    <w:rsid w:val="00AD5F33"/>
    <w:rsid w:val="00AD5F38"/>
    <w:rsid w:val="00AD73B2"/>
    <w:rsid w:val="00AD76D3"/>
    <w:rsid w:val="00AD7EB5"/>
    <w:rsid w:val="00AE2155"/>
    <w:rsid w:val="00AE2AE1"/>
    <w:rsid w:val="00AE4471"/>
    <w:rsid w:val="00AF0CDD"/>
    <w:rsid w:val="00AF0EA4"/>
    <w:rsid w:val="00AF29D3"/>
    <w:rsid w:val="00AF2A0F"/>
    <w:rsid w:val="00AF34A8"/>
    <w:rsid w:val="00AF6CF1"/>
    <w:rsid w:val="00AF702E"/>
    <w:rsid w:val="00B0255D"/>
    <w:rsid w:val="00B04EFC"/>
    <w:rsid w:val="00B059EC"/>
    <w:rsid w:val="00B10867"/>
    <w:rsid w:val="00B11BC3"/>
    <w:rsid w:val="00B15581"/>
    <w:rsid w:val="00B177D3"/>
    <w:rsid w:val="00B21115"/>
    <w:rsid w:val="00B250A9"/>
    <w:rsid w:val="00B25152"/>
    <w:rsid w:val="00B26F8D"/>
    <w:rsid w:val="00B2725B"/>
    <w:rsid w:val="00B3210B"/>
    <w:rsid w:val="00B342EC"/>
    <w:rsid w:val="00B35579"/>
    <w:rsid w:val="00B35DEE"/>
    <w:rsid w:val="00B36037"/>
    <w:rsid w:val="00B409A8"/>
    <w:rsid w:val="00B42559"/>
    <w:rsid w:val="00B457F4"/>
    <w:rsid w:val="00B471C6"/>
    <w:rsid w:val="00B476D6"/>
    <w:rsid w:val="00B505FA"/>
    <w:rsid w:val="00B50F54"/>
    <w:rsid w:val="00B513E2"/>
    <w:rsid w:val="00B515DB"/>
    <w:rsid w:val="00B53402"/>
    <w:rsid w:val="00B547F7"/>
    <w:rsid w:val="00B54B44"/>
    <w:rsid w:val="00B56D67"/>
    <w:rsid w:val="00B6150B"/>
    <w:rsid w:val="00B6239F"/>
    <w:rsid w:val="00B62EEA"/>
    <w:rsid w:val="00B62F49"/>
    <w:rsid w:val="00B63931"/>
    <w:rsid w:val="00B64868"/>
    <w:rsid w:val="00B64957"/>
    <w:rsid w:val="00B64E72"/>
    <w:rsid w:val="00B65526"/>
    <w:rsid w:val="00B6647D"/>
    <w:rsid w:val="00B701EF"/>
    <w:rsid w:val="00B72F6B"/>
    <w:rsid w:val="00B7304E"/>
    <w:rsid w:val="00B74146"/>
    <w:rsid w:val="00B76358"/>
    <w:rsid w:val="00B76877"/>
    <w:rsid w:val="00B768A3"/>
    <w:rsid w:val="00B772CD"/>
    <w:rsid w:val="00B77715"/>
    <w:rsid w:val="00B80EB3"/>
    <w:rsid w:val="00B81A15"/>
    <w:rsid w:val="00B821A9"/>
    <w:rsid w:val="00B826EE"/>
    <w:rsid w:val="00B82DC6"/>
    <w:rsid w:val="00B83D4A"/>
    <w:rsid w:val="00B855A3"/>
    <w:rsid w:val="00B86513"/>
    <w:rsid w:val="00B8687B"/>
    <w:rsid w:val="00B93762"/>
    <w:rsid w:val="00B94684"/>
    <w:rsid w:val="00B95E2A"/>
    <w:rsid w:val="00B967AF"/>
    <w:rsid w:val="00BA43A3"/>
    <w:rsid w:val="00BA61ED"/>
    <w:rsid w:val="00BA74CF"/>
    <w:rsid w:val="00BB00F2"/>
    <w:rsid w:val="00BB12E7"/>
    <w:rsid w:val="00BB19C9"/>
    <w:rsid w:val="00BB1A41"/>
    <w:rsid w:val="00BB37F8"/>
    <w:rsid w:val="00BB65D6"/>
    <w:rsid w:val="00BB79FE"/>
    <w:rsid w:val="00BC1C8A"/>
    <w:rsid w:val="00BC4DC2"/>
    <w:rsid w:val="00BC6FE3"/>
    <w:rsid w:val="00BD1FEE"/>
    <w:rsid w:val="00BD2550"/>
    <w:rsid w:val="00BD30C4"/>
    <w:rsid w:val="00BD3DF4"/>
    <w:rsid w:val="00BD41B6"/>
    <w:rsid w:val="00BD4455"/>
    <w:rsid w:val="00BD4B78"/>
    <w:rsid w:val="00BD5630"/>
    <w:rsid w:val="00BD6916"/>
    <w:rsid w:val="00BE1229"/>
    <w:rsid w:val="00BE1247"/>
    <w:rsid w:val="00BE15DD"/>
    <w:rsid w:val="00BE32DE"/>
    <w:rsid w:val="00BE3625"/>
    <w:rsid w:val="00BE36E1"/>
    <w:rsid w:val="00BE497A"/>
    <w:rsid w:val="00BE4D26"/>
    <w:rsid w:val="00BE6EBD"/>
    <w:rsid w:val="00BE7CEE"/>
    <w:rsid w:val="00BF4CFF"/>
    <w:rsid w:val="00BF4FD5"/>
    <w:rsid w:val="00BF6E31"/>
    <w:rsid w:val="00BF7897"/>
    <w:rsid w:val="00C01519"/>
    <w:rsid w:val="00C01F0A"/>
    <w:rsid w:val="00C10479"/>
    <w:rsid w:val="00C1063C"/>
    <w:rsid w:val="00C114EB"/>
    <w:rsid w:val="00C128C1"/>
    <w:rsid w:val="00C161BD"/>
    <w:rsid w:val="00C16FAF"/>
    <w:rsid w:val="00C200E7"/>
    <w:rsid w:val="00C209DE"/>
    <w:rsid w:val="00C21342"/>
    <w:rsid w:val="00C21FD2"/>
    <w:rsid w:val="00C225EF"/>
    <w:rsid w:val="00C22ED3"/>
    <w:rsid w:val="00C25C41"/>
    <w:rsid w:val="00C273CC"/>
    <w:rsid w:val="00C32F70"/>
    <w:rsid w:val="00C33318"/>
    <w:rsid w:val="00C33FDB"/>
    <w:rsid w:val="00C34854"/>
    <w:rsid w:val="00C353F8"/>
    <w:rsid w:val="00C410F7"/>
    <w:rsid w:val="00C412B6"/>
    <w:rsid w:val="00C44254"/>
    <w:rsid w:val="00C44FE8"/>
    <w:rsid w:val="00C466FE"/>
    <w:rsid w:val="00C50071"/>
    <w:rsid w:val="00C5038D"/>
    <w:rsid w:val="00C52538"/>
    <w:rsid w:val="00C55E1B"/>
    <w:rsid w:val="00C56053"/>
    <w:rsid w:val="00C57AAF"/>
    <w:rsid w:val="00C605CA"/>
    <w:rsid w:val="00C60C53"/>
    <w:rsid w:val="00C61016"/>
    <w:rsid w:val="00C61CF1"/>
    <w:rsid w:val="00C63D98"/>
    <w:rsid w:val="00C644DA"/>
    <w:rsid w:val="00C64CC9"/>
    <w:rsid w:val="00C65BD3"/>
    <w:rsid w:val="00C663A8"/>
    <w:rsid w:val="00C6768C"/>
    <w:rsid w:val="00C7052F"/>
    <w:rsid w:val="00C7053B"/>
    <w:rsid w:val="00C73FDC"/>
    <w:rsid w:val="00C754C1"/>
    <w:rsid w:val="00C756FB"/>
    <w:rsid w:val="00C75E7D"/>
    <w:rsid w:val="00C76900"/>
    <w:rsid w:val="00C801D9"/>
    <w:rsid w:val="00C83A24"/>
    <w:rsid w:val="00C8554E"/>
    <w:rsid w:val="00C857CE"/>
    <w:rsid w:val="00C859A1"/>
    <w:rsid w:val="00C85BC8"/>
    <w:rsid w:val="00C8759F"/>
    <w:rsid w:val="00C91009"/>
    <w:rsid w:val="00C91C03"/>
    <w:rsid w:val="00C927D5"/>
    <w:rsid w:val="00C92A77"/>
    <w:rsid w:val="00C9325C"/>
    <w:rsid w:val="00C93837"/>
    <w:rsid w:val="00C93D92"/>
    <w:rsid w:val="00C97E4D"/>
    <w:rsid w:val="00CA0C60"/>
    <w:rsid w:val="00CA1B1A"/>
    <w:rsid w:val="00CA28A8"/>
    <w:rsid w:val="00CA2A9C"/>
    <w:rsid w:val="00CA333E"/>
    <w:rsid w:val="00CA6DA8"/>
    <w:rsid w:val="00CB0026"/>
    <w:rsid w:val="00CB0311"/>
    <w:rsid w:val="00CB0DFC"/>
    <w:rsid w:val="00CB1074"/>
    <w:rsid w:val="00CB154C"/>
    <w:rsid w:val="00CB1839"/>
    <w:rsid w:val="00CB1F4D"/>
    <w:rsid w:val="00CB280D"/>
    <w:rsid w:val="00CB382D"/>
    <w:rsid w:val="00CB38DD"/>
    <w:rsid w:val="00CB436B"/>
    <w:rsid w:val="00CB685C"/>
    <w:rsid w:val="00CB72BB"/>
    <w:rsid w:val="00CC0488"/>
    <w:rsid w:val="00CC19AF"/>
    <w:rsid w:val="00CC4EEE"/>
    <w:rsid w:val="00CC5EE5"/>
    <w:rsid w:val="00CC668F"/>
    <w:rsid w:val="00CC69BC"/>
    <w:rsid w:val="00CC6BD2"/>
    <w:rsid w:val="00CC6FA7"/>
    <w:rsid w:val="00CD0939"/>
    <w:rsid w:val="00CD3C43"/>
    <w:rsid w:val="00CD4641"/>
    <w:rsid w:val="00CD61BE"/>
    <w:rsid w:val="00CD6659"/>
    <w:rsid w:val="00CD75EB"/>
    <w:rsid w:val="00CE1823"/>
    <w:rsid w:val="00CE1FAB"/>
    <w:rsid w:val="00CE2C6B"/>
    <w:rsid w:val="00CE31E2"/>
    <w:rsid w:val="00CE3B3F"/>
    <w:rsid w:val="00CE5349"/>
    <w:rsid w:val="00CE5FDB"/>
    <w:rsid w:val="00CE6DC9"/>
    <w:rsid w:val="00CF04CC"/>
    <w:rsid w:val="00CF0D64"/>
    <w:rsid w:val="00CF11B2"/>
    <w:rsid w:val="00CF4BF6"/>
    <w:rsid w:val="00CF5E2C"/>
    <w:rsid w:val="00CF718C"/>
    <w:rsid w:val="00CF7EB7"/>
    <w:rsid w:val="00D0005A"/>
    <w:rsid w:val="00D00335"/>
    <w:rsid w:val="00D01589"/>
    <w:rsid w:val="00D02B4D"/>
    <w:rsid w:val="00D03B87"/>
    <w:rsid w:val="00D05429"/>
    <w:rsid w:val="00D0585E"/>
    <w:rsid w:val="00D059A5"/>
    <w:rsid w:val="00D06F2B"/>
    <w:rsid w:val="00D0716D"/>
    <w:rsid w:val="00D07F50"/>
    <w:rsid w:val="00D12F16"/>
    <w:rsid w:val="00D151AA"/>
    <w:rsid w:val="00D16051"/>
    <w:rsid w:val="00D16107"/>
    <w:rsid w:val="00D168F7"/>
    <w:rsid w:val="00D16E12"/>
    <w:rsid w:val="00D1720A"/>
    <w:rsid w:val="00D17B6B"/>
    <w:rsid w:val="00D235A1"/>
    <w:rsid w:val="00D2630B"/>
    <w:rsid w:val="00D27B34"/>
    <w:rsid w:val="00D31049"/>
    <w:rsid w:val="00D313F0"/>
    <w:rsid w:val="00D322AC"/>
    <w:rsid w:val="00D322D1"/>
    <w:rsid w:val="00D344AF"/>
    <w:rsid w:val="00D34B99"/>
    <w:rsid w:val="00D36CC7"/>
    <w:rsid w:val="00D36E3B"/>
    <w:rsid w:val="00D375AC"/>
    <w:rsid w:val="00D379E4"/>
    <w:rsid w:val="00D4184D"/>
    <w:rsid w:val="00D43A76"/>
    <w:rsid w:val="00D4412B"/>
    <w:rsid w:val="00D45A22"/>
    <w:rsid w:val="00D51376"/>
    <w:rsid w:val="00D515DB"/>
    <w:rsid w:val="00D5273F"/>
    <w:rsid w:val="00D54BD2"/>
    <w:rsid w:val="00D55245"/>
    <w:rsid w:val="00D56235"/>
    <w:rsid w:val="00D6384D"/>
    <w:rsid w:val="00D64330"/>
    <w:rsid w:val="00D670A5"/>
    <w:rsid w:val="00D708F2"/>
    <w:rsid w:val="00D70CB7"/>
    <w:rsid w:val="00D73929"/>
    <w:rsid w:val="00D750EA"/>
    <w:rsid w:val="00D753EE"/>
    <w:rsid w:val="00D76038"/>
    <w:rsid w:val="00D76057"/>
    <w:rsid w:val="00D760DD"/>
    <w:rsid w:val="00D80174"/>
    <w:rsid w:val="00D815D4"/>
    <w:rsid w:val="00D86CC2"/>
    <w:rsid w:val="00D86EE9"/>
    <w:rsid w:val="00D87974"/>
    <w:rsid w:val="00D87F66"/>
    <w:rsid w:val="00D905CF"/>
    <w:rsid w:val="00D90F45"/>
    <w:rsid w:val="00D9248B"/>
    <w:rsid w:val="00D92C5E"/>
    <w:rsid w:val="00D932FD"/>
    <w:rsid w:val="00D936AD"/>
    <w:rsid w:val="00D952F5"/>
    <w:rsid w:val="00D969DB"/>
    <w:rsid w:val="00DA23CA"/>
    <w:rsid w:val="00DA3CBA"/>
    <w:rsid w:val="00DA427C"/>
    <w:rsid w:val="00DA666C"/>
    <w:rsid w:val="00DA6B9D"/>
    <w:rsid w:val="00DA6F59"/>
    <w:rsid w:val="00DA78C2"/>
    <w:rsid w:val="00DB06E0"/>
    <w:rsid w:val="00DB35FE"/>
    <w:rsid w:val="00DB3A62"/>
    <w:rsid w:val="00DB50F1"/>
    <w:rsid w:val="00DB609F"/>
    <w:rsid w:val="00DB7288"/>
    <w:rsid w:val="00DC0183"/>
    <w:rsid w:val="00DC03FF"/>
    <w:rsid w:val="00DC042D"/>
    <w:rsid w:val="00DC1704"/>
    <w:rsid w:val="00DC2010"/>
    <w:rsid w:val="00DC2354"/>
    <w:rsid w:val="00DC3119"/>
    <w:rsid w:val="00DC3D34"/>
    <w:rsid w:val="00DC54F8"/>
    <w:rsid w:val="00DC653E"/>
    <w:rsid w:val="00DC6893"/>
    <w:rsid w:val="00DC7E39"/>
    <w:rsid w:val="00DD0659"/>
    <w:rsid w:val="00DD1EFD"/>
    <w:rsid w:val="00DD2A4B"/>
    <w:rsid w:val="00DD2A72"/>
    <w:rsid w:val="00DD38F0"/>
    <w:rsid w:val="00DD3DEC"/>
    <w:rsid w:val="00DD45AE"/>
    <w:rsid w:val="00DD5BBB"/>
    <w:rsid w:val="00DD71B1"/>
    <w:rsid w:val="00DD79A6"/>
    <w:rsid w:val="00DD7E19"/>
    <w:rsid w:val="00DE07C6"/>
    <w:rsid w:val="00DE0A60"/>
    <w:rsid w:val="00DE0B8B"/>
    <w:rsid w:val="00DE443A"/>
    <w:rsid w:val="00DE481B"/>
    <w:rsid w:val="00DE543A"/>
    <w:rsid w:val="00DE54F4"/>
    <w:rsid w:val="00DF0FF4"/>
    <w:rsid w:val="00DF26BD"/>
    <w:rsid w:val="00DF46E5"/>
    <w:rsid w:val="00DF548E"/>
    <w:rsid w:val="00E009EC"/>
    <w:rsid w:val="00E00DBC"/>
    <w:rsid w:val="00E00EB1"/>
    <w:rsid w:val="00E04F10"/>
    <w:rsid w:val="00E06389"/>
    <w:rsid w:val="00E06942"/>
    <w:rsid w:val="00E07691"/>
    <w:rsid w:val="00E07DE7"/>
    <w:rsid w:val="00E10C57"/>
    <w:rsid w:val="00E11124"/>
    <w:rsid w:val="00E122AF"/>
    <w:rsid w:val="00E12775"/>
    <w:rsid w:val="00E1736F"/>
    <w:rsid w:val="00E20B38"/>
    <w:rsid w:val="00E20C26"/>
    <w:rsid w:val="00E218F0"/>
    <w:rsid w:val="00E22269"/>
    <w:rsid w:val="00E23501"/>
    <w:rsid w:val="00E2509B"/>
    <w:rsid w:val="00E25AE3"/>
    <w:rsid w:val="00E260FD"/>
    <w:rsid w:val="00E312E9"/>
    <w:rsid w:val="00E32488"/>
    <w:rsid w:val="00E32C07"/>
    <w:rsid w:val="00E32F02"/>
    <w:rsid w:val="00E331FF"/>
    <w:rsid w:val="00E33870"/>
    <w:rsid w:val="00E33CB6"/>
    <w:rsid w:val="00E35032"/>
    <w:rsid w:val="00E35B81"/>
    <w:rsid w:val="00E35E8A"/>
    <w:rsid w:val="00E37D7D"/>
    <w:rsid w:val="00E40320"/>
    <w:rsid w:val="00E43AB7"/>
    <w:rsid w:val="00E43DF4"/>
    <w:rsid w:val="00E443FD"/>
    <w:rsid w:val="00E47F24"/>
    <w:rsid w:val="00E501CF"/>
    <w:rsid w:val="00E52CC4"/>
    <w:rsid w:val="00E5689E"/>
    <w:rsid w:val="00E5697F"/>
    <w:rsid w:val="00E56BC1"/>
    <w:rsid w:val="00E57247"/>
    <w:rsid w:val="00E578A5"/>
    <w:rsid w:val="00E57E04"/>
    <w:rsid w:val="00E605C0"/>
    <w:rsid w:val="00E60994"/>
    <w:rsid w:val="00E649F0"/>
    <w:rsid w:val="00E64CBB"/>
    <w:rsid w:val="00E65D64"/>
    <w:rsid w:val="00E713AA"/>
    <w:rsid w:val="00E7255D"/>
    <w:rsid w:val="00E72BD5"/>
    <w:rsid w:val="00E744C8"/>
    <w:rsid w:val="00E75A0E"/>
    <w:rsid w:val="00E81431"/>
    <w:rsid w:val="00E84621"/>
    <w:rsid w:val="00E84747"/>
    <w:rsid w:val="00E848B5"/>
    <w:rsid w:val="00E85436"/>
    <w:rsid w:val="00E86976"/>
    <w:rsid w:val="00E9062C"/>
    <w:rsid w:val="00E91AE0"/>
    <w:rsid w:val="00E92807"/>
    <w:rsid w:val="00E94696"/>
    <w:rsid w:val="00EA08B6"/>
    <w:rsid w:val="00EA0D5A"/>
    <w:rsid w:val="00EA29F5"/>
    <w:rsid w:val="00EA388A"/>
    <w:rsid w:val="00EA6702"/>
    <w:rsid w:val="00EB2B9C"/>
    <w:rsid w:val="00EB4A97"/>
    <w:rsid w:val="00EB64E2"/>
    <w:rsid w:val="00EB6DFA"/>
    <w:rsid w:val="00EC0AF2"/>
    <w:rsid w:val="00EC1E46"/>
    <w:rsid w:val="00EC46AB"/>
    <w:rsid w:val="00EC56AC"/>
    <w:rsid w:val="00EC578D"/>
    <w:rsid w:val="00EC5929"/>
    <w:rsid w:val="00EC678C"/>
    <w:rsid w:val="00EC73AA"/>
    <w:rsid w:val="00ED0ACC"/>
    <w:rsid w:val="00ED1638"/>
    <w:rsid w:val="00ED17B8"/>
    <w:rsid w:val="00ED19E6"/>
    <w:rsid w:val="00ED2B81"/>
    <w:rsid w:val="00ED3207"/>
    <w:rsid w:val="00ED4B96"/>
    <w:rsid w:val="00ED78A0"/>
    <w:rsid w:val="00EE2DF8"/>
    <w:rsid w:val="00EE3213"/>
    <w:rsid w:val="00EE322E"/>
    <w:rsid w:val="00EE51A0"/>
    <w:rsid w:val="00EE5A41"/>
    <w:rsid w:val="00EF029C"/>
    <w:rsid w:val="00EF10F0"/>
    <w:rsid w:val="00EF23FB"/>
    <w:rsid w:val="00EF3E09"/>
    <w:rsid w:val="00EF5111"/>
    <w:rsid w:val="00EF7C86"/>
    <w:rsid w:val="00F00390"/>
    <w:rsid w:val="00F03E64"/>
    <w:rsid w:val="00F05212"/>
    <w:rsid w:val="00F05E37"/>
    <w:rsid w:val="00F100EF"/>
    <w:rsid w:val="00F13A83"/>
    <w:rsid w:val="00F14499"/>
    <w:rsid w:val="00F16806"/>
    <w:rsid w:val="00F17D8C"/>
    <w:rsid w:val="00F216E9"/>
    <w:rsid w:val="00F24B6F"/>
    <w:rsid w:val="00F309FB"/>
    <w:rsid w:val="00F316B3"/>
    <w:rsid w:val="00F33917"/>
    <w:rsid w:val="00F34F75"/>
    <w:rsid w:val="00F35182"/>
    <w:rsid w:val="00F35FAE"/>
    <w:rsid w:val="00F43053"/>
    <w:rsid w:val="00F43C73"/>
    <w:rsid w:val="00F43D5B"/>
    <w:rsid w:val="00F4460F"/>
    <w:rsid w:val="00F46238"/>
    <w:rsid w:val="00F50F0C"/>
    <w:rsid w:val="00F51AFA"/>
    <w:rsid w:val="00F526AA"/>
    <w:rsid w:val="00F5285F"/>
    <w:rsid w:val="00F542A1"/>
    <w:rsid w:val="00F5562C"/>
    <w:rsid w:val="00F562BB"/>
    <w:rsid w:val="00F5731C"/>
    <w:rsid w:val="00F57E04"/>
    <w:rsid w:val="00F60242"/>
    <w:rsid w:val="00F60ED9"/>
    <w:rsid w:val="00F617C5"/>
    <w:rsid w:val="00F6192E"/>
    <w:rsid w:val="00F61C88"/>
    <w:rsid w:val="00F62B81"/>
    <w:rsid w:val="00F644CD"/>
    <w:rsid w:val="00F65F49"/>
    <w:rsid w:val="00F67381"/>
    <w:rsid w:val="00F70320"/>
    <w:rsid w:val="00F70675"/>
    <w:rsid w:val="00F709E4"/>
    <w:rsid w:val="00F71585"/>
    <w:rsid w:val="00F71BCD"/>
    <w:rsid w:val="00F727A0"/>
    <w:rsid w:val="00F73258"/>
    <w:rsid w:val="00F73EBA"/>
    <w:rsid w:val="00F75671"/>
    <w:rsid w:val="00F81AC4"/>
    <w:rsid w:val="00F82C32"/>
    <w:rsid w:val="00F83A7C"/>
    <w:rsid w:val="00F84AC0"/>
    <w:rsid w:val="00F84FF2"/>
    <w:rsid w:val="00F85246"/>
    <w:rsid w:val="00F8630A"/>
    <w:rsid w:val="00F864D4"/>
    <w:rsid w:val="00F87297"/>
    <w:rsid w:val="00F90728"/>
    <w:rsid w:val="00F91906"/>
    <w:rsid w:val="00F93675"/>
    <w:rsid w:val="00F95628"/>
    <w:rsid w:val="00F9572A"/>
    <w:rsid w:val="00F96F24"/>
    <w:rsid w:val="00F97AD4"/>
    <w:rsid w:val="00FA05D2"/>
    <w:rsid w:val="00FA104C"/>
    <w:rsid w:val="00FA2A3E"/>
    <w:rsid w:val="00FA3945"/>
    <w:rsid w:val="00FA3C37"/>
    <w:rsid w:val="00FA3F29"/>
    <w:rsid w:val="00FA406F"/>
    <w:rsid w:val="00FA431D"/>
    <w:rsid w:val="00FA4BCA"/>
    <w:rsid w:val="00FA6A41"/>
    <w:rsid w:val="00FA6FD3"/>
    <w:rsid w:val="00FA7F3F"/>
    <w:rsid w:val="00FB0072"/>
    <w:rsid w:val="00FB2B62"/>
    <w:rsid w:val="00FB378E"/>
    <w:rsid w:val="00FB40A6"/>
    <w:rsid w:val="00FB5AF7"/>
    <w:rsid w:val="00FB67B7"/>
    <w:rsid w:val="00FB6D94"/>
    <w:rsid w:val="00FB744B"/>
    <w:rsid w:val="00FB7489"/>
    <w:rsid w:val="00FC21D6"/>
    <w:rsid w:val="00FC2283"/>
    <w:rsid w:val="00FC3AAB"/>
    <w:rsid w:val="00FC403A"/>
    <w:rsid w:val="00FC54E4"/>
    <w:rsid w:val="00FC59FA"/>
    <w:rsid w:val="00FC5B05"/>
    <w:rsid w:val="00FC6119"/>
    <w:rsid w:val="00FC6282"/>
    <w:rsid w:val="00FD06E8"/>
    <w:rsid w:val="00FD11DC"/>
    <w:rsid w:val="00FD3181"/>
    <w:rsid w:val="00FD3B5B"/>
    <w:rsid w:val="00FD3C0E"/>
    <w:rsid w:val="00FD3D7B"/>
    <w:rsid w:val="00FD67E6"/>
    <w:rsid w:val="00FD6DEA"/>
    <w:rsid w:val="00FD7326"/>
    <w:rsid w:val="00FD7662"/>
    <w:rsid w:val="00FE3913"/>
    <w:rsid w:val="00FE5B9B"/>
    <w:rsid w:val="00FE71D5"/>
    <w:rsid w:val="00FF2112"/>
    <w:rsid w:val="00FF2349"/>
    <w:rsid w:val="00FF37CF"/>
    <w:rsid w:val="00FF4520"/>
    <w:rsid w:val="00FF45D5"/>
    <w:rsid w:val="00FF554D"/>
    <w:rsid w:val="00FF5D00"/>
    <w:rsid w:val="00FF7BA1"/>
    <w:rsid w:val="00FF7D77"/>
    <w:rsid w:val="06285C80"/>
    <w:rsid w:val="1CE62AC3"/>
    <w:rsid w:val="209E05A0"/>
    <w:rsid w:val="30B76EFA"/>
    <w:rsid w:val="379A0BA8"/>
    <w:rsid w:val="3AAA3B80"/>
    <w:rsid w:val="3C82133B"/>
    <w:rsid w:val="470C5B86"/>
    <w:rsid w:val="4BC853BD"/>
    <w:rsid w:val="555519A9"/>
    <w:rsid w:val="5BE50172"/>
    <w:rsid w:val="5CFABC7B"/>
    <w:rsid w:val="65216F4A"/>
    <w:rsid w:val="BF7FF119"/>
    <w:rsid w:val="BFF8AAE1"/>
    <w:rsid w:val="DCFE5B9C"/>
    <w:rsid w:val="FFEF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pacing w:val="4"/>
      <w:kern w:val="2"/>
      <w:szCs w:val="24"/>
      <w:lang w:val="en-US" w:eastAsia="zh-CN" w:bidi="ar-SA"/>
    </w:rPr>
  </w:style>
  <w:style w:type="paragraph" w:styleId="3">
    <w:name w:val="heading 1"/>
    <w:basedOn w:val="1"/>
    <w:next w:val="1"/>
    <w:link w:val="28"/>
    <w:qFormat/>
    <w:uiPriority w:val="0"/>
    <w:pPr>
      <w:keepNext/>
      <w:keepLines/>
      <w:snapToGrid w:val="0"/>
      <w:spacing w:before="592" w:beforeLines="190" w:after="592" w:afterLines="190"/>
      <w:jc w:val="center"/>
      <w:outlineLvl w:val="0"/>
    </w:pPr>
    <w:rPr>
      <w:rFonts w:ascii="Arial" w:hAnsi="Arial" w:eastAsia="黑体" w:cs="Arial"/>
      <w:bCs/>
      <w:kern w:val="44"/>
      <w:sz w:val="32"/>
      <w:szCs w:val="44"/>
    </w:rPr>
  </w:style>
  <w:style w:type="paragraph" w:styleId="4">
    <w:name w:val="heading 2"/>
    <w:basedOn w:val="1"/>
    <w:next w:val="1"/>
    <w:link w:val="29"/>
    <w:qFormat/>
    <w:uiPriority w:val="9"/>
    <w:pPr>
      <w:keepNext/>
      <w:keepLines/>
      <w:snapToGrid w:val="0"/>
      <w:spacing w:before="260" w:after="260"/>
      <w:jc w:val="center"/>
      <w:outlineLvl w:val="1"/>
    </w:pPr>
    <w:rPr>
      <w:rFonts w:ascii="Arial" w:hAnsi="Arial" w:eastAsia="黑体"/>
      <w:bCs/>
      <w:sz w:val="24"/>
      <w:szCs w:val="32"/>
    </w:rPr>
  </w:style>
  <w:style w:type="paragraph" w:styleId="5">
    <w:name w:val="heading 3"/>
    <w:basedOn w:val="1"/>
    <w:next w:val="1"/>
    <w:link w:val="30"/>
    <w:qFormat/>
    <w:uiPriority w:val="9"/>
    <w:pPr>
      <w:keepNext/>
      <w:keepLines/>
      <w:tabs>
        <w:tab w:val="left" w:pos="901"/>
      </w:tabs>
      <w:snapToGrid w:val="0"/>
      <w:spacing w:before="60" w:after="40" w:line="293" w:lineRule="auto"/>
      <w:jc w:val="center"/>
      <w:outlineLvl w:val="2"/>
    </w:pPr>
    <w:rPr>
      <w:rFonts w:ascii="Arial" w:hAnsi="Arial" w:eastAsia="黑体"/>
      <w:bCs/>
      <w:sz w:val="18"/>
      <w:szCs w:val="32"/>
    </w:rPr>
  </w:style>
  <w:style w:type="paragraph" w:styleId="6">
    <w:name w:val="heading 4"/>
    <w:basedOn w:val="1"/>
    <w:next w:val="1"/>
    <w:link w:val="3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
    <w:qFormat/>
    <w:uiPriority w:val="0"/>
    <w:pPr>
      <w:spacing w:after="120" w:line="560" w:lineRule="exact"/>
      <w:ind w:firstLine="800" w:firstLineChars="200"/>
    </w:pPr>
    <w:rPr>
      <w:rFonts w:eastAsia="仿宋" w:asciiTheme="minorHAnsi" w:hAnsiTheme="minorHAnsi" w:cstheme="minorBidi"/>
      <w:spacing w:val="0"/>
      <w:sz w:val="28"/>
    </w:rPr>
  </w:style>
  <w:style w:type="paragraph" w:styleId="8">
    <w:name w:val="annotation text"/>
    <w:basedOn w:val="1"/>
    <w:link w:val="33"/>
    <w:unhideWhenUsed/>
    <w:qFormat/>
    <w:uiPriority w:val="99"/>
    <w:pPr>
      <w:jc w:val="left"/>
    </w:pPr>
  </w:style>
  <w:style w:type="paragraph" w:styleId="9">
    <w:name w:val="Body Text Indent"/>
    <w:basedOn w:val="1"/>
    <w:link w:val="44"/>
    <w:semiHidden/>
    <w:unhideWhenUsed/>
    <w:qFormat/>
    <w:uiPriority w:val="99"/>
    <w:pPr>
      <w:spacing w:after="120"/>
      <w:ind w:left="420" w:leftChars="200"/>
    </w:pPr>
  </w:style>
  <w:style w:type="paragraph" w:styleId="10">
    <w:name w:val="Date"/>
    <w:basedOn w:val="1"/>
    <w:next w:val="1"/>
    <w:link w:val="32"/>
    <w:semiHidden/>
    <w:unhideWhenUsed/>
    <w:qFormat/>
    <w:uiPriority w:val="99"/>
    <w:pPr>
      <w:ind w:left="100" w:leftChars="2500"/>
    </w:pPr>
  </w:style>
  <w:style w:type="paragraph" w:styleId="11">
    <w:name w:val="Balloon Text"/>
    <w:basedOn w:val="1"/>
    <w:link w:val="50"/>
    <w:semiHidden/>
    <w:unhideWhenUsed/>
    <w:qFormat/>
    <w:uiPriority w:val="99"/>
    <w:rPr>
      <w:sz w:val="18"/>
      <w:szCs w:val="18"/>
    </w:rPr>
  </w:style>
  <w:style w:type="paragraph" w:styleId="12">
    <w:name w:val="footer"/>
    <w:basedOn w:val="1"/>
    <w:link w:val="38"/>
    <w:unhideWhenUsed/>
    <w:qFormat/>
    <w:uiPriority w:val="99"/>
    <w:pPr>
      <w:tabs>
        <w:tab w:val="center" w:pos="4153"/>
        <w:tab w:val="right" w:pos="8306"/>
      </w:tabs>
      <w:snapToGrid w:val="0"/>
      <w:jc w:val="left"/>
    </w:pPr>
    <w:rPr>
      <w:sz w:val="18"/>
      <w:szCs w:val="18"/>
    </w:rPr>
  </w:style>
  <w:style w:type="paragraph" w:styleId="13">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pPr>
  </w:style>
  <w:style w:type="paragraph" w:styleId="15">
    <w:name w:val="footnote text"/>
    <w:basedOn w:val="1"/>
    <w:link w:val="52"/>
    <w:semiHidden/>
    <w:unhideWhenUsed/>
    <w:qFormat/>
    <w:uiPriority w:val="99"/>
    <w:pPr>
      <w:snapToGrid w:val="0"/>
      <w:jc w:val="left"/>
    </w:pPr>
    <w:rPr>
      <w:rFonts w:asciiTheme="minorHAnsi" w:hAnsiTheme="minorHAnsi" w:eastAsiaTheme="minorEastAsia" w:cstheme="minorBidi"/>
      <w:spacing w:val="0"/>
      <w:sz w:val="18"/>
      <w:szCs w:val="18"/>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spacing w:val="0"/>
      <w:kern w:val="0"/>
      <w:sz w:val="24"/>
    </w:rPr>
  </w:style>
  <w:style w:type="paragraph" w:styleId="18">
    <w:name w:val="Title"/>
    <w:basedOn w:val="1"/>
    <w:next w:val="1"/>
    <w:link w:val="64"/>
    <w:qFormat/>
    <w:uiPriority w:val="10"/>
    <w:pPr>
      <w:spacing w:line="500" w:lineRule="exact"/>
      <w:jc w:val="center"/>
    </w:pPr>
    <w:rPr>
      <w:rFonts w:ascii="黑体" w:hAnsi="黑体" w:eastAsia="黑体"/>
      <w:b/>
      <w:bCs/>
      <w:color w:val="000000"/>
      <w:spacing w:val="0"/>
      <w:kern w:val="0"/>
      <w:sz w:val="36"/>
      <w:szCs w:val="32"/>
    </w:rPr>
  </w:style>
  <w:style w:type="paragraph" w:styleId="19">
    <w:name w:val="annotation subject"/>
    <w:basedOn w:val="8"/>
    <w:next w:val="8"/>
    <w:link w:val="34"/>
    <w:semiHidden/>
    <w:unhideWhenUsed/>
    <w:qFormat/>
    <w:uiPriority w:val="99"/>
    <w:rPr>
      <w:b/>
      <w:bCs/>
    </w:rPr>
  </w:style>
  <w:style w:type="paragraph" w:styleId="20">
    <w:name w:val="Body Text First Indent 2"/>
    <w:basedOn w:val="9"/>
    <w:link w:val="43"/>
    <w:qFormat/>
    <w:uiPriority w:val="0"/>
    <w:pPr>
      <w:ind w:firstLine="420" w:firstLineChars="200"/>
    </w:pPr>
    <w:rPr>
      <w:rFonts w:ascii="Calibri" w:hAnsi="Calibri" w:eastAsiaTheme="minorEastAsia" w:cstheme="minorBidi"/>
      <w:spacing w:val="0"/>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basedOn w:val="23"/>
    <w:qFormat/>
    <w:uiPriority w:val="20"/>
    <w:rPr>
      <w:i/>
      <w:i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unhideWhenUsed/>
    <w:qFormat/>
    <w:uiPriority w:val="99"/>
    <w:rPr>
      <w:sz w:val="21"/>
      <w:szCs w:val="21"/>
    </w:rPr>
  </w:style>
  <w:style w:type="character" w:styleId="27">
    <w:name w:val="footnote reference"/>
    <w:basedOn w:val="23"/>
    <w:semiHidden/>
    <w:unhideWhenUsed/>
    <w:qFormat/>
    <w:uiPriority w:val="99"/>
    <w:rPr>
      <w:vertAlign w:val="superscript"/>
    </w:rPr>
  </w:style>
  <w:style w:type="character" w:customStyle="1" w:styleId="28">
    <w:name w:val="标题 1 字符"/>
    <w:basedOn w:val="23"/>
    <w:link w:val="3"/>
    <w:qFormat/>
    <w:uiPriority w:val="0"/>
    <w:rPr>
      <w:rFonts w:ascii="Arial" w:hAnsi="Arial" w:eastAsia="黑体" w:cs="Arial"/>
      <w:bCs/>
      <w:spacing w:val="4"/>
      <w:kern w:val="44"/>
      <w:sz w:val="32"/>
      <w:szCs w:val="44"/>
    </w:rPr>
  </w:style>
  <w:style w:type="character" w:customStyle="1" w:styleId="29">
    <w:name w:val="标题 2 字符"/>
    <w:basedOn w:val="23"/>
    <w:link w:val="4"/>
    <w:qFormat/>
    <w:uiPriority w:val="9"/>
    <w:rPr>
      <w:rFonts w:ascii="Arial" w:hAnsi="Arial" w:eastAsia="黑体" w:cs="Times New Roman"/>
      <w:bCs/>
      <w:spacing w:val="4"/>
      <w:kern w:val="2"/>
      <w:sz w:val="24"/>
      <w:szCs w:val="32"/>
    </w:rPr>
  </w:style>
  <w:style w:type="character" w:customStyle="1" w:styleId="30">
    <w:name w:val="标题 3 字符"/>
    <w:basedOn w:val="23"/>
    <w:link w:val="5"/>
    <w:qFormat/>
    <w:uiPriority w:val="0"/>
    <w:rPr>
      <w:rFonts w:ascii="Arial" w:hAnsi="Arial" w:eastAsia="黑体" w:cs="Times New Roman"/>
      <w:bCs/>
      <w:spacing w:val="4"/>
      <w:sz w:val="18"/>
      <w:szCs w:val="32"/>
    </w:rPr>
  </w:style>
  <w:style w:type="paragraph" w:customStyle="1" w:styleId="31">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character" w:customStyle="1" w:styleId="32">
    <w:name w:val="日期 字符"/>
    <w:basedOn w:val="23"/>
    <w:link w:val="10"/>
    <w:semiHidden/>
    <w:qFormat/>
    <w:uiPriority w:val="99"/>
    <w:rPr>
      <w:rFonts w:ascii="Times New Roman" w:hAnsi="Times New Roman" w:eastAsia="宋体" w:cs="Times New Roman"/>
      <w:spacing w:val="4"/>
      <w:sz w:val="20"/>
      <w:szCs w:val="24"/>
    </w:rPr>
  </w:style>
  <w:style w:type="character" w:customStyle="1" w:styleId="33">
    <w:name w:val="批注文字 字符"/>
    <w:basedOn w:val="23"/>
    <w:link w:val="8"/>
    <w:qFormat/>
    <w:uiPriority w:val="99"/>
    <w:rPr>
      <w:rFonts w:ascii="Times New Roman" w:hAnsi="Times New Roman" w:eastAsia="宋体" w:cs="Times New Roman"/>
      <w:spacing w:val="4"/>
      <w:sz w:val="20"/>
      <w:szCs w:val="24"/>
    </w:rPr>
  </w:style>
  <w:style w:type="character" w:customStyle="1" w:styleId="34">
    <w:name w:val="批注主题 字符"/>
    <w:basedOn w:val="33"/>
    <w:link w:val="19"/>
    <w:semiHidden/>
    <w:qFormat/>
    <w:uiPriority w:val="99"/>
    <w:rPr>
      <w:rFonts w:ascii="Times New Roman" w:hAnsi="Times New Roman" w:eastAsia="宋体" w:cs="Times New Roman"/>
      <w:b/>
      <w:bCs/>
      <w:spacing w:val="4"/>
      <w:sz w:val="20"/>
      <w:szCs w:val="24"/>
    </w:rPr>
  </w:style>
  <w:style w:type="character" w:customStyle="1" w:styleId="35">
    <w:name w:val="标题 4 字符"/>
    <w:basedOn w:val="23"/>
    <w:link w:val="6"/>
    <w:semiHidden/>
    <w:qFormat/>
    <w:uiPriority w:val="9"/>
    <w:rPr>
      <w:rFonts w:asciiTheme="majorHAnsi" w:hAnsiTheme="majorHAnsi" w:eastAsiaTheme="majorEastAsia" w:cstheme="majorBidi"/>
      <w:b/>
      <w:bCs/>
      <w:spacing w:val="4"/>
      <w:sz w:val="28"/>
      <w:szCs w:val="28"/>
    </w:rPr>
  </w:style>
  <w:style w:type="character" w:customStyle="1" w:styleId="36">
    <w:name w:val="标题 5 字符"/>
    <w:basedOn w:val="23"/>
    <w:link w:val="7"/>
    <w:semiHidden/>
    <w:qFormat/>
    <w:uiPriority w:val="9"/>
    <w:rPr>
      <w:rFonts w:ascii="Times New Roman" w:hAnsi="Times New Roman" w:eastAsia="宋体" w:cs="Times New Roman"/>
      <w:b/>
      <w:bCs/>
      <w:spacing w:val="4"/>
      <w:sz w:val="28"/>
      <w:szCs w:val="28"/>
    </w:rPr>
  </w:style>
  <w:style w:type="character" w:customStyle="1" w:styleId="37">
    <w:name w:val="页眉 字符"/>
    <w:basedOn w:val="23"/>
    <w:link w:val="13"/>
    <w:qFormat/>
    <w:uiPriority w:val="99"/>
    <w:rPr>
      <w:rFonts w:ascii="Times New Roman" w:hAnsi="Times New Roman" w:eastAsia="宋体" w:cs="Times New Roman"/>
      <w:spacing w:val="4"/>
      <w:sz w:val="18"/>
      <w:szCs w:val="18"/>
    </w:rPr>
  </w:style>
  <w:style w:type="character" w:customStyle="1" w:styleId="38">
    <w:name w:val="页脚 字符"/>
    <w:basedOn w:val="23"/>
    <w:link w:val="12"/>
    <w:qFormat/>
    <w:uiPriority w:val="99"/>
    <w:rPr>
      <w:rFonts w:ascii="Times New Roman" w:hAnsi="Times New Roman" w:eastAsia="宋体" w:cs="Times New Roman"/>
      <w:spacing w:val="4"/>
      <w:sz w:val="18"/>
      <w:szCs w:val="18"/>
    </w:rPr>
  </w:style>
  <w:style w:type="table" w:customStyle="1" w:styleId="39">
    <w:name w:val="无格式表格 21"/>
    <w:basedOn w:val="21"/>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0">
    <w:name w:val="修订1"/>
    <w:hidden/>
    <w:semiHidden/>
    <w:qFormat/>
    <w:uiPriority w:val="99"/>
    <w:rPr>
      <w:rFonts w:ascii="Times New Roman" w:hAnsi="Times New Roman" w:eastAsia="宋体" w:cs="Times New Roman"/>
      <w:spacing w:val="4"/>
      <w:kern w:val="2"/>
      <w:szCs w:val="24"/>
      <w:lang w:val="en-US" w:eastAsia="zh-CN" w:bidi="ar-SA"/>
    </w:rPr>
  </w:style>
  <w:style w:type="paragraph" w:styleId="41">
    <w:name w:val="List Paragraph"/>
    <w:basedOn w:val="1"/>
    <w:qFormat/>
    <w:uiPriority w:val="34"/>
    <w:pPr>
      <w:autoSpaceDE w:val="0"/>
      <w:autoSpaceDN w:val="0"/>
      <w:ind w:left="218"/>
    </w:pPr>
    <w:rPr>
      <w:rFonts w:ascii="宋体" w:hAnsi="宋体" w:cs="宋体"/>
      <w:spacing w:val="0"/>
      <w:kern w:val="0"/>
      <w:sz w:val="22"/>
      <w:szCs w:val="22"/>
      <w:lang w:val="zh-CN" w:bidi="zh-CN"/>
    </w:rPr>
  </w:style>
  <w:style w:type="paragraph" w:styleId="42">
    <w:name w:val="No Spacing"/>
    <w:qFormat/>
    <w:uiPriority w:val="1"/>
    <w:pPr>
      <w:widowControl w:val="0"/>
      <w:jc w:val="both"/>
    </w:pPr>
    <w:rPr>
      <w:rFonts w:ascii="Times New Roman" w:hAnsi="Times New Roman" w:eastAsia="宋体" w:cs="Times New Roman"/>
      <w:spacing w:val="4"/>
      <w:kern w:val="2"/>
      <w:szCs w:val="24"/>
      <w:lang w:val="en-US" w:eastAsia="zh-CN" w:bidi="ar-SA"/>
    </w:rPr>
  </w:style>
  <w:style w:type="character" w:customStyle="1" w:styleId="43">
    <w:name w:val="正文文本首行缩进 2 字符"/>
    <w:link w:val="20"/>
    <w:qFormat/>
    <w:uiPriority w:val="0"/>
    <w:rPr>
      <w:rFonts w:ascii="Calibri" w:hAnsi="Calibri"/>
      <w:szCs w:val="24"/>
    </w:rPr>
  </w:style>
  <w:style w:type="character" w:customStyle="1" w:styleId="44">
    <w:name w:val="正文文本缩进 字符"/>
    <w:basedOn w:val="23"/>
    <w:link w:val="9"/>
    <w:semiHidden/>
    <w:qFormat/>
    <w:uiPriority w:val="99"/>
    <w:rPr>
      <w:rFonts w:ascii="Times New Roman" w:hAnsi="Times New Roman" w:eastAsia="宋体" w:cs="Times New Roman"/>
      <w:spacing w:val="4"/>
      <w:sz w:val="20"/>
      <w:szCs w:val="24"/>
    </w:rPr>
  </w:style>
  <w:style w:type="character" w:customStyle="1" w:styleId="45">
    <w:name w:val="正文文本首行缩进 2 字符1"/>
    <w:basedOn w:val="44"/>
    <w:semiHidden/>
    <w:qFormat/>
    <w:uiPriority w:val="99"/>
    <w:rPr>
      <w:rFonts w:ascii="Times New Roman" w:hAnsi="Times New Roman" w:eastAsia="宋体" w:cs="Times New Roman"/>
      <w:spacing w:val="4"/>
      <w:sz w:val="20"/>
      <w:szCs w:val="24"/>
    </w:rPr>
  </w:style>
  <w:style w:type="paragraph" w:customStyle="1" w:styleId="46">
    <w:name w:val="infinite-list-item"/>
    <w:basedOn w:val="1"/>
    <w:qFormat/>
    <w:uiPriority w:val="0"/>
    <w:pPr>
      <w:widowControl/>
      <w:spacing w:before="100" w:beforeAutospacing="1" w:after="100" w:afterAutospacing="1"/>
      <w:jc w:val="left"/>
    </w:pPr>
    <w:rPr>
      <w:rFonts w:ascii="宋体" w:hAnsi="宋体" w:cs="宋体"/>
      <w:spacing w:val="0"/>
      <w:kern w:val="0"/>
      <w:sz w:val="24"/>
    </w:rPr>
  </w:style>
  <w:style w:type="character" w:customStyle="1" w:styleId="47">
    <w:name w:val="infinite-list-text3"/>
    <w:basedOn w:val="23"/>
    <w:qFormat/>
    <w:uiPriority w:val="0"/>
  </w:style>
  <w:style w:type="paragraph" w:customStyle="1" w:styleId="48">
    <w:name w:val="TOC 标题1"/>
    <w:basedOn w:val="3"/>
    <w:next w:val="1"/>
    <w:unhideWhenUsed/>
    <w:qFormat/>
    <w:uiPriority w:val="39"/>
    <w:pPr>
      <w:widowControl/>
      <w:snapToGrid/>
      <w:spacing w:before="240" w:beforeLines="0" w:after="0" w:afterLines="0" w:line="259" w:lineRule="auto"/>
      <w:jc w:val="left"/>
      <w:outlineLvl w:val="9"/>
    </w:pPr>
    <w:rPr>
      <w:rFonts w:asciiTheme="majorHAnsi" w:hAnsiTheme="majorHAnsi" w:eastAsiaTheme="majorEastAsia" w:cstheme="majorBidi"/>
      <w:bCs w:val="0"/>
      <w:color w:val="2F5597" w:themeColor="accent1" w:themeShade="BF"/>
      <w:spacing w:val="0"/>
      <w:kern w:val="0"/>
      <w:szCs w:val="32"/>
    </w:rPr>
  </w:style>
  <w:style w:type="paragraph" w:customStyle="1" w:styleId="49">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50">
    <w:name w:val="批注框文本 字符"/>
    <w:basedOn w:val="23"/>
    <w:link w:val="11"/>
    <w:semiHidden/>
    <w:qFormat/>
    <w:uiPriority w:val="99"/>
    <w:rPr>
      <w:rFonts w:ascii="Times New Roman" w:hAnsi="Times New Roman" w:eastAsia="宋体" w:cs="Times New Roman"/>
      <w:spacing w:val="4"/>
      <w:sz w:val="18"/>
      <w:szCs w:val="18"/>
    </w:rPr>
  </w:style>
  <w:style w:type="character" w:customStyle="1" w:styleId="51">
    <w:name w:val="正文文本 字符"/>
    <w:basedOn w:val="23"/>
    <w:link w:val="2"/>
    <w:qFormat/>
    <w:uiPriority w:val="99"/>
    <w:rPr>
      <w:rFonts w:eastAsia="仿宋"/>
      <w:sz w:val="28"/>
      <w:szCs w:val="24"/>
    </w:rPr>
  </w:style>
  <w:style w:type="character" w:customStyle="1" w:styleId="52">
    <w:name w:val="脚注文本 字符"/>
    <w:basedOn w:val="23"/>
    <w:link w:val="15"/>
    <w:semiHidden/>
    <w:qFormat/>
    <w:uiPriority w:val="99"/>
    <w:rPr>
      <w:sz w:val="18"/>
      <w:szCs w:val="18"/>
    </w:rPr>
  </w:style>
  <w:style w:type="paragraph" w:customStyle="1" w:styleId="53">
    <w:name w:val="样式 标题 11标题 1 1篇标题2211131415111121131161121221321..."/>
    <w:basedOn w:val="3"/>
    <w:qFormat/>
    <w:uiPriority w:val="0"/>
    <w:pPr>
      <w:keepNext w:val="0"/>
      <w:keepLines w:val="0"/>
      <w:snapToGrid/>
      <w:spacing w:before="480" w:beforeLines="200" w:after="480" w:afterLines="200" w:line="360" w:lineRule="auto"/>
    </w:pPr>
    <w:rPr>
      <w:rFonts w:ascii="Times New Roman" w:hAnsi="Times New Roman" w:eastAsia="宋体" w:cs="宋体"/>
      <w:b/>
      <w:spacing w:val="0"/>
      <w:szCs w:val="20"/>
    </w:rPr>
  </w:style>
  <w:style w:type="paragraph" w:customStyle="1" w:styleId="54">
    <w:name w:val="样式 首行缩进:  2 字符"/>
    <w:basedOn w:val="1"/>
    <w:link w:val="55"/>
    <w:qFormat/>
    <w:uiPriority w:val="0"/>
    <w:pPr>
      <w:spacing w:line="360" w:lineRule="auto"/>
      <w:ind w:firstLine="200" w:firstLineChars="200"/>
    </w:pPr>
    <w:rPr>
      <w:rFonts w:cs="宋体"/>
      <w:spacing w:val="0"/>
      <w:sz w:val="21"/>
      <w:szCs w:val="20"/>
    </w:rPr>
  </w:style>
  <w:style w:type="character" w:customStyle="1" w:styleId="55">
    <w:name w:val="样式 首行缩进:  2 字符 Char"/>
    <w:link w:val="54"/>
    <w:qFormat/>
    <w:uiPriority w:val="0"/>
    <w:rPr>
      <w:rFonts w:ascii="Times New Roman" w:hAnsi="Times New Roman" w:eastAsia="宋体" w:cs="宋体"/>
      <w:szCs w:val="20"/>
    </w:rPr>
  </w:style>
  <w:style w:type="paragraph" w:customStyle="1" w:styleId="56">
    <w:name w:val="表格图片名称 ctrl+d"/>
    <w:basedOn w:val="1"/>
    <w:qFormat/>
    <w:uiPriority w:val="0"/>
    <w:pPr>
      <w:spacing w:before="120" w:after="120"/>
      <w:jc w:val="center"/>
    </w:pPr>
    <w:rPr>
      <w:rFonts w:cs="宋体"/>
      <w:spacing w:val="0"/>
      <w:sz w:val="24"/>
      <w:szCs w:val="20"/>
    </w:rPr>
  </w:style>
  <w:style w:type="table" w:customStyle="1" w:styleId="57">
    <w:name w:val="网格型11"/>
    <w:basedOn w:val="21"/>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未处理的提及1"/>
    <w:basedOn w:val="23"/>
    <w:semiHidden/>
    <w:unhideWhenUsed/>
    <w:qFormat/>
    <w:uiPriority w:val="99"/>
    <w:rPr>
      <w:color w:val="605E5C"/>
      <w:shd w:val="clear" w:color="auto" w:fill="E1DFDD"/>
    </w:rPr>
  </w:style>
  <w:style w:type="table" w:customStyle="1" w:styleId="59">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修订2"/>
    <w:hidden/>
    <w:semiHidden/>
    <w:qFormat/>
    <w:uiPriority w:val="99"/>
    <w:rPr>
      <w:rFonts w:ascii="Times New Roman" w:hAnsi="Times New Roman" w:eastAsia="宋体" w:cs="Times New Roman"/>
      <w:spacing w:val="4"/>
      <w:kern w:val="2"/>
      <w:szCs w:val="24"/>
      <w:lang w:val="en-US" w:eastAsia="zh-CN" w:bidi="ar-SA"/>
    </w:rPr>
  </w:style>
  <w:style w:type="table" w:customStyle="1" w:styleId="61">
    <w:name w:val="网格型12"/>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111"/>
    <w:basedOn w:val="21"/>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1111"/>
    <w:basedOn w:val="21"/>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
    <w:name w:val="标题 字符"/>
    <w:basedOn w:val="23"/>
    <w:link w:val="18"/>
    <w:qFormat/>
    <w:uiPriority w:val="10"/>
    <w:rPr>
      <w:rFonts w:ascii="黑体" w:hAnsi="黑体" w:eastAsia="黑体" w:cs="Times New Roman"/>
      <w:b/>
      <w:bCs/>
      <w:color w:val="000000"/>
      <w:sz w:val="36"/>
      <w:szCs w:val="32"/>
    </w:rPr>
  </w:style>
  <w:style w:type="paragraph" w:customStyle="1" w:styleId="65">
    <w:name w:val="Revision"/>
    <w:hidden/>
    <w:unhideWhenUsed/>
    <w:qFormat/>
    <w:uiPriority w:val="99"/>
    <w:rPr>
      <w:rFonts w:ascii="Times New Roman" w:hAnsi="Times New Roman" w:eastAsia="宋体" w:cs="Times New Roman"/>
      <w:spacing w:val="4"/>
      <w:kern w:val="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D83E0-530F-4B81-961E-0AB920F91D68}">
  <ds:schemaRefs/>
</ds:datastoreItem>
</file>

<file path=docProps/app.xml><?xml version="1.0" encoding="utf-8"?>
<Properties xmlns="http://schemas.openxmlformats.org/officeDocument/2006/extended-properties" xmlns:vt="http://schemas.openxmlformats.org/officeDocument/2006/docPropsVTypes">
  <Template>Normal</Template>
  <Pages>19</Pages>
  <Words>2320</Words>
  <Characters>13229</Characters>
  <Lines>110</Lines>
  <Paragraphs>31</Paragraphs>
  <TotalTime>680</TotalTime>
  <ScaleCrop>false</ScaleCrop>
  <LinksUpToDate>false</LinksUpToDate>
  <CharactersWithSpaces>15518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2024-08-26T02:21:00Z</dcterms:created>
  <dc:creator>ycwu</dc:creator>
  <cp:lastModifiedBy>WPS_1614330429</cp:lastModifiedBy>
  <cp:lastPrinted>2024-08-02T05:05:00Z</cp:lastPrinted>
  <dcterms:modified xsi:type="dcterms:W3CDTF">2024-09-10T02:02:13Z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71BA8E9032D690C8F2B3AB64FD75D389_42</vt:lpwstr>
  </property>
</Properties>
</file>