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jc w:val="right"/>
        <w:rPr>
          <w:rFonts w:eastAsia="黑体"/>
          <w:sz w:val="32"/>
        </w:rPr>
      </w:pPr>
      <w:bookmarkStart w:id="0" w:name="_Toc397965640"/>
      <w:bookmarkStart w:id="1" w:name="_Toc404681284"/>
      <w:bookmarkStart w:id="2" w:name="_Toc44667065"/>
      <w:r>
        <w:rPr>
          <w:rFonts w:hint="eastAsia" w:ascii="Times" w:hAnsi="Times" w:eastAsia="方正大标宋简体"/>
          <w:position w:val="4"/>
          <w:sz w:val="60"/>
        </w:rPr>
        <w:t xml:space="preserve">北京市地方标准  </w:t>
      </w:r>
      <w:r>
        <w:rPr>
          <w:rFonts w:hint="eastAsia" w:ascii="Times" w:hAnsi="Times" w:eastAsia="方正大标宋简体"/>
          <w:position w:val="4"/>
          <w:sz w:val="60"/>
        </w:rPr>
        <w:drawing>
          <wp:inline distT="0" distB="0" distL="0" distR="0">
            <wp:extent cx="1386840" cy="708660"/>
            <wp:effectExtent l="19050" t="0" r="3810" b="0"/>
            <wp:docPr id="1" name="图片 1" descr="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B"/>
                    <pic:cNvPicPr>
                      <a:picLocks noChangeAspect="1" noChangeArrowheads="1"/>
                    </pic:cNvPicPr>
                  </pic:nvPicPr>
                  <pic:blipFill>
                    <a:blip r:embed="rId8" cstate="print"/>
                    <a:srcRect/>
                    <a:stretch>
                      <a:fillRect/>
                    </a:stretch>
                  </pic:blipFill>
                  <pic:spPr>
                    <a:xfrm>
                      <a:off x="0" y="0"/>
                      <a:ext cx="1386840" cy="708660"/>
                    </a:xfrm>
                    <a:prstGeom prst="rect">
                      <a:avLst/>
                    </a:prstGeom>
                    <a:noFill/>
                    <a:ln w="9525">
                      <a:noFill/>
                      <a:miter lim="800000"/>
                      <a:headEnd/>
                      <a:tailEnd/>
                    </a:ln>
                  </pic:spPr>
                </pic:pic>
              </a:graphicData>
            </a:graphic>
          </wp:inline>
        </w:drawing>
      </w:r>
    </w:p>
    <w:p>
      <w:pPr>
        <w:widowControl/>
        <w:jc w:val="left"/>
        <w:rPr>
          <w:rFonts w:eastAsia="黑体"/>
          <w:sz w:val="32"/>
        </w:rPr>
      </w:pPr>
    </w:p>
    <w:p>
      <w:pPr>
        <w:widowControl/>
        <w:wordWrap w:val="0"/>
        <w:jc w:val="right"/>
        <w:rPr>
          <w:rFonts w:eastAsia="黑体"/>
          <w:sz w:val="32"/>
        </w:rPr>
      </w:pPr>
      <w:r>
        <w:rPr>
          <w:rFonts w:hint="eastAsia" w:eastAsia="黑体"/>
          <w:sz w:val="32"/>
        </w:rPr>
        <w:t xml:space="preserve">编  </w:t>
      </w:r>
      <w:r>
        <w:rPr>
          <w:rFonts w:eastAsia="黑体"/>
          <w:sz w:val="32"/>
        </w:rPr>
        <w:t xml:space="preserve"> </w:t>
      </w:r>
      <w:r>
        <w:rPr>
          <w:rFonts w:hint="eastAsia" w:eastAsia="黑体"/>
          <w:sz w:val="32"/>
        </w:rPr>
        <w:t>号：DB11/</w:t>
      </w:r>
      <w:r>
        <w:rPr>
          <w:rFonts w:eastAsia="黑体"/>
          <w:sz w:val="32"/>
        </w:rPr>
        <w:t>T</w:t>
      </w:r>
      <w:r>
        <w:rPr>
          <w:rFonts w:hint="eastAsia" w:eastAsia="黑体"/>
          <w:sz w:val="32"/>
        </w:rPr>
        <w:t xml:space="preserve">  xxxx—</w:t>
      </w:r>
      <w:r>
        <w:rPr>
          <w:rFonts w:eastAsia="黑体"/>
          <w:sz w:val="32"/>
        </w:rPr>
        <w:t>20xx</w:t>
      </w:r>
    </w:p>
    <w:p>
      <w:pPr>
        <w:widowControl/>
        <w:wordWrap w:val="0"/>
        <w:ind w:left="420" w:right="1440" w:firstLine="420"/>
        <w:jc w:val="right"/>
        <w:rPr>
          <w:rFonts w:eastAsia="黑体"/>
          <w:sz w:val="32"/>
        </w:rPr>
      </w:pPr>
      <w:r>
        <w:rPr>
          <w:rFonts w:eastAsia="黑体"/>
          <w:sz w:val="32"/>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393700</wp:posOffset>
                </wp:positionV>
                <wp:extent cx="5355590" cy="5715"/>
                <wp:effectExtent l="0" t="0" r="35560" b="33020"/>
                <wp:wrapNone/>
                <wp:docPr id="8" name="直接箭头连接符 8"/>
                <wp:cNvGraphicFramePr/>
                <a:graphic xmlns:a="http://schemas.openxmlformats.org/drawingml/2006/main">
                  <a:graphicData uri="http://schemas.microsoft.com/office/word/2010/wordprocessingShape">
                    <wps:wsp>
                      <wps:cNvCnPr>
                        <a:cxnSpLocks noChangeShapeType="1"/>
                      </wps:cNvCnPr>
                      <wps:spPr bwMode="auto">
                        <a:xfrm flipV="1">
                          <a:off x="0" y="0"/>
                          <a:ext cx="5355771" cy="5443"/>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1.7pt;margin-top:31pt;height:0.45pt;width:421.7pt;z-index:251659264;mso-width-relative:page;mso-height-relative:page;" filled="f" stroked="t" coordsize="21600,21600" o:gfxdata="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dtnpNYAAAAIAQAADwAAAAAAAAABACAAAAAiAAAAZHJzL2Rvd25yZXYu&#10;eG1sUEsBAhQAFAAAAAgAh07iQOWRZWP9AQAAywMAAA4AAAAAAAAAAQAgAAAAJQEAAGRycy9lMm9E&#10;b2MueG1sUEsFBgAAAAAGAAYAWQEAAJQFAAAAAA==&#10;">
                <v:fill on="f" focussize="0,0"/>
                <v:stroke color="#000000" joinstyle="round"/>
                <v:imagedata o:title=""/>
                <o:lock v:ext="edit" aspectratio="f"/>
              </v:shape>
            </w:pict>
          </mc:Fallback>
        </mc:AlternateContent>
      </w:r>
      <w:r>
        <w:rPr>
          <w:rFonts w:hint="eastAsia" w:eastAsia="黑体"/>
          <w:sz w:val="32"/>
        </w:rPr>
        <w:t>备案号：</w:t>
      </w:r>
      <w:r>
        <w:rPr>
          <w:rFonts w:eastAsia="黑体"/>
          <w:sz w:val="32"/>
        </w:rPr>
        <w:t xml:space="preserve">                 </w:t>
      </w:r>
    </w:p>
    <w:p>
      <w:pPr>
        <w:widowControl/>
        <w:jc w:val="left"/>
        <w:rPr>
          <w:rFonts w:eastAsia="黑体"/>
          <w:sz w:val="32"/>
        </w:rPr>
      </w:pPr>
    </w:p>
    <w:p>
      <w:pPr>
        <w:widowControl/>
        <w:jc w:val="left"/>
        <w:rPr>
          <w:rFonts w:eastAsia="黑体"/>
          <w:sz w:val="32"/>
        </w:rPr>
      </w:pPr>
    </w:p>
    <w:p>
      <w:pPr>
        <w:widowControl/>
        <w:jc w:val="center"/>
        <w:rPr>
          <w:rFonts w:eastAsia="黑体"/>
          <w:sz w:val="48"/>
        </w:rPr>
      </w:pPr>
      <w:bookmarkStart w:id="3" w:name="_Hlk109995854"/>
      <w:r>
        <w:rPr>
          <w:rFonts w:hint="eastAsia" w:eastAsia="黑体"/>
          <w:sz w:val="48"/>
        </w:rPr>
        <w:t>老旧工业厂房保护利用规划设计标准</w:t>
      </w:r>
    </w:p>
    <w:bookmarkEnd w:id="3"/>
    <w:p>
      <w:pPr>
        <w:widowControl/>
        <w:jc w:val="center"/>
        <w:rPr>
          <w:sz w:val="30"/>
          <w:szCs w:val="30"/>
        </w:rPr>
      </w:pPr>
      <w:r>
        <w:rPr>
          <w:sz w:val="30"/>
          <w:szCs w:val="30"/>
        </w:rPr>
        <w:t>Standard code for the preservation and renovation of existing industrial building</w:t>
      </w:r>
    </w:p>
    <w:p>
      <w:pPr>
        <w:widowControl/>
        <w:jc w:val="center"/>
        <w:rPr>
          <w:rFonts w:eastAsia="黑体"/>
          <w:sz w:val="32"/>
        </w:rPr>
      </w:pPr>
      <w:r>
        <w:rPr>
          <w:rFonts w:hint="eastAsia" w:eastAsia="黑体"/>
          <w:sz w:val="32"/>
        </w:rPr>
        <w:t>（征求意见稿）</w:t>
      </w:r>
    </w:p>
    <w:p>
      <w:pPr>
        <w:widowControl/>
        <w:jc w:val="left"/>
        <w:rPr>
          <w:rFonts w:eastAsia="黑体"/>
          <w:sz w:val="32"/>
        </w:rPr>
      </w:pPr>
    </w:p>
    <w:p>
      <w:pPr>
        <w:widowControl/>
        <w:jc w:val="left"/>
        <w:rPr>
          <w:rFonts w:eastAsia="黑体"/>
          <w:sz w:val="32"/>
        </w:rPr>
      </w:pPr>
    </w:p>
    <w:p>
      <w:pPr>
        <w:widowControl/>
        <w:jc w:val="left"/>
        <w:rPr>
          <w:rFonts w:eastAsia="黑体"/>
          <w:sz w:val="32"/>
        </w:rPr>
      </w:pPr>
    </w:p>
    <w:p>
      <w:pPr>
        <w:widowControl/>
        <w:jc w:val="left"/>
        <w:rPr>
          <w:rFonts w:eastAsia="黑体"/>
          <w:sz w:val="32"/>
        </w:rPr>
      </w:pPr>
    </w:p>
    <w:p>
      <w:pPr>
        <w:widowControl/>
        <w:jc w:val="left"/>
        <w:rPr>
          <w:rFonts w:eastAsia="黑体"/>
          <w:sz w:val="32"/>
        </w:rPr>
      </w:pPr>
    </w:p>
    <w:p>
      <w:pPr>
        <w:widowControl/>
        <w:jc w:val="left"/>
        <w:rPr>
          <w:rFonts w:eastAsia="黑体"/>
          <w:sz w:val="32"/>
        </w:rPr>
      </w:pPr>
    </w:p>
    <w:p>
      <w:pPr>
        <w:widowControl/>
        <w:jc w:val="left"/>
        <w:rPr>
          <w:rFonts w:ascii="黑体" w:hAnsi="黑体" w:eastAsia="黑体"/>
          <w:sz w:val="32"/>
          <w:szCs w:val="32"/>
        </w:rPr>
      </w:pPr>
      <w:r>
        <w:rPr>
          <w:rFonts w:eastAsia="黑体"/>
          <w:sz w:val="28"/>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415925</wp:posOffset>
                </wp:positionV>
                <wp:extent cx="5251450" cy="5715"/>
                <wp:effectExtent l="0" t="0" r="25400" b="32385"/>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5251450" cy="571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8pt;margin-top:32.75pt;height:0.45pt;width:413.5pt;z-index:251660288;mso-width-relative:page;mso-height-relative:page;" filled="f" stroked="t" coordsize="21600,21600" o:gfxdata="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TdsFZ2AAAAAgBAAAPAAAAAAAAAAEAIAAAACIAAABkcnMvZG93bnJldi54bWxQ&#10;SwECFAAUAAAACACHTuJA1ETb+fcBAADBAwAADgAAAAAAAAABACAAAAAnAQAAZHJzL2Uyb0RvYy54&#10;bWxQSwUGAAAAAAYABgBZAQAAkAUAAAAA&#10;">
                <v:fill on="f" focussize="0,0"/>
                <v:stroke color="#000000" joinstyle="round"/>
                <v:imagedata o:title=""/>
                <o:lock v:ext="edit" aspectratio="f"/>
              </v:shape>
            </w:pict>
          </mc:Fallback>
        </mc:AlternateContent>
      </w:r>
      <w:r>
        <w:rPr>
          <w:rFonts w:hint="eastAsia" w:ascii="黑体" w:hAnsi="黑体" w:eastAsia="黑体" w:cs="Arial"/>
          <w:sz w:val="32"/>
          <w:szCs w:val="32"/>
        </w:rPr>
        <w:t>20xx-xx-xx发布                      20xx-xx-xx实施</w:t>
      </w:r>
    </w:p>
    <w:p>
      <w:pPr>
        <w:widowControl/>
        <w:jc w:val="left"/>
        <w:rPr>
          <w:rFonts w:eastAsia="黑体"/>
          <w:spacing w:val="8"/>
          <w:sz w:val="22"/>
        </w:rPr>
      </w:pPr>
    </w:p>
    <w:p>
      <w:pPr>
        <w:widowControl/>
        <w:jc w:val="left"/>
        <w:rPr>
          <w:rFonts w:eastAsia="黑体"/>
          <w:spacing w:val="8"/>
          <w:sz w:val="36"/>
        </w:rPr>
      </w:pPr>
      <w:r>
        <w:rPr>
          <w:rFonts w:eastAsia="黑体"/>
          <w:spacing w:val="8"/>
          <w:sz w:val="32"/>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184785</wp:posOffset>
                </wp:positionV>
                <wp:extent cx="1378585" cy="43815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378585" cy="438150"/>
                        </a:xfrm>
                        <a:prstGeom prst="rect">
                          <a:avLst/>
                        </a:prstGeom>
                        <a:solidFill>
                          <a:srgbClr val="FFFFFF"/>
                        </a:solidFill>
                        <a:ln>
                          <a:noFill/>
                        </a:ln>
                      </wps:spPr>
                      <wps:txbx>
                        <w:txbxContent>
                          <w:p>
                            <w:pPr>
                              <w:jc w:val="center"/>
                              <w:rPr>
                                <w:rFonts w:ascii="黑体" w:hAnsi="黑体" w:eastAsia="黑体"/>
                                <w:sz w:val="36"/>
                              </w:rPr>
                            </w:pPr>
                            <w:r>
                              <w:rPr>
                                <w:rFonts w:hint="eastAsia" w:ascii="黑体" w:hAnsi="黑体" w:eastAsia="黑体"/>
                                <w:sz w:val="36"/>
                              </w:rPr>
                              <w:t>联合发布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top:14.55pt;height:34.5pt;width:108.55pt;mso-position-horizontal:right;mso-position-horizontal-relative:margin;z-index:251661312;mso-width-relative:page;mso-height-relative:page;" fillcolor="#FFFFFF" filled="t" stroked="f" coordsize="21600,21600" o:gfxdata="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j21ltUAAAAGAQAADwAAAAAAAAABACAAAAAiAAAAZHJzL2Rvd25yZXYueG1sUEsBAhQAFAAA&#10;AAgAh07iQBBop34rAgAAPgQAAA4AAAAAAAAAAQAgAAAAJAEAAGRycy9lMm9Eb2MueG1sUEsFBgAA&#10;AAAGAAYAWQEAAMEFAAAAAA==&#10;">
                <v:fill on="t" focussize="0,0"/>
                <v:stroke on="f"/>
                <v:imagedata o:title=""/>
                <o:lock v:ext="edit" aspectratio="f"/>
                <v:textbox>
                  <w:txbxContent>
                    <w:p>
                      <w:pPr>
                        <w:jc w:val="center"/>
                        <w:rPr>
                          <w:rFonts w:ascii="黑体" w:hAnsi="黑体" w:eastAsia="黑体"/>
                          <w:sz w:val="36"/>
                        </w:rPr>
                      </w:pPr>
                      <w:r>
                        <w:rPr>
                          <w:rFonts w:hint="eastAsia" w:ascii="黑体" w:hAnsi="黑体" w:eastAsia="黑体"/>
                          <w:sz w:val="36"/>
                        </w:rPr>
                        <w:t>联合发布</w:t>
                      </w:r>
                    </w:p>
                  </w:txbxContent>
                </v:textbox>
              </v:shape>
            </w:pict>
          </mc:Fallback>
        </mc:AlternateContent>
      </w:r>
      <w:r>
        <w:rPr>
          <w:rFonts w:hint="eastAsia" w:eastAsia="黑体"/>
          <w:spacing w:val="8"/>
          <w:sz w:val="32"/>
        </w:rPr>
        <w:t>北京市规划和自然资源委员会</w:t>
      </w:r>
    </w:p>
    <w:p>
      <w:pPr>
        <w:widowControl/>
        <w:jc w:val="left"/>
        <w:rPr>
          <w:rFonts w:eastAsia="黑体"/>
          <w:sz w:val="28"/>
        </w:rPr>
      </w:pPr>
      <w:r>
        <w:rPr>
          <w:rFonts w:hint="eastAsia" w:eastAsia="黑体"/>
          <w:spacing w:val="124"/>
          <w:kern w:val="0"/>
          <w:sz w:val="32"/>
          <w:fitText w:val="4320" w:id="-1148955392"/>
        </w:rPr>
        <w:t>北京市</w:t>
      </w:r>
      <w:r>
        <w:rPr>
          <w:rFonts w:eastAsia="黑体"/>
          <w:spacing w:val="124"/>
          <w:kern w:val="0"/>
          <w:sz w:val="32"/>
          <w:fitText w:val="4320" w:id="-1148955392"/>
        </w:rPr>
        <w:t>市场监督管理</w:t>
      </w:r>
      <w:r>
        <w:rPr>
          <w:rFonts w:eastAsia="黑体"/>
          <w:spacing w:val="4"/>
          <w:kern w:val="0"/>
          <w:sz w:val="32"/>
          <w:fitText w:val="4320" w:id="-1148955392"/>
        </w:rPr>
        <w:t>局</w:t>
      </w:r>
    </w:p>
    <w:p>
      <w:pPr>
        <w:widowControl/>
        <w:jc w:val="left"/>
        <w:rPr>
          <w:rFonts w:eastAsia="黑体"/>
          <w:sz w:val="32"/>
        </w:rPr>
      </w:pPr>
      <w:r>
        <w:rPr>
          <w:rFonts w:eastAsia="黑体"/>
          <w:sz w:val="32"/>
        </w:rPr>
        <w:br w:type="page"/>
      </w:r>
    </w:p>
    <w:p>
      <w:pPr>
        <w:widowControl/>
        <w:jc w:val="left"/>
        <w:rPr>
          <w:rFonts w:eastAsia="黑体"/>
          <w:sz w:val="32"/>
        </w:rPr>
      </w:pPr>
    </w:p>
    <w:p>
      <w:pPr>
        <w:widowControl/>
        <w:jc w:val="center"/>
        <w:rPr>
          <w:rFonts w:eastAsia="黑体"/>
          <w:sz w:val="32"/>
        </w:rPr>
      </w:pPr>
      <w:r>
        <w:rPr>
          <w:rFonts w:hint="eastAsia" w:eastAsia="黑体"/>
          <w:sz w:val="32"/>
        </w:rPr>
        <w:t>北 京 市 地 方 标 准</w:t>
      </w:r>
    </w:p>
    <w:p>
      <w:pPr>
        <w:widowControl/>
        <w:jc w:val="left"/>
        <w:rPr>
          <w:rFonts w:eastAsia="黑体"/>
          <w:sz w:val="32"/>
        </w:rPr>
      </w:pPr>
    </w:p>
    <w:p>
      <w:pPr>
        <w:widowControl/>
        <w:jc w:val="left"/>
        <w:rPr>
          <w:rFonts w:eastAsia="黑体"/>
          <w:sz w:val="32"/>
        </w:rPr>
      </w:pPr>
    </w:p>
    <w:p>
      <w:pPr>
        <w:widowControl/>
        <w:jc w:val="center"/>
        <w:rPr>
          <w:rFonts w:eastAsia="黑体"/>
          <w:sz w:val="48"/>
        </w:rPr>
      </w:pPr>
      <w:r>
        <w:rPr>
          <w:rFonts w:hint="eastAsia" w:eastAsia="黑体"/>
          <w:sz w:val="48"/>
        </w:rPr>
        <w:t>老旧工业厂房保护利用规划设计标准</w:t>
      </w:r>
    </w:p>
    <w:p>
      <w:pPr>
        <w:widowControl/>
        <w:jc w:val="center"/>
        <w:rPr>
          <w:sz w:val="30"/>
          <w:szCs w:val="30"/>
        </w:rPr>
      </w:pPr>
      <w:r>
        <w:rPr>
          <w:sz w:val="30"/>
          <w:szCs w:val="30"/>
        </w:rPr>
        <w:t>Standard code for the preservation and renovation of existing industrial building</w:t>
      </w:r>
    </w:p>
    <w:p>
      <w:pPr>
        <w:widowControl/>
        <w:jc w:val="center"/>
        <w:rPr>
          <w:rFonts w:eastAsia="黑体"/>
          <w:sz w:val="32"/>
        </w:rPr>
      </w:pPr>
    </w:p>
    <w:p>
      <w:pPr>
        <w:widowControl/>
        <w:jc w:val="center"/>
        <w:rPr>
          <w:rFonts w:eastAsia="黑体"/>
          <w:sz w:val="32"/>
        </w:rPr>
      </w:pPr>
    </w:p>
    <w:p>
      <w:pPr>
        <w:widowControl/>
        <w:jc w:val="center"/>
        <w:rPr>
          <w:rFonts w:eastAsia="黑体"/>
          <w:sz w:val="32"/>
        </w:rPr>
      </w:pPr>
    </w:p>
    <w:p>
      <w:pPr>
        <w:widowControl/>
        <w:jc w:val="center"/>
        <w:rPr>
          <w:rFonts w:eastAsia="黑体"/>
          <w:sz w:val="32"/>
        </w:rPr>
      </w:pPr>
      <w:r>
        <w:rPr>
          <w:rFonts w:hint="eastAsia" w:eastAsia="黑体"/>
          <w:sz w:val="32"/>
        </w:rPr>
        <w:t>编号</w:t>
      </w:r>
      <w:r>
        <w:rPr>
          <w:rFonts w:eastAsia="黑体"/>
          <w:sz w:val="32"/>
        </w:rPr>
        <w:t>：</w:t>
      </w:r>
      <w:r>
        <w:rPr>
          <w:rFonts w:hint="eastAsia" w:eastAsia="黑体"/>
          <w:sz w:val="32"/>
        </w:rPr>
        <w:t>DB11/</w:t>
      </w:r>
      <w:r>
        <w:rPr>
          <w:rFonts w:eastAsia="黑体"/>
          <w:sz w:val="32"/>
        </w:rPr>
        <w:t>T</w:t>
      </w:r>
      <w:r>
        <w:rPr>
          <w:rFonts w:hint="eastAsia" w:eastAsia="黑体"/>
          <w:sz w:val="32"/>
        </w:rPr>
        <w:t xml:space="preserve">  xxxx—20xx</w:t>
      </w:r>
    </w:p>
    <w:p>
      <w:pPr>
        <w:widowControl/>
        <w:jc w:val="left"/>
        <w:rPr>
          <w:rFonts w:eastAsia="黑体"/>
          <w:sz w:val="32"/>
        </w:rPr>
      </w:pPr>
    </w:p>
    <w:p>
      <w:pPr>
        <w:widowControl/>
        <w:jc w:val="left"/>
        <w:rPr>
          <w:rFonts w:eastAsia="黑体"/>
          <w:sz w:val="32"/>
        </w:rPr>
      </w:pPr>
    </w:p>
    <w:p>
      <w:pPr>
        <w:widowControl/>
        <w:ind w:left="1260" w:firstLine="420"/>
        <w:jc w:val="left"/>
        <w:rPr>
          <w:rFonts w:asciiTheme="minorEastAsia" w:hAnsiTheme="minorEastAsia" w:eastAsiaTheme="minorEastAsia"/>
          <w:sz w:val="28"/>
          <w:szCs w:val="28"/>
        </w:rPr>
      </w:pPr>
      <w:r>
        <w:rPr>
          <w:rFonts w:hint="eastAsia" w:ascii="宋体" w:hAnsi="宋体"/>
          <w:sz w:val="28"/>
          <w:szCs w:val="28"/>
        </w:rPr>
        <w:t>主编单位：北京市建筑设计研究院</w:t>
      </w:r>
      <w:r>
        <w:rPr>
          <w:rFonts w:ascii="宋体" w:hAnsi="宋体"/>
          <w:sz w:val="28"/>
          <w:szCs w:val="28"/>
        </w:rPr>
        <w:t>有限公司</w:t>
      </w:r>
    </w:p>
    <w:p>
      <w:pPr>
        <w:widowControl/>
        <w:ind w:left="1260" w:firstLine="420"/>
        <w:jc w:val="left"/>
        <w:rPr>
          <w:sz w:val="28"/>
          <w:szCs w:val="28"/>
        </w:rPr>
      </w:pPr>
      <w:r>
        <w:rPr>
          <w:rFonts w:hint="eastAsia" w:ascii="宋体" w:hAnsi="宋体"/>
          <w:sz w:val="28"/>
          <w:szCs w:val="28"/>
        </w:rPr>
        <w:t>批准部门：</w:t>
      </w:r>
      <w:r>
        <w:rPr>
          <w:sz w:val="28"/>
          <w:szCs w:val="28"/>
        </w:rPr>
        <w:t>北京市规划和自然资源委员会</w:t>
      </w:r>
    </w:p>
    <w:p>
      <w:pPr>
        <w:widowControl/>
        <w:ind w:left="2520" w:firstLine="560" w:firstLineChars="200"/>
        <w:jc w:val="left"/>
        <w:rPr>
          <w:rFonts w:ascii="宋体" w:hAnsi="宋体"/>
          <w:sz w:val="28"/>
          <w:szCs w:val="28"/>
        </w:rPr>
      </w:pPr>
      <w:r>
        <w:rPr>
          <w:rFonts w:hint="eastAsia" w:ascii="宋体" w:hAnsi="宋体"/>
          <w:sz w:val="28"/>
          <w:szCs w:val="28"/>
        </w:rPr>
        <w:t>北京市市场监督管理局</w:t>
      </w:r>
    </w:p>
    <w:p>
      <w:pPr>
        <w:widowControl/>
        <w:ind w:left="1260" w:firstLine="420"/>
        <w:jc w:val="left"/>
        <w:rPr>
          <w:rFonts w:asciiTheme="minorEastAsia" w:hAnsiTheme="minorEastAsia" w:eastAsiaTheme="minorEastAsia"/>
          <w:sz w:val="28"/>
          <w:szCs w:val="28"/>
        </w:rPr>
      </w:pPr>
      <w:r>
        <w:rPr>
          <w:rFonts w:hint="eastAsia" w:ascii="宋体" w:hAnsi="宋体"/>
          <w:sz w:val="28"/>
          <w:szCs w:val="28"/>
        </w:rPr>
        <w:t>实施日期：20</w:t>
      </w:r>
      <w:r>
        <w:rPr>
          <w:rFonts w:hint="eastAsia" w:asciiTheme="minorEastAsia" w:hAnsiTheme="minorEastAsia" w:eastAsiaTheme="minorEastAsia"/>
          <w:sz w:val="28"/>
          <w:szCs w:val="28"/>
        </w:rPr>
        <w:t>xx</w:t>
      </w:r>
      <w:r>
        <w:rPr>
          <w:rFonts w:hint="eastAsia" w:ascii="宋体" w:hAnsi="宋体"/>
          <w:sz w:val="28"/>
          <w:szCs w:val="28"/>
        </w:rPr>
        <w:t>年</w:t>
      </w:r>
      <w:r>
        <w:rPr>
          <w:rFonts w:hint="eastAsia" w:asciiTheme="minorEastAsia" w:hAnsiTheme="minorEastAsia" w:eastAsiaTheme="minorEastAsia"/>
          <w:sz w:val="28"/>
          <w:szCs w:val="28"/>
        </w:rPr>
        <w:t>xx</w:t>
      </w:r>
      <w:r>
        <w:rPr>
          <w:rFonts w:hint="eastAsia" w:ascii="宋体" w:hAnsi="宋体"/>
          <w:sz w:val="28"/>
          <w:szCs w:val="28"/>
        </w:rPr>
        <w:t>月</w:t>
      </w:r>
      <w:r>
        <w:rPr>
          <w:rFonts w:hint="eastAsia" w:asciiTheme="minorEastAsia" w:hAnsiTheme="minorEastAsia" w:eastAsiaTheme="minorEastAsia"/>
          <w:sz w:val="28"/>
          <w:szCs w:val="28"/>
        </w:rPr>
        <w:t>xx</w:t>
      </w:r>
      <w:r>
        <w:rPr>
          <w:rFonts w:hint="eastAsia" w:ascii="宋体" w:hAnsi="宋体"/>
          <w:sz w:val="28"/>
          <w:szCs w:val="28"/>
        </w:rPr>
        <w:t>日</w:t>
      </w:r>
    </w:p>
    <w:p>
      <w:pPr>
        <w:widowControl/>
        <w:jc w:val="left"/>
        <w:rPr>
          <w:rFonts w:eastAsia="黑体"/>
          <w:sz w:val="32"/>
        </w:rPr>
      </w:pPr>
    </w:p>
    <w:p>
      <w:pPr>
        <w:widowControl/>
        <w:jc w:val="left"/>
        <w:rPr>
          <w:rFonts w:eastAsia="黑体"/>
          <w:sz w:val="32"/>
        </w:rPr>
      </w:pPr>
    </w:p>
    <w:p>
      <w:pPr>
        <w:widowControl/>
        <w:jc w:val="left"/>
        <w:rPr>
          <w:rFonts w:eastAsia="黑体"/>
          <w:sz w:val="32"/>
        </w:rPr>
      </w:pPr>
    </w:p>
    <w:p>
      <w:pPr>
        <w:widowControl/>
        <w:jc w:val="center"/>
        <w:rPr>
          <w:rFonts w:eastAsia="黑体"/>
          <w:sz w:val="32"/>
        </w:rPr>
      </w:pPr>
      <w:r>
        <w:rPr>
          <w:rFonts w:hint="eastAsia" w:eastAsia="黑体"/>
          <w:sz w:val="32"/>
        </w:rPr>
        <w:t>20</w:t>
      </w:r>
      <w:r>
        <w:rPr>
          <w:rFonts w:eastAsia="黑体"/>
          <w:sz w:val="32"/>
        </w:rPr>
        <w:t>23</w:t>
      </w:r>
      <w:r>
        <w:rPr>
          <w:rFonts w:hint="eastAsia" w:eastAsia="黑体"/>
          <w:sz w:val="32"/>
        </w:rPr>
        <w:t xml:space="preserve">  北京</w:t>
      </w:r>
    </w:p>
    <w:p>
      <w:pPr>
        <w:widowControl/>
        <w:jc w:val="left"/>
        <w:rPr>
          <w:rFonts w:eastAsia="黑体"/>
          <w:sz w:val="32"/>
        </w:rPr>
      </w:pPr>
      <w:r>
        <w:rPr>
          <w:rFonts w:eastAsia="黑体"/>
          <w:sz w:val="32"/>
        </w:rPr>
        <w:br w:type="page"/>
      </w:r>
    </w:p>
    <w:bookmarkEnd w:id="0"/>
    <w:bookmarkEnd w:id="1"/>
    <w:bookmarkEnd w:id="2"/>
    <w:p>
      <w:pPr>
        <w:spacing w:after="312" w:afterLines="100"/>
        <w:jc w:val="center"/>
        <w:rPr>
          <w:rFonts w:ascii="宋体" w:hAnsi="宋体"/>
          <w:b/>
          <w:spacing w:val="173"/>
          <w:sz w:val="36"/>
        </w:rPr>
      </w:pPr>
      <w:bookmarkStart w:id="4" w:name="_Toc19866159"/>
      <w:bookmarkStart w:id="5" w:name="_Toc10211811"/>
      <w:bookmarkStart w:id="6" w:name="_Toc19866008"/>
      <w:bookmarkStart w:id="7" w:name="_Toc10228350"/>
      <w:bookmarkStart w:id="8" w:name="_Toc13738879"/>
      <w:bookmarkStart w:id="9" w:name="_Toc35162935"/>
      <w:bookmarkStart w:id="10" w:name="_Toc35023278"/>
      <w:r>
        <w:rPr>
          <w:rFonts w:hint="eastAsia" w:ascii="宋体" w:hAnsi="宋体"/>
          <w:b/>
          <w:spacing w:val="173"/>
          <w:sz w:val="36"/>
        </w:rPr>
        <w:t>前言</w:t>
      </w:r>
      <w:bookmarkEnd w:id="4"/>
      <w:bookmarkEnd w:id="5"/>
      <w:bookmarkEnd w:id="6"/>
      <w:bookmarkEnd w:id="7"/>
      <w:bookmarkEnd w:id="8"/>
      <w:bookmarkEnd w:id="9"/>
      <w:bookmarkEnd w:id="10"/>
    </w:p>
    <w:p>
      <w:pPr>
        <w:ind w:firstLine="560" w:firstLineChars="200"/>
        <w:rPr>
          <w:rFonts w:ascii="宋体" w:hAnsi="宋体"/>
          <w:sz w:val="28"/>
          <w:szCs w:val="28"/>
        </w:rPr>
      </w:pPr>
      <w:r>
        <w:rPr>
          <w:rFonts w:hint="eastAsia" w:ascii="宋体" w:hAnsi="宋体"/>
          <w:sz w:val="28"/>
          <w:szCs w:val="28"/>
        </w:rPr>
        <w:t>为贯彻落实党的二十大精神，推动《北京城市总体规划（</w:t>
      </w:r>
      <w:r>
        <w:rPr>
          <w:rFonts w:ascii="宋体" w:hAnsi="宋体"/>
          <w:sz w:val="28"/>
          <w:szCs w:val="28"/>
        </w:rPr>
        <w:t>2016</w:t>
      </w:r>
      <w:r>
        <w:rPr>
          <w:rFonts w:hint="eastAsia" w:ascii="宋体" w:hAnsi="宋体"/>
          <w:sz w:val="28"/>
          <w:szCs w:val="28"/>
        </w:rPr>
        <w:t>年</w:t>
      </w:r>
      <w:r>
        <w:rPr>
          <w:rFonts w:ascii="宋体" w:hAnsi="宋体"/>
          <w:sz w:val="28"/>
          <w:szCs w:val="28"/>
        </w:rPr>
        <w:t>-2035</w:t>
      </w:r>
      <w:r>
        <w:rPr>
          <w:rFonts w:hint="eastAsia" w:ascii="宋体" w:hAnsi="宋体"/>
          <w:sz w:val="28"/>
          <w:szCs w:val="28"/>
        </w:rPr>
        <w:t>年）》实施，按照《北京市“十四五”时期规划和自然资源标准化工作规划（</w:t>
      </w:r>
      <w:r>
        <w:rPr>
          <w:rFonts w:ascii="宋体" w:hAnsi="宋体"/>
          <w:sz w:val="28"/>
          <w:szCs w:val="28"/>
        </w:rPr>
        <w:t>2021</w:t>
      </w:r>
      <w:r>
        <w:rPr>
          <w:rFonts w:hint="eastAsia" w:ascii="宋体" w:hAnsi="宋体"/>
          <w:sz w:val="28"/>
          <w:szCs w:val="28"/>
        </w:rPr>
        <w:t>年</w:t>
      </w:r>
      <w:r>
        <w:rPr>
          <w:rFonts w:ascii="宋体" w:hAnsi="宋体"/>
          <w:sz w:val="28"/>
          <w:szCs w:val="28"/>
        </w:rPr>
        <w:t>-2025</w:t>
      </w:r>
      <w:r>
        <w:rPr>
          <w:rFonts w:hint="eastAsia" w:ascii="宋体" w:hAnsi="宋体"/>
          <w:sz w:val="28"/>
          <w:szCs w:val="28"/>
        </w:rPr>
        <w:t>年）》和北京市市场监督管理局《关于印发</w:t>
      </w:r>
      <w:r>
        <w:rPr>
          <w:rFonts w:ascii="宋体" w:hAnsi="宋体"/>
          <w:sz w:val="28"/>
          <w:szCs w:val="28"/>
        </w:rPr>
        <w:t>2023</w:t>
      </w:r>
      <w:r>
        <w:rPr>
          <w:rFonts w:hint="eastAsia" w:ascii="宋体" w:hAnsi="宋体"/>
          <w:sz w:val="28"/>
          <w:szCs w:val="28"/>
        </w:rPr>
        <w:t>年北京市地方标准制定项目计划的通知》（京市监发〔</w:t>
      </w:r>
      <w:r>
        <w:rPr>
          <w:rFonts w:ascii="宋体" w:hAnsi="宋体"/>
          <w:sz w:val="28"/>
          <w:szCs w:val="28"/>
        </w:rPr>
        <w:t>2023</w:t>
      </w:r>
      <w:r>
        <w:rPr>
          <w:rFonts w:hint="eastAsia" w:ascii="宋体" w:hAnsi="宋体"/>
          <w:sz w:val="28"/>
          <w:szCs w:val="28"/>
        </w:rPr>
        <w:t>〕</w:t>
      </w:r>
      <w:r>
        <w:rPr>
          <w:rFonts w:ascii="宋体" w:hAnsi="宋体"/>
          <w:sz w:val="28"/>
          <w:szCs w:val="28"/>
        </w:rPr>
        <w:t>4</w:t>
      </w:r>
      <w:r>
        <w:rPr>
          <w:rFonts w:hint="eastAsia" w:ascii="宋体" w:hAnsi="宋体"/>
          <w:sz w:val="28"/>
          <w:szCs w:val="28"/>
        </w:rPr>
        <w:t>号）的要求，编制组在广泛调查研究、认真总结实践经验、吸取科研成果及广泛征求意见的基础上，完成本标准的编制工作。</w:t>
      </w:r>
    </w:p>
    <w:p>
      <w:pPr>
        <w:ind w:firstLine="560" w:firstLineChars="200"/>
        <w:rPr>
          <w:rFonts w:ascii="宋体" w:hAnsi="宋体"/>
          <w:sz w:val="28"/>
          <w:szCs w:val="28"/>
        </w:rPr>
      </w:pPr>
      <w:r>
        <w:rPr>
          <w:rFonts w:hint="eastAsia" w:ascii="宋体" w:hAnsi="宋体"/>
          <w:sz w:val="28"/>
          <w:szCs w:val="28"/>
        </w:rPr>
        <w:t>本标准共分</w:t>
      </w:r>
      <w:r>
        <w:rPr>
          <w:rFonts w:ascii="宋体" w:hAnsi="宋体"/>
          <w:sz w:val="28"/>
          <w:szCs w:val="28"/>
        </w:rPr>
        <w:t>9</w:t>
      </w:r>
      <w:r>
        <w:rPr>
          <w:rFonts w:hint="eastAsia" w:ascii="宋体" w:hAnsi="宋体"/>
          <w:sz w:val="28"/>
          <w:szCs w:val="28"/>
        </w:rPr>
        <w:t>章，主要技术内容是：</w:t>
      </w:r>
      <w:r>
        <w:rPr>
          <w:rFonts w:ascii="宋体" w:hAnsi="宋体"/>
          <w:sz w:val="28"/>
          <w:szCs w:val="28"/>
        </w:rPr>
        <w:t>1</w:t>
      </w:r>
      <w:r>
        <w:rPr>
          <w:rFonts w:hint="eastAsia" w:ascii="宋体" w:hAnsi="宋体"/>
          <w:sz w:val="28"/>
          <w:szCs w:val="28"/>
        </w:rPr>
        <w:t>总则、</w:t>
      </w:r>
      <w:r>
        <w:rPr>
          <w:rFonts w:ascii="宋体" w:hAnsi="宋体"/>
          <w:sz w:val="28"/>
          <w:szCs w:val="28"/>
        </w:rPr>
        <w:t>2</w:t>
      </w:r>
      <w:r>
        <w:rPr>
          <w:rFonts w:hint="eastAsia" w:ascii="宋体" w:hAnsi="宋体"/>
          <w:sz w:val="28"/>
          <w:szCs w:val="28"/>
        </w:rPr>
        <w:t>术语、</w:t>
      </w:r>
      <w:r>
        <w:rPr>
          <w:rFonts w:ascii="宋体" w:hAnsi="宋体"/>
          <w:sz w:val="28"/>
          <w:szCs w:val="28"/>
        </w:rPr>
        <w:t>3</w:t>
      </w:r>
      <w:r>
        <w:rPr>
          <w:rFonts w:hint="eastAsia" w:ascii="宋体" w:hAnsi="宋体"/>
          <w:sz w:val="28"/>
          <w:szCs w:val="28"/>
        </w:rPr>
        <w:t>基本规定、</w:t>
      </w:r>
      <w:r>
        <w:rPr>
          <w:rFonts w:ascii="宋体" w:hAnsi="宋体"/>
          <w:sz w:val="28"/>
          <w:szCs w:val="28"/>
        </w:rPr>
        <w:t>4</w:t>
      </w:r>
      <w:r>
        <w:rPr>
          <w:rFonts w:hint="eastAsia" w:ascii="宋体" w:hAnsi="宋体"/>
          <w:sz w:val="28"/>
          <w:szCs w:val="28"/>
        </w:rPr>
        <w:t>评估与策划、</w:t>
      </w:r>
      <w:r>
        <w:rPr>
          <w:rFonts w:ascii="宋体" w:hAnsi="宋体"/>
          <w:sz w:val="28"/>
          <w:szCs w:val="28"/>
        </w:rPr>
        <w:t>5</w:t>
      </w:r>
      <w:r>
        <w:rPr>
          <w:rFonts w:hint="eastAsia" w:ascii="宋体" w:hAnsi="宋体"/>
          <w:sz w:val="28"/>
          <w:szCs w:val="28"/>
        </w:rPr>
        <w:t>建筑设计、</w:t>
      </w:r>
      <w:r>
        <w:rPr>
          <w:rFonts w:ascii="宋体" w:hAnsi="宋体"/>
          <w:sz w:val="28"/>
          <w:szCs w:val="28"/>
        </w:rPr>
        <w:t>6</w:t>
      </w:r>
      <w:r>
        <w:rPr>
          <w:rFonts w:hint="eastAsia" w:ascii="宋体" w:hAnsi="宋体"/>
          <w:sz w:val="28"/>
          <w:szCs w:val="28"/>
        </w:rPr>
        <w:t>结构设计、</w:t>
      </w:r>
      <w:r>
        <w:rPr>
          <w:rFonts w:ascii="宋体" w:hAnsi="宋体"/>
          <w:sz w:val="28"/>
          <w:szCs w:val="28"/>
        </w:rPr>
        <w:t>7</w:t>
      </w:r>
      <w:r>
        <w:rPr>
          <w:rFonts w:hint="eastAsia" w:ascii="宋体" w:hAnsi="宋体"/>
          <w:sz w:val="28"/>
          <w:szCs w:val="28"/>
        </w:rPr>
        <w:t>机电设计、</w:t>
      </w:r>
      <w:r>
        <w:rPr>
          <w:rFonts w:ascii="宋体" w:hAnsi="宋体"/>
          <w:sz w:val="28"/>
          <w:szCs w:val="28"/>
        </w:rPr>
        <w:t>8</w:t>
      </w:r>
      <w:r>
        <w:rPr>
          <w:rFonts w:hint="eastAsia" w:ascii="宋体" w:hAnsi="宋体"/>
          <w:sz w:val="28"/>
          <w:szCs w:val="28"/>
        </w:rPr>
        <w:t>防火设计、</w:t>
      </w:r>
      <w:r>
        <w:rPr>
          <w:rFonts w:ascii="宋体" w:hAnsi="宋体"/>
          <w:sz w:val="28"/>
          <w:szCs w:val="28"/>
        </w:rPr>
        <w:t>9</w:t>
      </w:r>
      <w:r>
        <w:rPr>
          <w:rFonts w:hint="eastAsia" w:ascii="宋体" w:hAnsi="宋体"/>
          <w:sz w:val="28"/>
          <w:szCs w:val="28"/>
        </w:rPr>
        <w:t>绿色低碳。</w:t>
      </w:r>
    </w:p>
    <w:p>
      <w:pPr>
        <w:ind w:firstLine="560" w:firstLineChars="200"/>
        <w:rPr>
          <w:rFonts w:ascii="宋体" w:hAnsi="宋体"/>
          <w:sz w:val="28"/>
          <w:szCs w:val="28"/>
        </w:rPr>
      </w:pPr>
      <w:r>
        <w:rPr>
          <w:rFonts w:hint="eastAsia" w:ascii="宋体" w:hAnsi="宋体"/>
          <w:sz w:val="28"/>
          <w:szCs w:val="28"/>
        </w:rPr>
        <w:t>本标准由北京市规划和自然资源委员会、北京市市场监督管理局共同负责管理，由北京市规划和自然资源委员会归口并负责组织实施，北京市规划和自然资源标准化中心负责日常管理，北京市建筑设计研究院有限公司负责具体技术内容的解释。（地址：北京市西城区南礼士路</w:t>
      </w:r>
      <w:r>
        <w:rPr>
          <w:rFonts w:ascii="宋体" w:hAnsi="宋体"/>
          <w:sz w:val="28"/>
          <w:szCs w:val="28"/>
        </w:rPr>
        <w:t>62</w:t>
      </w:r>
      <w:r>
        <w:rPr>
          <w:rFonts w:hint="eastAsia" w:ascii="宋体" w:hAnsi="宋体"/>
          <w:sz w:val="28"/>
          <w:szCs w:val="28"/>
        </w:rPr>
        <w:t>号；邮政编码：</w:t>
      </w:r>
      <w:r>
        <w:rPr>
          <w:rFonts w:ascii="宋体" w:hAnsi="宋体"/>
          <w:sz w:val="28"/>
          <w:szCs w:val="28"/>
        </w:rPr>
        <w:t>100045</w:t>
      </w:r>
      <w:r>
        <w:rPr>
          <w:rFonts w:hint="eastAsia" w:ascii="宋体" w:hAnsi="宋体"/>
          <w:sz w:val="28"/>
          <w:szCs w:val="28"/>
        </w:rPr>
        <w:t>；电子邮箱</w:t>
      </w:r>
      <w:r>
        <w:rPr>
          <w:rFonts w:ascii="宋体" w:hAnsi="宋体"/>
          <w:sz w:val="28"/>
          <w:szCs w:val="28"/>
        </w:rPr>
        <w:t>:biad88@163.com</w:t>
      </w:r>
      <w:r>
        <w:rPr>
          <w:rFonts w:hint="eastAsia" w:ascii="宋体" w:hAnsi="宋体"/>
          <w:sz w:val="28"/>
          <w:szCs w:val="28"/>
        </w:rPr>
        <w:t>）</w:t>
      </w:r>
    </w:p>
    <w:p>
      <w:pPr>
        <w:rPr>
          <w:rFonts w:ascii="宋体" w:hAnsi="宋体"/>
          <w:sz w:val="28"/>
          <w:szCs w:val="28"/>
        </w:rPr>
      </w:pPr>
      <w:r>
        <w:rPr>
          <w:rFonts w:hint="eastAsia" w:ascii="宋体" w:hAnsi="宋体"/>
          <w:sz w:val="28"/>
          <w:szCs w:val="28"/>
        </w:rPr>
        <w:t>本标准执行过程中如有意见和建议，请寄送至北京市规划和自然资源标准化中心，以供今后修订时参考。（地址：北京市通州区承安路</w:t>
      </w:r>
      <w:r>
        <w:rPr>
          <w:rFonts w:ascii="宋体" w:hAnsi="宋体"/>
          <w:sz w:val="28"/>
          <w:szCs w:val="28"/>
        </w:rPr>
        <w:t>1</w:t>
      </w:r>
      <w:r>
        <w:rPr>
          <w:rFonts w:hint="eastAsia" w:ascii="宋体" w:hAnsi="宋体"/>
          <w:sz w:val="28"/>
          <w:szCs w:val="28"/>
        </w:rPr>
        <w:t>号院；电话：</w:t>
      </w:r>
      <w:r>
        <w:rPr>
          <w:rFonts w:ascii="宋体" w:hAnsi="宋体"/>
          <w:sz w:val="28"/>
          <w:szCs w:val="28"/>
        </w:rPr>
        <w:t>55595000</w:t>
      </w:r>
      <w:r>
        <w:rPr>
          <w:rFonts w:hint="eastAsia" w:ascii="宋体" w:hAnsi="宋体"/>
          <w:sz w:val="28"/>
          <w:szCs w:val="28"/>
        </w:rPr>
        <w:t>；邮箱：</w:t>
      </w:r>
      <w:r>
        <w:rPr>
          <w:rFonts w:ascii="宋体" w:hAnsi="宋体"/>
          <w:sz w:val="28"/>
          <w:szCs w:val="28"/>
        </w:rPr>
        <w:t>bjbb@ghzrzyw.beijing.gov.cn</w:t>
      </w:r>
      <w:r>
        <w:rPr>
          <w:rFonts w:hint="eastAsia" w:ascii="宋体" w:hAnsi="宋体"/>
          <w:sz w:val="28"/>
          <w:szCs w:val="28"/>
        </w:rPr>
        <w:t>）</w:t>
      </w:r>
    </w:p>
    <w:p>
      <w:pPr>
        <w:rPr>
          <w:rFonts w:ascii="宋体" w:hAnsi="宋体"/>
          <w:sz w:val="28"/>
          <w:szCs w:val="28"/>
        </w:rPr>
      </w:pPr>
      <w:r>
        <w:rPr>
          <w:rFonts w:hint="eastAsia" w:ascii="宋体" w:hAnsi="宋体"/>
          <w:sz w:val="28"/>
          <w:szCs w:val="28"/>
        </w:rPr>
        <w:t>本标准主编单位：北京市建筑设计研究院有限公司</w:t>
      </w:r>
    </w:p>
    <w:p>
      <w:pPr>
        <w:rPr>
          <w:rFonts w:ascii="宋体" w:hAnsi="宋体"/>
          <w:sz w:val="28"/>
          <w:szCs w:val="28"/>
        </w:rPr>
      </w:pPr>
      <w:r>
        <w:rPr>
          <w:rFonts w:hint="eastAsia" w:ascii="宋体" w:hAnsi="宋体"/>
          <w:sz w:val="28"/>
          <w:szCs w:val="28"/>
        </w:rPr>
        <w:t>本标准参编单位：北京首钢建设投资有限公司</w:t>
      </w:r>
    </w:p>
    <w:p>
      <w:pPr>
        <w:ind w:left="1680" w:firstLine="560" w:firstLineChars="200"/>
        <w:rPr>
          <w:rFonts w:ascii="宋体" w:hAnsi="宋体"/>
          <w:sz w:val="28"/>
          <w:szCs w:val="28"/>
        </w:rPr>
      </w:pPr>
      <w:r>
        <w:rPr>
          <w:rFonts w:hint="eastAsia" w:ascii="宋体" w:hAnsi="宋体"/>
          <w:sz w:val="28"/>
          <w:szCs w:val="28"/>
        </w:rPr>
        <w:t>北京市城市规划设计研究院</w:t>
      </w:r>
    </w:p>
    <w:p>
      <w:pPr>
        <w:ind w:firstLine="2240" w:firstLineChars="800"/>
        <w:rPr>
          <w:rFonts w:ascii="宋体" w:hAnsi="宋体"/>
          <w:sz w:val="28"/>
          <w:szCs w:val="28"/>
        </w:rPr>
      </w:pPr>
      <w:r>
        <w:rPr>
          <w:rFonts w:hint="eastAsia" w:ascii="宋体" w:hAnsi="宋体"/>
          <w:sz w:val="28"/>
          <w:szCs w:val="28"/>
        </w:rPr>
        <w:t>清华大学建筑设计研究院有限公司</w:t>
      </w:r>
    </w:p>
    <w:p>
      <w:pPr>
        <w:ind w:left="1680" w:firstLine="560" w:firstLineChars="200"/>
        <w:rPr>
          <w:rFonts w:ascii="宋体" w:hAnsi="宋体"/>
          <w:sz w:val="28"/>
          <w:szCs w:val="28"/>
        </w:rPr>
      </w:pPr>
      <w:r>
        <w:rPr>
          <w:rFonts w:hint="eastAsia" w:ascii="宋体" w:hAnsi="宋体"/>
          <w:sz w:val="28"/>
          <w:szCs w:val="28"/>
        </w:rPr>
        <w:t>建研防火科技有限公司</w:t>
      </w:r>
    </w:p>
    <w:p>
      <w:pPr>
        <w:ind w:left="1680" w:firstLine="560" w:firstLineChars="200"/>
        <w:rPr>
          <w:rFonts w:ascii="宋体" w:hAnsi="宋体"/>
          <w:sz w:val="28"/>
          <w:szCs w:val="28"/>
        </w:rPr>
      </w:pPr>
      <w:r>
        <w:rPr>
          <w:rFonts w:hint="eastAsia" w:ascii="宋体" w:hAnsi="宋体"/>
          <w:sz w:val="28"/>
          <w:szCs w:val="28"/>
        </w:rPr>
        <w:t>北京首钢国际工程技术有限公司</w:t>
      </w:r>
    </w:p>
    <w:p>
      <w:pPr>
        <w:rPr>
          <w:rFonts w:ascii="宋体" w:hAnsi="宋体"/>
          <w:sz w:val="28"/>
          <w:szCs w:val="28"/>
        </w:rPr>
      </w:pPr>
      <w:r>
        <w:rPr>
          <w:rFonts w:hint="eastAsia" w:ascii="宋体" w:hAnsi="宋体"/>
          <w:sz w:val="28"/>
          <w:szCs w:val="28"/>
        </w:rPr>
        <w:t>主要起草人：吴  晨</w:t>
      </w:r>
      <w:r>
        <w:rPr>
          <w:rFonts w:ascii="宋体" w:hAnsi="宋体"/>
          <w:sz w:val="28"/>
          <w:szCs w:val="28"/>
        </w:rPr>
        <w:tab/>
      </w:r>
      <w:r>
        <w:rPr>
          <w:rFonts w:hint="eastAsia" w:ascii="宋体" w:hAnsi="宋体"/>
          <w:sz w:val="28"/>
          <w:szCs w:val="28"/>
        </w:rPr>
        <w:t>段昌莉</w:t>
      </w:r>
      <w:r>
        <w:rPr>
          <w:rFonts w:ascii="宋体" w:hAnsi="宋体"/>
          <w:sz w:val="28"/>
          <w:szCs w:val="28"/>
        </w:rPr>
        <w:tab/>
      </w:r>
      <w:r>
        <w:rPr>
          <w:rFonts w:hint="eastAsia" w:ascii="宋体" w:hAnsi="宋体"/>
          <w:sz w:val="28"/>
          <w:szCs w:val="28"/>
        </w:rPr>
        <w:t>金洪利</w:t>
      </w:r>
      <w:r>
        <w:rPr>
          <w:rFonts w:ascii="宋体" w:hAnsi="宋体"/>
          <w:sz w:val="28"/>
          <w:szCs w:val="28"/>
        </w:rPr>
        <w:tab/>
      </w:r>
      <w:r>
        <w:rPr>
          <w:rFonts w:hint="eastAsia" w:ascii="宋体" w:hAnsi="宋体"/>
          <w:sz w:val="28"/>
          <w:szCs w:val="28"/>
        </w:rPr>
        <w:t xml:space="preserve">李 </w:t>
      </w:r>
      <w:r>
        <w:rPr>
          <w:rFonts w:ascii="宋体" w:hAnsi="宋体"/>
          <w:sz w:val="28"/>
          <w:szCs w:val="28"/>
        </w:rPr>
        <w:t xml:space="preserve"> </w:t>
      </w:r>
      <w:r>
        <w:rPr>
          <w:rFonts w:hint="eastAsia" w:ascii="宋体" w:hAnsi="宋体"/>
          <w:sz w:val="28"/>
          <w:szCs w:val="28"/>
        </w:rPr>
        <w:t>匡</w:t>
      </w:r>
      <w:r>
        <w:rPr>
          <w:rFonts w:ascii="宋体" w:hAnsi="宋体"/>
          <w:sz w:val="28"/>
          <w:szCs w:val="28"/>
        </w:rPr>
        <w:tab/>
      </w:r>
      <w:r>
        <w:rPr>
          <w:rFonts w:hint="eastAsia" w:ascii="宋体" w:hAnsi="宋体"/>
          <w:sz w:val="28"/>
          <w:szCs w:val="28"/>
        </w:rPr>
        <w:t>王崇烈</w:t>
      </w:r>
    </w:p>
    <w:p>
      <w:pPr>
        <w:ind w:left="1680"/>
        <w:rPr>
          <w:rFonts w:ascii="宋体" w:hAnsi="宋体"/>
          <w:sz w:val="28"/>
          <w:szCs w:val="28"/>
        </w:rPr>
      </w:pPr>
      <w:r>
        <w:rPr>
          <w:rFonts w:hint="eastAsia" w:ascii="宋体" w:hAnsi="宋体"/>
          <w:sz w:val="28"/>
          <w:szCs w:val="28"/>
        </w:rPr>
        <w:t>环  迪</w:t>
      </w:r>
      <w:r>
        <w:rPr>
          <w:rFonts w:ascii="宋体" w:hAnsi="宋体"/>
          <w:sz w:val="28"/>
          <w:szCs w:val="28"/>
        </w:rPr>
        <w:tab/>
      </w:r>
      <w:r>
        <w:rPr>
          <w:rFonts w:hint="eastAsia" w:ascii="宋体" w:hAnsi="宋体"/>
          <w:sz w:val="28"/>
          <w:szCs w:val="28"/>
        </w:rPr>
        <w:t>周  婷</w:t>
      </w:r>
      <w:r>
        <w:rPr>
          <w:rFonts w:ascii="宋体" w:hAnsi="宋体"/>
          <w:sz w:val="28"/>
          <w:szCs w:val="18"/>
        </w:rPr>
        <w:tab/>
      </w:r>
      <w:r>
        <w:rPr>
          <w:rFonts w:hint="eastAsia" w:ascii="宋体" w:hAnsi="宋体"/>
          <w:sz w:val="28"/>
          <w:szCs w:val="28"/>
        </w:rPr>
        <w:t>张向阳</w:t>
      </w:r>
      <w:r>
        <w:rPr>
          <w:rFonts w:ascii="宋体" w:hAnsi="宋体"/>
          <w:sz w:val="28"/>
          <w:szCs w:val="28"/>
        </w:rPr>
        <w:tab/>
      </w:r>
      <w:r>
        <w:rPr>
          <w:rFonts w:hint="eastAsia" w:ascii="宋体" w:hAnsi="宋体"/>
          <w:sz w:val="28"/>
          <w:szCs w:val="28"/>
        </w:rPr>
        <w:t>束伟农</w:t>
      </w:r>
      <w:r>
        <w:rPr>
          <w:rFonts w:ascii="宋体" w:hAnsi="宋体"/>
          <w:sz w:val="28"/>
          <w:szCs w:val="28"/>
        </w:rPr>
        <w:tab/>
      </w:r>
      <w:r>
        <w:rPr>
          <w:rFonts w:hint="eastAsia" w:ascii="宋体" w:hAnsi="宋体"/>
          <w:sz w:val="28"/>
          <w:szCs w:val="28"/>
        </w:rPr>
        <w:t>宋  超</w:t>
      </w:r>
    </w:p>
    <w:p>
      <w:pPr>
        <w:ind w:left="1680"/>
        <w:rPr>
          <w:rFonts w:ascii="宋体" w:hAnsi="宋体"/>
          <w:sz w:val="28"/>
          <w:szCs w:val="28"/>
        </w:rPr>
      </w:pPr>
      <w:r>
        <w:rPr>
          <w:rFonts w:hint="eastAsia" w:ascii="宋体" w:hAnsi="宋体"/>
          <w:sz w:val="28"/>
          <w:szCs w:val="28"/>
        </w:rPr>
        <w:t>靳海卿</w:t>
      </w:r>
      <w:r>
        <w:rPr>
          <w:rFonts w:ascii="宋体" w:hAnsi="宋体"/>
          <w:sz w:val="28"/>
          <w:szCs w:val="28"/>
        </w:rPr>
        <w:tab/>
      </w:r>
      <w:r>
        <w:rPr>
          <w:rFonts w:hint="eastAsia" w:ascii="宋体" w:hAnsi="宋体"/>
          <w:sz w:val="28"/>
          <w:szCs w:val="28"/>
        </w:rPr>
        <w:t>曾若浪</w:t>
      </w:r>
      <w:r>
        <w:rPr>
          <w:rFonts w:ascii="宋体" w:hAnsi="宋体"/>
          <w:sz w:val="28"/>
          <w:szCs w:val="28"/>
        </w:rPr>
        <w:tab/>
      </w:r>
      <w:r>
        <w:rPr>
          <w:rFonts w:hint="eastAsia" w:ascii="宋体" w:hAnsi="宋体"/>
          <w:sz w:val="28"/>
          <w:szCs w:val="28"/>
        </w:rPr>
        <w:t xml:space="preserve">陈 </w:t>
      </w:r>
      <w:r>
        <w:rPr>
          <w:rFonts w:ascii="宋体" w:hAnsi="宋体"/>
          <w:sz w:val="28"/>
          <w:szCs w:val="28"/>
        </w:rPr>
        <w:t xml:space="preserve"> </w:t>
      </w:r>
      <w:r>
        <w:rPr>
          <w:rFonts w:hint="eastAsia" w:ascii="宋体" w:hAnsi="宋体"/>
          <w:sz w:val="28"/>
          <w:szCs w:val="28"/>
        </w:rPr>
        <w:t>莹</w:t>
      </w:r>
      <w:r>
        <w:rPr>
          <w:rFonts w:ascii="宋体" w:hAnsi="宋体"/>
          <w:sz w:val="28"/>
          <w:szCs w:val="28"/>
        </w:rPr>
        <w:tab/>
      </w:r>
      <w:r>
        <w:rPr>
          <w:rFonts w:hint="eastAsia" w:ascii="宋体" w:hAnsi="宋体"/>
          <w:sz w:val="28"/>
          <w:szCs w:val="28"/>
        </w:rPr>
        <w:t xml:space="preserve">葛 </w:t>
      </w:r>
      <w:r>
        <w:rPr>
          <w:rFonts w:ascii="宋体" w:hAnsi="宋体"/>
          <w:sz w:val="28"/>
          <w:szCs w:val="28"/>
        </w:rPr>
        <w:t xml:space="preserve"> </w:t>
      </w:r>
      <w:r>
        <w:rPr>
          <w:rFonts w:hint="eastAsia" w:ascii="宋体" w:hAnsi="宋体"/>
          <w:sz w:val="28"/>
          <w:szCs w:val="28"/>
        </w:rPr>
        <w:t>鑫</w:t>
      </w:r>
      <w:r>
        <w:rPr>
          <w:rFonts w:ascii="宋体" w:hAnsi="宋体"/>
          <w:sz w:val="28"/>
          <w:szCs w:val="28"/>
        </w:rPr>
        <w:tab/>
      </w:r>
      <w:r>
        <w:rPr>
          <w:rFonts w:hint="eastAsia" w:ascii="宋体" w:hAnsi="宋体"/>
          <w:sz w:val="28"/>
          <w:szCs w:val="18"/>
        </w:rPr>
        <w:t>白  宁</w:t>
      </w:r>
    </w:p>
    <w:p>
      <w:pPr>
        <w:ind w:left="1680"/>
        <w:rPr>
          <w:rFonts w:ascii="宋体" w:hAnsi="宋体"/>
          <w:sz w:val="28"/>
          <w:szCs w:val="18"/>
        </w:rPr>
      </w:pPr>
      <w:r>
        <w:rPr>
          <w:rFonts w:hint="eastAsia" w:ascii="宋体" w:hAnsi="宋体"/>
          <w:sz w:val="28"/>
          <w:szCs w:val="18"/>
        </w:rPr>
        <w:t>赵庆楠</w:t>
      </w:r>
      <w:r>
        <w:rPr>
          <w:rFonts w:ascii="宋体" w:hAnsi="宋体"/>
          <w:sz w:val="28"/>
          <w:szCs w:val="18"/>
        </w:rPr>
        <w:tab/>
      </w:r>
      <w:r>
        <w:rPr>
          <w:rFonts w:hint="eastAsia" w:ascii="宋体" w:hAnsi="宋体"/>
          <w:sz w:val="28"/>
          <w:szCs w:val="18"/>
        </w:rPr>
        <w:t>陈冬冬</w:t>
      </w:r>
      <w:r>
        <w:rPr>
          <w:rFonts w:ascii="宋体" w:hAnsi="宋体"/>
          <w:sz w:val="28"/>
          <w:szCs w:val="28"/>
        </w:rPr>
        <w:tab/>
      </w:r>
      <w:r>
        <w:rPr>
          <w:rFonts w:hint="eastAsia" w:ascii="宋体" w:hAnsi="宋体"/>
          <w:sz w:val="28"/>
          <w:szCs w:val="28"/>
        </w:rPr>
        <w:t>詹子娜</w:t>
      </w:r>
      <w:r>
        <w:rPr>
          <w:rFonts w:ascii="宋体" w:hAnsi="宋体"/>
          <w:sz w:val="28"/>
          <w:szCs w:val="28"/>
        </w:rPr>
        <w:tab/>
      </w:r>
      <w:r>
        <w:rPr>
          <w:rFonts w:hint="eastAsia" w:ascii="宋体" w:hAnsi="宋体"/>
          <w:sz w:val="28"/>
          <w:szCs w:val="28"/>
        </w:rPr>
        <w:t>吴宇红</w:t>
      </w:r>
      <w:r>
        <w:rPr>
          <w:rFonts w:ascii="宋体" w:hAnsi="宋体"/>
          <w:sz w:val="28"/>
          <w:szCs w:val="28"/>
        </w:rPr>
        <w:tab/>
      </w:r>
      <w:r>
        <w:rPr>
          <w:rFonts w:hint="eastAsia" w:ascii="宋体" w:hAnsi="宋体"/>
          <w:sz w:val="28"/>
          <w:szCs w:val="18"/>
        </w:rPr>
        <w:t>李文博</w:t>
      </w:r>
    </w:p>
    <w:p>
      <w:pPr>
        <w:ind w:left="1680"/>
        <w:rPr>
          <w:rFonts w:ascii="宋体" w:hAnsi="宋体"/>
          <w:sz w:val="28"/>
          <w:szCs w:val="18"/>
        </w:rPr>
      </w:pPr>
      <w:r>
        <w:rPr>
          <w:rFonts w:hint="eastAsia" w:ascii="宋体" w:hAnsi="宋体"/>
          <w:sz w:val="28"/>
          <w:szCs w:val="18"/>
        </w:rPr>
        <w:t>吴会信</w:t>
      </w:r>
      <w:r>
        <w:rPr>
          <w:rFonts w:ascii="宋体" w:hAnsi="宋体"/>
          <w:sz w:val="28"/>
          <w:szCs w:val="18"/>
        </w:rPr>
        <w:tab/>
      </w:r>
      <w:r>
        <w:rPr>
          <w:rFonts w:hint="eastAsia" w:ascii="宋体" w:hAnsi="宋体"/>
          <w:sz w:val="28"/>
          <w:szCs w:val="18"/>
        </w:rPr>
        <w:t>刘克清</w:t>
      </w:r>
      <w:r>
        <w:rPr>
          <w:rFonts w:ascii="宋体" w:hAnsi="宋体"/>
          <w:sz w:val="28"/>
          <w:szCs w:val="18"/>
        </w:rPr>
        <w:tab/>
      </w:r>
      <w:r>
        <w:rPr>
          <w:rFonts w:hint="eastAsia" w:ascii="宋体" w:hAnsi="宋体"/>
          <w:sz w:val="28"/>
          <w:szCs w:val="18"/>
        </w:rPr>
        <w:t>王雪飞</w:t>
      </w:r>
      <w:r>
        <w:rPr>
          <w:rFonts w:ascii="宋体" w:hAnsi="宋体"/>
          <w:sz w:val="28"/>
          <w:szCs w:val="18"/>
        </w:rPr>
        <w:tab/>
      </w:r>
      <w:r>
        <w:rPr>
          <w:rFonts w:hint="eastAsia" w:ascii="宋体" w:hAnsi="宋体"/>
          <w:sz w:val="28"/>
          <w:szCs w:val="18"/>
        </w:rPr>
        <w:t>张</w:t>
      </w:r>
      <w:r>
        <w:rPr>
          <w:rFonts w:ascii="宋体" w:hAnsi="宋体"/>
          <w:sz w:val="28"/>
          <w:szCs w:val="18"/>
        </w:rPr>
        <w:t xml:space="preserve">  </w:t>
      </w:r>
      <w:r>
        <w:rPr>
          <w:rFonts w:hint="eastAsia" w:ascii="宋体" w:hAnsi="宋体"/>
          <w:sz w:val="28"/>
          <w:szCs w:val="18"/>
        </w:rPr>
        <w:t>悦</w:t>
      </w:r>
      <w:r>
        <w:rPr>
          <w:rFonts w:ascii="宋体" w:hAnsi="宋体"/>
          <w:sz w:val="28"/>
          <w:szCs w:val="18"/>
        </w:rPr>
        <w:tab/>
      </w:r>
      <w:r>
        <w:rPr>
          <w:rFonts w:hint="eastAsia" w:ascii="宋体" w:hAnsi="宋体"/>
          <w:sz w:val="28"/>
          <w:szCs w:val="18"/>
        </w:rPr>
        <w:t>杜仕成</w:t>
      </w:r>
    </w:p>
    <w:p>
      <w:pPr>
        <w:ind w:left="1680"/>
        <w:rPr>
          <w:rFonts w:ascii="宋体" w:hAnsi="宋体"/>
          <w:sz w:val="28"/>
          <w:szCs w:val="18"/>
        </w:rPr>
      </w:pPr>
      <w:r>
        <w:rPr>
          <w:rFonts w:hint="eastAsia" w:ascii="宋体" w:hAnsi="宋体"/>
          <w:sz w:val="28"/>
          <w:szCs w:val="18"/>
        </w:rPr>
        <w:t xml:space="preserve">梁 </w:t>
      </w:r>
      <w:r>
        <w:rPr>
          <w:rFonts w:ascii="宋体" w:hAnsi="宋体"/>
          <w:sz w:val="28"/>
          <w:szCs w:val="18"/>
        </w:rPr>
        <w:t xml:space="preserve"> </w:t>
      </w:r>
      <w:r>
        <w:rPr>
          <w:rFonts w:hint="eastAsia" w:ascii="宋体" w:hAnsi="宋体"/>
          <w:sz w:val="28"/>
          <w:szCs w:val="18"/>
        </w:rPr>
        <w:t>颖</w:t>
      </w:r>
      <w:r>
        <w:rPr>
          <w:rFonts w:ascii="宋体" w:hAnsi="宋体"/>
          <w:sz w:val="28"/>
          <w:szCs w:val="28"/>
        </w:rPr>
        <w:tab/>
      </w:r>
      <w:r>
        <w:rPr>
          <w:rFonts w:hint="eastAsia" w:ascii="宋体" w:hAnsi="宋体"/>
          <w:sz w:val="28"/>
          <w:szCs w:val="28"/>
        </w:rPr>
        <w:t xml:space="preserve">张 </w:t>
      </w:r>
      <w:r>
        <w:rPr>
          <w:rFonts w:ascii="宋体" w:hAnsi="宋体"/>
          <w:sz w:val="28"/>
          <w:szCs w:val="28"/>
        </w:rPr>
        <w:t xml:space="preserve"> </w:t>
      </w:r>
      <w:r>
        <w:rPr>
          <w:rFonts w:hint="eastAsia" w:ascii="宋体" w:hAnsi="宋体"/>
          <w:sz w:val="28"/>
          <w:szCs w:val="28"/>
        </w:rPr>
        <w:t>争</w:t>
      </w:r>
      <w:r>
        <w:rPr>
          <w:rFonts w:ascii="宋体" w:hAnsi="宋体"/>
          <w:sz w:val="28"/>
          <w:szCs w:val="28"/>
        </w:rPr>
        <w:tab/>
      </w:r>
      <w:r>
        <w:rPr>
          <w:rFonts w:hint="eastAsia" w:ascii="宋体" w:hAnsi="宋体"/>
          <w:sz w:val="28"/>
          <w:szCs w:val="28"/>
        </w:rPr>
        <w:t xml:space="preserve">马 </w:t>
      </w:r>
      <w:r>
        <w:rPr>
          <w:rFonts w:ascii="宋体" w:hAnsi="宋体"/>
          <w:sz w:val="28"/>
          <w:szCs w:val="28"/>
        </w:rPr>
        <w:t xml:space="preserve"> </w:t>
      </w:r>
      <w:r>
        <w:rPr>
          <w:rFonts w:hint="eastAsia" w:ascii="宋体" w:hAnsi="宋体"/>
          <w:sz w:val="28"/>
          <w:szCs w:val="28"/>
        </w:rPr>
        <w:t>哲</w:t>
      </w:r>
      <w:r>
        <w:rPr>
          <w:rFonts w:ascii="宋体" w:hAnsi="宋体"/>
          <w:sz w:val="28"/>
          <w:szCs w:val="28"/>
        </w:rPr>
        <w:tab/>
      </w:r>
      <w:r>
        <w:rPr>
          <w:rFonts w:hint="eastAsia" w:ascii="宋体" w:hAnsi="宋体"/>
          <w:sz w:val="28"/>
          <w:szCs w:val="28"/>
        </w:rPr>
        <w:t>杨雅娟</w:t>
      </w:r>
      <w:r>
        <w:rPr>
          <w:rFonts w:ascii="宋体" w:hAnsi="宋体"/>
          <w:sz w:val="28"/>
          <w:szCs w:val="28"/>
        </w:rPr>
        <w:tab/>
      </w:r>
      <w:r>
        <w:rPr>
          <w:rFonts w:hint="eastAsia" w:ascii="宋体" w:hAnsi="宋体"/>
          <w:sz w:val="28"/>
          <w:szCs w:val="18"/>
        </w:rPr>
        <w:t xml:space="preserve">丁 </w:t>
      </w:r>
      <w:r>
        <w:rPr>
          <w:rFonts w:ascii="宋体" w:hAnsi="宋体"/>
          <w:sz w:val="28"/>
          <w:szCs w:val="18"/>
        </w:rPr>
        <w:t xml:space="preserve"> </w:t>
      </w:r>
      <w:r>
        <w:rPr>
          <w:rFonts w:hint="eastAsia" w:ascii="宋体" w:hAnsi="宋体"/>
          <w:sz w:val="28"/>
          <w:szCs w:val="18"/>
        </w:rPr>
        <w:t>霓</w:t>
      </w:r>
    </w:p>
    <w:p>
      <w:pPr>
        <w:ind w:left="1680"/>
        <w:rPr>
          <w:rFonts w:ascii="宋体" w:hAnsi="宋体"/>
          <w:sz w:val="28"/>
          <w:szCs w:val="18"/>
        </w:rPr>
      </w:pPr>
      <w:r>
        <w:rPr>
          <w:rFonts w:hint="eastAsia" w:ascii="宋体" w:hAnsi="宋体"/>
          <w:sz w:val="28"/>
          <w:szCs w:val="18"/>
        </w:rPr>
        <w:t xml:space="preserve">佟 </w:t>
      </w:r>
      <w:r>
        <w:rPr>
          <w:rFonts w:ascii="宋体" w:hAnsi="宋体"/>
          <w:sz w:val="28"/>
          <w:szCs w:val="18"/>
        </w:rPr>
        <w:t xml:space="preserve"> </w:t>
      </w:r>
      <w:r>
        <w:rPr>
          <w:rFonts w:hint="eastAsia" w:ascii="宋体" w:hAnsi="宋体"/>
          <w:sz w:val="28"/>
          <w:szCs w:val="18"/>
        </w:rPr>
        <w:t xml:space="preserve">磊 </w:t>
      </w:r>
      <w:r>
        <w:rPr>
          <w:rFonts w:ascii="宋体" w:hAnsi="宋体"/>
          <w:sz w:val="28"/>
          <w:szCs w:val="18"/>
        </w:rPr>
        <w:t xml:space="preserve">  </w:t>
      </w:r>
      <w:r>
        <w:rPr>
          <w:rFonts w:hint="eastAsia" w:ascii="宋体" w:hAnsi="宋体"/>
          <w:sz w:val="28"/>
          <w:szCs w:val="18"/>
        </w:rPr>
        <w:t>李  鑫</w:t>
      </w:r>
      <w:r>
        <w:rPr>
          <w:rFonts w:ascii="宋体" w:hAnsi="宋体"/>
          <w:sz w:val="28"/>
          <w:szCs w:val="18"/>
        </w:rPr>
        <w:tab/>
      </w:r>
      <w:r>
        <w:rPr>
          <w:rFonts w:hint="eastAsia" w:ascii="宋体" w:hAnsi="宋体"/>
          <w:sz w:val="28"/>
          <w:szCs w:val="18"/>
        </w:rPr>
        <w:t>杨  帆</w:t>
      </w:r>
      <w:r>
        <w:rPr>
          <w:rFonts w:ascii="宋体" w:hAnsi="宋体"/>
          <w:sz w:val="28"/>
          <w:szCs w:val="18"/>
        </w:rPr>
        <w:tab/>
      </w:r>
      <w:r>
        <w:rPr>
          <w:rFonts w:hint="eastAsia" w:ascii="宋体" w:hAnsi="宋体"/>
          <w:sz w:val="28"/>
          <w:szCs w:val="18"/>
        </w:rPr>
        <w:t>李  晖</w:t>
      </w:r>
      <w:r>
        <w:rPr>
          <w:rFonts w:ascii="宋体" w:hAnsi="宋体"/>
          <w:sz w:val="28"/>
          <w:szCs w:val="18"/>
        </w:rPr>
        <w:tab/>
      </w:r>
      <w:r>
        <w:rPr>
          <w:rFonts w:hint="eastAsia" w:ascii="宋体" w:hAnsi="宋体"/>
          <w:sz w:val="28"/>
          <w:szCs w:val="18"/>
        </w:rPr>
        <w:t xml:space="preserve">李  婧 </w:t>
      </w:r>
      <w:r>
        <w:rPr>
          <w:rFonts w:ascii="宋体" w:hAnsi="宋体"/>
          <w:sz w:val="28"/>
          <w:szCs w:val="18"/>
        </w:rPr>
        <w:t xml:space="preserve">  </w:t>
      </w:r>
    </w:p>
    <w:p>
      <w:pPr>
        <w:ind w:left="1680"/>
        <w:rPr>
          <w:rFonts w:ascii="宋体" w:hAnsi="宋体"/>
          <w:sz w:val="28"/>
          <w:szCs w:val="28"/>
        </w:rPr>
      </w:pPr>
      <w:r>
        <w:rPr>
          <w:rFonts w:hint="eastAsia" w:ascii="宋体" w:hAnsi="宋体"/>
          <w:sz w:val="28"/>
          <w:szCs w:val="18"/>
        </w:rPr>
        <w:t>吴中群</w:t>
      </w:r>
    </w:p>
    <w:p>
      <w:pPr>
        <w:widowControl/>
        <w:spacing w:line="240" w:lineRule="auto"/>
        <w:jc w:val="left"/>
        <w:rPr>
          <w:rFonts w:asciiTheme="minorHAnsi"/>
          <w:b/>
          <w:sz w:val="28"/>
          <w:szCs w:val="28"/>
          <w:lang w:val="zh-CN"/>
        </w:rPr>
      </w:pPr>
      <w:r>
        <w:rPr>
          <w:rFonts w:hint="eastAsia" w:ascii="宋体" w:hAnsi="宋体"/>
          <w:sz w:val="28"/>
          <w:szCs w:val="28"/>
        </w:rPr>
        <w:t>主要审查人：</w:t>
      </w:r>
      <w:r>
        <w:rPr>
          <w:bCs/>
          <w:sz w:val="28"/>
          <w:szCs w:val="28"/>
          <w:lang w:val="zh-CN"/>
        </w:rPr>
        <w:br w:type="page"/>
      </w:r>
    </w:p>
    <w:p>
      <w:pPr>
        <w:jc w:val="center"/>
        <w:rPr>
          <w:rFonts w:ascii="宋体" w:hAnsi="宋体"/>
          <w:b/>
          <w:spacing w:val="173"/>
          <w:sz w:val="36"/>
        </w:rPr>
      </w:pPr>
      <w:r>
        <w:rPr>
          <w:rFonts w:hint="eastAsia" w:ascii="宋体" w:hAnsi="宋体"/>
          <w:b/>
          <w:spacing w:val="173"/>
          <w:sz w:val="36"/>
        </w:rPr>
        <w:t>目次</w:t>
      </w:r>
    </w:p>
    <w:p>
      <w:pPr>
        <w:pStyle w:val="19"/>
        <w:tabs>
          <w:tab w:val="right" w:leader="dot" w:pos="8296"/>
        </w:tabs>
        <w:spacing w:line="360" w:lineRule="auto"/>
        <w:rPr>
          <w:rFonts w:ascii="宋体" w:hAnsi="宋体" w:cstheme="minorBidi"/>
          <w:b w:val="0"/>
          <w:bCs w:val="0"/>
          <w:caps w:val="0"/>
          <w:kern w:val="2"/>
        </w:rPr>
      </w:pPr>
      <w:r>
        <w:rPr>
          <w:rFonts w:ascii="宋体" w:hAnsi="宋体"/>
          <w:b w:val="0"/>
          <w:bCs w:val="0"/>
          <w:caps w:val="0"/>
          <w:lang w:val="zh-CN"/>
        </w:rPr>
        <w:fldChar w:fldCharType="begin"/>
      </w:r>
      <w:r>
        <w:rPr>
          <w:rFonts w:ascii="宋体" w:hAnsi="宋体"/>
          <w:b w:val="0"/>
          <w:bCs w:val="0"/>
          <w:caps w:val="0"/>
          <w:lang w:val="zh-CN"/>
        </w:rPr>
        <w:instrText xml:space="preserve"> TOC \o "1-2" \h \z \t "条文,3" </w:instrText>
      </w:r>
      <w:r>
        <w:rPr>
          <w:rFonts w:ascii="宋体" w:hAnsi="宋体"/>
          <w:b w:val="0"/>
          <w:bCs w:val="0"/>
          <w:caps w:val="0"/>
          <w:lang w:val="zh-CN"/>
        </w:rPr>
        <w:fldChar w:fldCharType="separate"/>
      </w:r>
      <w:r>
        <w:fldChar w:fldCharType="begin"/>
      </w:r>
      <w:r>
        <w:instrText xml:space="preserve"> HYPERLINK \l "_Toc150176844" </w:instrText>
      </w:r>
      <w:r>
        <w:fldChar w:fldCharType="separate"/>
      </w:r>
      <w:r>
        <w:rPr>
          <w:rStyle w:val="32"/>
          <w:rFonts w:ascii="宋体" w:hAnsi="宋体"/>
          <w:b w:val="0"/>
          <w:color w:val="auto"/>
        </w:rPr>
        <w:t>1  总则</w:t>
      </w:r>
      <w:r>
        <w:rPr>
          <w:rFonts w:ascii="宋体" w:hAnsi="宋体"/>
          <w:b w:val="0"/>
        </w:rPr>
        <w:tab/>
      </w:r>
      <w:r>
        <w:rPr>
          <w:rFonts w:ascii="宋体" w:hAnsi="宋体"/>
          <w:b w:val="0"/>
        </w:rPr>
        <w:fldChar w:fldCharType="begin"/>
      </w:r>
      <w:r>
        <w:rPr>
          <w:rFonts w:ascii="宋体" w:hAnsi="宋体"/>
          <w:b w:val="0"/>
        </w:rPr>
        <w:instrText xml:space="preserve"> PAGEREF _Toc150176844 \h </w:instrText>
      </w:r>
      <w:r>
        <w:rPr>
          <w:rFonts w:ascii="宋体" w:hAnsi="宋体"/>
          <w:b w:val="0"/>
        </w:rPr>
        <w:fldChar w:fldCharType="separate"/>
      </w:r>
      <w:r>
        <w:rPr>
          <w:rFonts w:ascii="宋体" w:hAnsi="宋体"/>
          <w:b w:val="0"/>
        </w:rPr>
        <w:t>1</w:t>
      </w:r>
      <w:r>
        <w:rPr>
          <w:rFonts w:ascii="宋体" w:hAnsi="宋体"/>
          <w:b w:val="0"/>
        </w:rPr>
        <w:fldChar w:fldCharType="end"/>
      </w:r>
      <w:r>
        <w:rPr>
          <w:rFonts w:ascii="宋体" w:hAnsi="宋体"/>
          <w:b w:val="0"/>
        </w:rPr>
        <w:fldChar w:fldCharType="end"/>
      </w:r>
    </w:p>
    <w:p>
      <w:pPr>
        <w:pStyle w:val="19"/>
        <w:tabs>
          <w:tab w:val="right" w:leader="dot" w:pos="8296"/>
        </w:tabs>
        <w:spacing w:line="360" w:lineRule="auto"/>
        <w:rPr>
          <w:rFonts w:ascii="宋体" w:hAnsi="宋体" w:cstheme="minorBidi"/>
          <w:b w:val="0"/>
          <w:bCs w:val="0"/>
          <w:caps w:val="0"/>
          <w:kern w:val="2"/>
        </w:rPr>
      </w:pPr>
      <w:r>
        <w:fldChar w:fldCharType="begin"/>
      </w:r>
      <w:r>
        <w:instrText xml:space="preserve"> HYPERLINK \l "_Toc150176845" </w:instrText>
      </w:r>
      <w:r>
        <w:fldChar w:fldCharType="separate"/>
      </w:r>
      <w:r>
        <w:rPr>
          <w:rStyle w:val="32"/>
          <w:rFonts w:ascii="宋体" w:hAnsi="宋体"/>
          <w:b w:val="0"/>
          <w:color w:val="auto"/>
        </w:rPr>
        <w:t>2  术语</w:t>
      </w:r>
      <w:r>
        <w:rPr>
          <w:rFonts w:ascii="宋体" w:hAnsi="宋体"/>
          <w:b w:val="0"/>
        </w:rPr>
        <w:tab/>
      </w:r>
      <w:r>
        <w:rPr>
          <w:rFonts w:ascii="宋体" w:hAnsi="宋体"/>
          <w:b w:val="0"/>
        </w:rPr>
        <w:fldChar w:fldCharType="begin"/>
      </w:r>
      <w:r>
        <w:rPr>
          <w:rFonts w:ascii="宋体" w:hAnsi="宋体"/>
          <w:b w:val="0"/>
        </w:rPr>
        <w:instrText xml:space="preserve"> PAGEREF _Toc150176845 \h </w:instrText>
      </w:r>
      <w:r>
        <w:rPr>
          <w:rFonts w:ascii="宋体" w:hAnsi="宋体"/>
          <w:b w:val="0"/>
        </w:rPr>
        <w:fldChar w:fldCharType="separate"/>
      </w:r>
      <w:r>
        <w:rPr>
          <w:rFonts w:ascii="宋体" w:hAnsi="宋体"/>
          <w:b w:val="0"/>
        </w:rPr>
        <w:t>2</w:t>
      </w:r>
      <w:r>
        <w:rPr>
          <w:rFonts w:ascii="宋体" w:hAnsi="宋体"/>
          <w:b w:val="0"/>
        </w:rPr>
        <w:fldChar w:fldCharType="end"/>
      </w:r>
      <w:r>
        <w:rPr>
          <w:rFonts w:ascii="宋体" w:hAnsi="宋体"/>
          <w:b w:val="0"/>
        </w:rPr>
        <w:fldChar w:fldCharType="end"/>
      </w:r>
    </w:p>
    <w:p>
      <w:pPr>
        <w:pStyle w:val="19"/>
        <w:tabs>
          <w:tab w:val="right" w:leader="dot" w:pos="8296"/>
        </w:tabs>
        <w:spacing w:line="360" w:lineRule="auto"/>
        <w:rPr>
          <w:rFonts w:ascii="宋体" w:hAnsi="宋体" w:cstheme="minorBidi"/>
          <w:b w:val="0"/>
          <w:bCs w:val="0"/>
          <w:caps w:val="0"/>
          <w:kern w:val="2"/>
        </w:rPr>
      </w:pPr>
      <w:r>
        <w:fldChar w:fldCharType="begin"/>
      </w:r>
      <w:r>
        <w:instrText xml:space="preserve"> HYPERLINK \l "_Toc150176846" </w:instrText>
      </w:r>
      <w:r>
        <w:fldChar w:fldCharType="separate"/>
      </w:r>
      <w:r>
        <w:rPr>
          <w:rStyle w:val="32"/>
          <w:rFonts w:ascii="宋体" w:hAnsi="宋体"/>
          <w:b w:val="0"/>
          <w:color w:val="auto"/>
        </w:rPr>
        <w:t>3  基本规定</w:t>
      </w:r>
      <w:r>
        <w:rPr>
          <w:rFonts w:ascii="宋体" w:hAnsi="宋体"/>
          <w:b w:val="0"/>
        </w:rPr>
        <w:tab/>
      </w:r>
      <w:r>
        <w:rPr>
          <w:rFonts w:ascii="宋体" w:hAnsi="宋体"/>
          <w:b w:val="0"/>
        </w:rPr>
        <w:fldChar w:fldCharType="begin"/>
      </w:r>
      <w:r>
        <w:rPr>
          <w:rFonts w:ascii="宋体" w:hAnsi="宋体"/>
          <w:b w:val="0"/>
        </w:rPr>
        <w:instrText xml:space="preserve"> PAGEREF _Toc150176846 \h </w:instrText>
      </w:r>
      <w:r>
        <w:rPr>
          <w:rFonts w:ascii="宋体" w:hAnsi="宋体"/>
          <w:b w:val="0"/>
        </w:rPr>
        <w:fldChar w:fldCharType="separate"/>
      </w:r>
      <w:r>
        <w:rPr>
          <w:rFonts w:ascii="宋体" w:hAnsi="宋体"/>
          <w:b w:val="0"/>
        </w:rPr>
        <w:t>4</w:t>
      </w:r>
      <w:r>
        <w:rPr>
          <w:rFonts w:ascii="宋体" w:hAnsi="宋体"/>
          <w:b w:val="0"/>
        </w:rPr>
        <w:fldChar w:fldCharType="end"/>
      </w:r>
      <w:r>
        <w:rPr>
          <w:rFonts w:ascii="宋体" w:hAnsi="宋体"/>
          <w:b w:val="0"/>
        </w:rPr>
        <w:fldChar w:fldCharType="end"/>
      </w:r>
    </w:p>
    <w:p>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"_Toc150176847" </w:instrText>
      </w:r>
      <w:r>
        <w:fldChar w:fldCharType="separate"/>
      </w:r>
      <w:r>
        <w:rPr>
          <w:rStyle w:val="32"/>
          <w:rFonts w:ascii="宋体" w:hAnsi="宋体"/>
          <w:b w:val="0"/>
          <w:color w:val="auto"/>
          <w:sz w:val="24"/>
          <w:szCs w:val="24"/>
        </w:rPr>
        <w:t>3.1 一般规定</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_Toc150176847 \h </w:instrText>
      </w:r>
      <w:r>
        <w:rPr>
          <w:rFonts w:ascii="宋体" w:hAnsi="宋体"/>
          <w:b w:val="0"/>
          <w:sz w:val="24"/>
          <w:szCs w:val="24"/>
        </w:rPr>
        <w:fldChar w:fldCharType="separate"/>
      </w:r>
      <w:r>
        <w:rPr>
          <w:rFonts w:ascii="宋体" w:hAnsi="宋体"/>
          <w:b w:val="0"/>
          <w:sz w:val="24"/>
          <w:szCs w:val="24"/>
        </w:rPr>
        <w:t>4</w:t>
      </w:r>
      <w:r>
        <w:rPr>
          <w:rFonts w:ascii="宋体" w:hAnsi="宋体"/>
          <w:b w:val="0"/>
          <w:sz w:val="24"/>
          <w:szCs w:val="24"/>
        </w:rPr>
        <w:fldChar w:fldCharType="end"/>
      </w:r>
      <w:r>
        <w:rPr>
          <w:rFonts w:ascii="宋体" w:hAnsi="宋体"/>
          <w:b w:val="0"/>
          <w:sz w:val="24"/>
          <w:szCs w:val="24"/>
        </w:rPr>
        <w:fldChar w:fldCharType="end"/>
      </w:r>
    </w:p>
    <w:p>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"_Toc150176848" </w:instrText>
      </w:r>
      <w:r>
        <w:fldChar w:fldCharType="separate"/>
      </w:r>
      <w:r>
        <w:rPr>
          <w:rStyle w:val="32"/>
          <w:rFonts w:ascii="宋体" w:hAnsi="宋体"/>
          <w:b w:val="0"/>
          <w:color w:val="auto"/>
          <w:sz w:val="24"/>
          <w:szCs w:val="24"/>
        </w:rPr>
        <w:t>3.2 价值分级</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_Toc150176848 \h </w:instrText>
      </w:r>
      <w:r>
        <w:rPr>
          <w:rFonts w:ascii="宋体" w:hAnsi="宋体"/>
          <w:b w:val="0"/>
          <w:sz w:val="24"/>
          <w:szCs w:val="24"/>
        </w:rPr>
        <w:fldChar w:fldCharType="separate"/>
      </w:r>
      <w:r>
        <w:rPr>
          <w:rFonts w:ascii="宋体" w:hAnsi="宋体"/>
          <w:b w:val="0"/>
          <w:sz w:val="24"/>
          <w:szCs w:val="24"/>
        </w:rPr>
        <w:t>4</w:t>
      </w:r>
      <w:r>
        <w:rPr>
          <w:rFonts w:ascii="宋体" w:hAnsi="宋体"/>
          <w:b w:val="0"/>
          <w:sz w:val="24"/>
          <w:szCs w:val="24"/>
        </w:rPr>
        <w:fldChar w:fldCharType="end"/>
      </w:r>
      <w:r>
        <w:rPr>
          <w:rFonts w:ascii="宋体" w:hAnsi="宋体"/>
          <w:b w:val="0"/>
          <w:sz w:val="24"/>
          <w:szCs w:val="24"/>
        </w:rPr>
        <w:fldChar w:fldCharType="end"/>
      </w:r>
    </w:p>
    <w:p>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"_Toc150176849" </w:instrText>
      </w:r>
      <w:r>
        <w:fldChar w:fldCharType="separate"/>
      </w:r>
      <w:r>
        <w:rPr>
          <w:rStyle w:val="32"/>
          <w:rFonts w:ascii="宋体" w:hAnsi="宋体"/>
          <w:b w:val="0"/>
          <w:color w:val="auto"/>
          <w:sz w:val="24"/>
          <w:szCs w:val="24"/>
        </w:rPr>
        <w:t>3.3 安全与经济</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_Toc150176849 \h </w:instrText>
      </w:r>
      <w:r>
        <w:rPr>
          <w:rFonts w:ascii="宋体" w:hAnsi="宋体"/>
          <w:b w:val="0"/>
          <w:sz w:val="24"/>
          <w:szCs w:val="24"/>
        </w:rPr>
        <w:fldChar w:fldCharType="separate"/>
      </w:r>
      <w:r>
        <w:rPr>
          <w:rFonts w:ascii="宋体" w:hAnsi="宋体"/>
          <w:b w:val="0"/>
          <w:sz w:val="24"/>
          <w:szCs w:val="24"/>
        </w:rPr>
        <w:t>7</w:t>
      </w:r>
      <w:r>
        <w:rPr>
          <w:rFonts w:ascii="宋体" w:hAnsi="宋体"/>
          <w:b w:val="0"/>
          <w:sz w:val="24"/>
          <w:szCs w:val="24"/>
        </w:rPr>
        <w:fldChar w:fldCharType="end"/>
      </w:r>
      <w:r>
        <w:rPr>
          <w:rFonts w:ascii="宋体" w:hAnsi="宋体"/>
          <w:b w:val="0"/>
          <w:sz w:val="24"/>
          <w:szCs w:val="24"/>
        </w:rPr>
        <w:fldChar w:fldCharType="end"/>
      </w:r>
    </w:p>
    <w:p>
      <w:pPr>
        <w:pStyle w:val="19"/>
        <w:tabs>
          <w:tab w:val="right" w:leader="dot" w:pos="8296"/>
        </w:tabs>
        <w:spacing w:line="360" w:lineRule="auto"/>
        <w:rPr>
          <w:rFonts w:ascii="宋体" w:hAnsi="宋体" w:cstheme="minorBidi"/>
          <w:b w:val="0"/>
          <w:bCs w:val="0"/>
          <w:caps w:val="0"/>
          <w:kern w:val="2"/>
        </w:rPr>
      </w:pPr>
      <w:r>
        <w:fldChar w:fldCharType="begin"/>
      </w:r>
      <w:r>
        <w:instrText xml:space="preserve"> HYPERLINK \l "_Toc150176850" </w:instrText>
      </w:r>
      <w:r>
        <w:fldChar w:fldCharType="separate"/>
      </w:r>
      <w:r>
        <w:rPr>
          <w:rStyle w:val="32"/>
          <w:rFonts w:ascii="宋体" w:hAnsi="宋体"/>
          <w:b w:val="0"/>
          <w:color w:val="auto"/>
        </w:rPr>
        <w:t>4  评估与策划</w:t>
      </w:r>
      <w:r>
        <w:rPr>
          <w:rFonts w:ascii="宋体" w:hAnsi="宋体"/>
          <w:b w:val="0"/>
        </w:rPr>
        <w:tab/>
      </w:r>
      <w:r>
        <w:rPr>
          <w:rFonts w:ascii="宋体" w:hAnsi="宋体"/>
          <w:b w:val="0"/>
        </w:rPr>
        <w:fldChar w:fldCharType="begin"/>
      </w:r>
      <w:r>
        <w:rPr>
          <w:rFonts w:ascii="宋体" w:hAnsi="宋体"/>
          <w:b w:val="0"/>
        </w:rPr>
        <w:instrText xml:space="preserve"> PAGEREF _Toc150176850 \h </w:instrText>
      </w:r>
      <w:r>
        <w:rPr>
          <w:rFonts w:ascii="宋体" w:hAnsi="宋体"/>
          <w:b w:val="0"/>
        </w:rPr>
        <w:fldChar w:fldCharType="separate"/>
      </w:r>
      <w:r>
        <w:rPr>
          <w:rFonts w:ascii="宋体" w:hAnsi="宋体"/>
          <w:b w:val="0"/>
        </w:rPr>
        <w:t>9</w:t>
      </w:r>
      <w:r>
        <w:rPr>
          <w:rFonts w:ascii="宋体" w:hAnsi="宋体"/>
          <w:b w:val="0"/>
        </w:rPr>
        <w:fldChar w:fldCharType="end"/>
      </w:r>
      <w:r>
        <w:rPr>
          <w:rFonts w:ascii="宋体" w:hAnsi="宋体"/>
          <w:b w:val="0"/>
        </w:rPr>
        <w:fldChar w:fldCharType="end"/>
      </w:r>
    </w:p>
    <w:p>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"_Toc150176851" </w:instrText>
      </w:r>
      <w:r>
        <w:fldChar w:fldCharType="separate"/>
      </w:r>
      <w:r>
        <w:rPr>
          <w:rStyle w:val="32"/>
          <w:rFonts w:ascii="宋体" w:hAnsi="宋体"/>
          <w:b w:val="0"/>
          <w:color w:val="auto"/>
          <w:sz w:val="24"/>
          <w:szCs w:val="24"/>
        </w:rPr>
        <w:t>4.1 评估</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_Toc150176851 \h </w:instrText>
      </w:r>
      <w:r>
        <w:rPr>
          <w:rFonts w:ascii="宋体" w:hAnsi="宋体"/>
          <w:b w:val="0"/>
          <w:sz w:val="24"/>
          <w:szCs w:val="24"/>
        </w:rPr>
        <w:fldChar w:fldCharType="separate"/>
      </w:r>
      <w:r>
        <w:rPr>
          <w:rFonts w:ascii="宋体" w:hAnsi="宋体"/>
          <w:b w:val="0"/>
          <w:sz w:val="24"/>
          <w:szCs w:val="24"/>
        </w:rPr>
        <w:t>9</w:t>
      </w:r>
      <w:r>
        <w:rPr>
          <w:rFonts w:ascii="宋体" w:hAnsi="宋体"/>
          <w:b w:val="0"/>
          <w:sz w:val="24"/>
          <w:szCs w:val="24"/>
        </w:rPr>
        <w:fldChar w:fldCharType="end"/>
      </w:r>
      <w:r>
        <w:rPr>
          <w:rFonts w:ascii="宋体" w:hAnsi="宋体"/>
          <w:b w:val="0"/>
          <w:sz w:val="24"/>
          <w:szCs w:val="24"/>
        </w:rPr>
        <w:fldChar w:fldCharType="end"/>
      </w:r>
    </w:p>
    <w:p>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"_Toc150176852" </w:instrText>
      </w:r>
      <w:r>
        <w:fldChar w:fldCharType="separate"/>
      </w:r>
      <w:r>
        <w:rPr>
          <w:rStyle w:val="32"/>
          <w:rFonts w:ascii="宋体" w:hAnsi="宋体"/>
          <w:b w:val="0"/>
          <w:color w:val="auto"/>
          <w:sz w:val="24"/>
          <w:szCs w:val="24"/>
        </w:rPr>
        <w:t>4.2 策划</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_Toc150176852 \h </w:instrText>
      </w:r>
      <w:r>
        <w:rPr>
          <w:rFonts w:ascii="宋体" w:hAnsi="宋体"/>
          <w:b w:val="0"/>
          <w:sz w:val="24"/>
          <w:szCs w:val="24"/>
        </w:rPr>
        <w:fldChar w:fldCharType="separate"/>
      </w:r>
      <w:r>
        <w:rPr>
          <w:rFonts w:ascii="宋体" w:hAnsi="宋体"/>
          <w:b w:val="0"/>
          <w:sz w:val="24"/>
          <w:szCs w:val="24"/>
        </w:rPr>
        <w:t>10</w:t>
      </w:r>
      <w:r>
        <w:rPr>
          <w:rFonts w:ascii="宋体" w:hAnsi="宋体"/>
          <w:b w:val="0"/>
          <w:sz w:val="24"/>
          <w:szCs w:val="24"/>
        </w:rPr>
        <w:fldChar w:fldCharType="end"/>
      </w:r>
      <w:r>
        <w:rPr>
          <w:rFonts w:ascii="宋体" w:hAnsi="宋体"/>
          <w:b w:val="0"/>
          <w:sz w:val="24"/>
          <w:szCs w:val="24"/>
        </w:rPr>
        <w:fldChar w:fldCharType="end"/>
      </w:r>
    </w:p>
    <w:p>
      <w:pPr>
        <w:pStyle w:val="19"/>
        <w:tabs>
          <w:tab w:val="right" w:leader="dot" w:pos="8296"/>
        </w:tabs>
        <w:spacing w:line="360" w:lineRule="auto"/>
        <w:rPr>
          <w:rFonts w:ascii="宋体" w:hAnsi="宋体" w:cstheme="minorBidi"/>
          <w:b w:val="0"/>
          <w:bCs w:val="0"/>
          <w:caps w:val="0"/>
          <w:kern w:val="2"/>
        </w:rPr>
      </w:pPr>
      <w:r>
        <w:fldChar w:fldCharType="begin"/>
      </w:r>
      <w:r>
        <w:instrText xml:space="preserve"> HYPERLINK \l "_Toc150176853" </w:instrText>
      </w:r>
      <w:r>
        <w:fldChar w:fldCharType="separate"/>
      </w:r>
      <w:r>
        <w:rPr>
          <w:rStyle w:val="32"/>
          <w:rFonts w:ascii="宋体" w:hAnsi="宋体"/>
          <w:b w:val="0"/>
          <w:color w:val="auto"/>
        </w:rPr>
        <w:t>5  建筑设计</w:t>
      </w:r>
      <w:r>
        <w:rPr>
          <w:rFonts w:ascii="宋体" w:hAnsi="宋体"/>
          <w:b w:val="0"/>
        </w:rPr>
        <w:tab/>
      </w:r>
      <w:r>
        <w:rPr>
          <w:rFonts w:ascii="宋体" w:hAnsi="宋体"/>
          <w:b w:val="0"/>
        </w:rPr>
        <w:fldChar w:fldCharType="begin"/>
      </w:r>
      <w:r>
        <w:rPr>
          <w:rFonts w:ascii="宋体" w:hAnsi="宋体"/>
          <w:b w:val="0"/>
        </w:rPr>
        <w:instrText xml:space="preserve"> PAGEREF _Toc150176853 \h </w:instrText>
      </w:r>
      <w:r>
        <w:rPr>
          <w:rFonts w:ascii="宋体" w:hAnsi="宋体"/>
          <w:b w:val="0"/>
        </w:rPr>
        <w:fldChar w:fldCharType="separate"/>
      </w:r>
      <w:r>
        <w:rPr>
          <w:rFonts w:ascii="宋体" w:hAnsi="宋体"/>
          <w:b w:val="0"/>
        </w:rPr>
        <w:t>12</w:t>
      </w:r>
      <w:r>
        <w:rPr>
          <w:rFonts w:ascii="宋体" w:hAnsi="宋体"/>
          <w:b w:val="0"/>
        </w:rPr>
        <w:fldChar w:fldCharType="end"/>
      </w:r>
      <w:r>
        <w:rPr>
          <w:rFonts w:ascii="宋体" w:hAnsi="宋体"/>
          <w:b w:val="0"/>
        </w:rPr>
        <w:fldChar w:fldCharType="end"/>
      </w:r>
    </w:p>
    <w:p>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"_Toc150176854" </w:instrText>
      </w:r>
      <w:r>
        <w:fldChar w:fldCharType="separate"/>
      </w:r>
      <w:r>
        <w:rPr>
          <w:rStyle w:val="32"/>
          <w:rFonts w:ascii="宋体" w:hAnsi="宋体"/>
          <w:b w:val="0"/>
          <w:color w:val="auto"/>
          <w:sz w:val="24"/>
          <w:szCs w:val="24"/>
        </w:rPr>
        <w:t>5.1 一般规定</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_Toc150176854 \h </w:instrText>
      </w:r>
      <w:r>
        <w:rPr>
          <w:rFonts w:ascii="宋体" w:hAnsi="宋体"/>
          <w:b w:val="0"/>
          <w:sz w:val="24"/>
          <w:szCs w:val="24"/>
        </w:rPr>
        <w:fldChar w:fldCharType="separate"/>
      </w:r>
      <w:r>
        <w:rPr>
          <w:rFonts w:ascii="宋体" w:hAnsi="宋体"/>
          <w:b w:val="0"/>
          <w:sz w:val="24"/>
          <w:szCs w:val="24"/>
        </w:rPr>
        <w:t>12</w:t>
      </w:r>
      <w:r>
        <w:rPr>
          <w:rFonts w:ascii="宋体" w:hAnsi="宋体"/>
          <w:b w:val="0"/>
          <w:sz w:val="24"/>
          <w:szCs w:val="24"/>
        </w:rPr>
        <w:fldChar w:fldCharType="end"/>
      </w:r>
      <w:r>
        <w:rPr>
          <w:rFonts w:ascii="宋体" w:hAnsi="宋体"/>
          <w:b w:val="0"/>
          <w:sz w:val="24"/>
          <w:szCs w:val="24"/>
        </w:rPr>
        <w:fldChar w:fldCharType="end"/>
      </w:r>
    </w:p>
    <w:p>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"_Toc150176855" </w:instrText>
      </w:r>
      <w:r>
        <w:fldChar w:fldCharType="separate"/>
      </w:r>
      <w:r>
        <w:rPr>
          <w:rStyle w:val="32"/>
          <w:rFonts w:ascii="宋体" w:hAnsi="宋体"/>
          <w:b w:val="0"/>
          <w:color w:val="auto"/>
          <w:sz w:val="24"/>
          <w:szCs w:val="24"/>
        </w:rPr>
        <w:t>5.2 规模及指标</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_Toc150176855 \h </w:instrText>
      </w:r>
      <w:r>
        <w:rPr>
          <w:rFonts w:ascii="宋体" w:hAnsi="宋体"/>
          <w:b w:val="0"/>
          <w:sz w:val="24"/>
          <w:szCs w:val="24"/>
        </w:rPr>
        <w:fldChar w:fldCharType="separate"/>
      </w:r>
      <w:r>
        <w:rPr>
          <w:rFonts w:ascii="宋体" w:hAnsi="宋体"/>
          <w:b w:val="0"/>
          <w:sz w:val="24"/>
          <w:szCs w:val="24"/>
        </w:rPr>
        <w:t>12</w:t>
      </w:r>
      <w:r>
        <w:rPr>
          <w:rFonts w:ascii="宋体" w:hAnsi="宋体"/>
          <w:b w:val="0"/>
          <w:sz w:val="24"/>
          <w:szCs w:val="24"/>
        </w:rPr>
        <w:fldChar w:fldCharType="end"/>
      </w:r>
      <w:r>
        <w:rPr>
          <w:rFonts w:ascii="宋体" w:hAnsi="宋体"/>
          <w:b w:val="0"/>
          <w:sz w:val="24"/>
          <w:szCs w:val="24"/>
        </w:rPr>
        <w:fldChar w:fldCharType="end"/>
      </w:r>
    </w:p>
    <w:p>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"_Toc150176856" </w:instrText>
      </w:r>
      <w:r>
        <w:fldChar w:fldCharType="separate"/>
      </w:r>
      <w:r>
        <w:rPr>
          <w:rStyle w:val="32"/>
          <w:rFonts w:ascii="宋体" w:hAnsi="宋体"/>
          <w:b w:val="0"/>
          <w:color w:val="auto"/>
          <w:sz w:val="24"/>
          <w:szCs w:val="24"/>
        </w:rPr>
        <w:t>5.3 场地与总平面</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_Toc150176856 \h </w:instrText>
      </w:r>
      <w:r>
        <w:rPr>
          <w:rFonts w:ascii="宋体" w:hAnsi="宋体"/>
          <w:b w:val="0"/>
          <w:sz w:val="24"/>
          <w:szCs w:val="24"/>
        </w:rPr>
        <w:fldChar w:fldCharType="separate"/>
      </w:r>
      <w:r>
        <w:rPr>
          <w:rFonts w:ascii="宋体" w:hAnsi="宋体"/>
          <w:b w:val="0"/>
          <w:sz w:val="24"/>
          <w:szCs w:val="24"/>
        </w:rPr>
        <w:t>13</w:t>
      </w:r>
      <w:r>
        <w:rPr>
          <w:rFonts w:ascii="宋体" w:hAnsi="宋体"/>
          <w:b w:val="0"/>
          <w:sz w:val="24"/>
          <w:szCs w:val="24"/>
        </w:rPr>
        <w:fldChar w:fldCharType="end"/>
      </w:r>
      <w:r>
        <w:rPr>
          <w:rFonts w:ascii="宋体" w:hAnsi="宋体"/>
          <w:b w:val="0"/>
          <w:sz w:val="24"/>
          <w:szCs w:val="24"/>
        </w:rPr>
        <w:fldChar w:fldCharType="end"/>
      </w:r>
    </w:p>
    <w:p>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"_Toc150176857" </w:instrText>
      </w:r>
      <w:r>
        <w:fldChar w:fldCharType="separate"/>
      </w:r>
      <w:r>
        <w:rPr>
          <w:rStyle w:val="32"/>
          <w:rFonts w:ascii="宋体" w:hAnsi="宋体"/>
          <w:b w:val="0"/>
          <w:color w:val="auto"/>
          <w:sz w:val="24"/>
          <w:szCs w:val="24"/>
        </w:rPr>
        <w:t>5.4 建筑风貌</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_Toc150176857 \h </w:instrText>
      </w:r>
      <w:r>
        <w:rPr>
          <w:rFonts w:ascii="宋体" w:hAnsi="宋体"/>
          <w:b w:val="0"/>
          <w:sz w:val="24"/>
          <w:szCs w:val="24"/>
        </w:rPr>
        <w:fldChar w:fldCharType="separate"/>
      </w:r>
      <w:r>
        <w:rPr>
          <w:rFonts w:ascii="宋体" w:hAnsi="宋体"/>
          <w:b w:val="0"/>
          <w:sz w:val="24"/>
          <w:szCs w:val="24"/>
        </w:rPr>
        <w:t>14</w:t>
      </w:r>
      <w:r>
        <w:rPr>
          <w:rFonts w:ascii="宋体" w:hAnsi="宋体"/>
          <w:b w:val="0"/>
          <w:sz w:val="24"/>
          <w:szCs w:val="24"/>
        </w:rPr>
        <w:fldChar w:fldCharType="end"/>
      </w:r>
      <w:r>
        <w:rPr>
          <w:rFonts w:ascii="宋体" w:hAnsi="宋体"/>
          <w:b w:val="0"/>
          <w:sz w:val="24"/>
          <w:szCs w:val="24"/>
        </w:rPr>
        <w:fldChar w:fldCharType="end"/>
      </w:r>
    </w:p>
    <w:p>
      <w:pPr>
        <w:pStyle w:val="19"/>
        <w:tabs>
          <w:tab w:val="right" w:leader="dot" w:pos="8296"/>
        </w:tabs>
        <w:spacing w:line="360" w:lineRule="auto"/>
        <w:rPr>
          <w:rFonts w:ascii="宋体" w:hAnsi="宋体" w:cstheme="minorBidi"/>
          <w:b w:val="0"/>
          <w:bCs w:val="0"/>
          <w:caps w:val="0"/>
          <w:kern w:val="2"/>
        </w:rPr>
      </w:pPr>
      <w:r>
        <w:fldChar w:fldCharType="begin"/>
      </w:r>
      <w:r>
        <w:instrText xml:space="preserve"> HYPERLINK \l "_Toc150176858" </w:instrText>
      </w:r>
      <w:r>
        <w:fldChar w:fldCharType="separate"/>
      </w:r>
      <w:r>
        <w:rPr>
          <w:rStyle w:val="32"/>
          <w:rFonts w:ascii="宋体" w:hAnsi="宋体"/>
          <w:b w:val="0"/>
          <w:color w:val="auto"/>
        </w:rPr>
        <w:t>6  结构设计</w:t>
      </w:r>
      <w:r>
        <w:rPr>
          <w:rFonts w:ascii="宋体" w:hAnsi="宋体"/>
          <w:b w:val="0"/>
        </w:rPr>
        <w:tab/>
      </w:r>
      <w:r>
        <w:rPr>
          <w:rFonts w:ascii="宋体" w:hAnsi="宋体"/>
          <w:b w:val="0"/>
        </w:rPr>
        <w:fldChar w:fldCharType="begin"/>
      </w:r>
      <w:r>
        <w:rPr>
          <w:rFonts w:ascii="宋体" w:hAnsi="宋体"/>
          <w:b w:val="0"/>
        </w:rPr>
        <w:instrText xml:space="preserve"> PAGEREF _Toc150176858 \h </w:instrText>
      </w:r>
      <w:r>
        <w:rPr>
          <w:rFonts w:ascii="宋体" w:hAnsi="宋体"/>
          <w:b w:val="0"/>
        </w:rPr>
        <w:fldChar w:fldCharType="separate"/>
      </w:r>
      <w:r>
        <w:rPr>
          <w:rFonts w:ascii="宋体" w:hAnsi="宋体"/>
          <w:b w:val="0"/>
        </w:rPr>
        <w:t>16</w:t>
      </w:r>
      <w:r>
        <w:rPr>
          <w:rFonts w:ascii="宋体" w:hAnsi="宋体"/>
          <w:b w:val="0"/>
        </w:rPr>
        <w:fldChar w:fldCharType="end"/>
      </w:r>
      <w:r>
        <w:rPr>
          <w:rFonts w:ascii="宋体" w:hAnsi="宋体"/>
          <w:b w:val="0"/>
        </w:rPr>
        <w:fldChar w:fldCharType="end"/>
      </w:r>
    </w:p>
    <w:p>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"_Toc150176859" </w:instrText>
      </w:r>
      <w:r>
        <w:fldChar w:fldCharType="separate"/>
      </w:r>
      <w:r>
        <w:rPr>
          <w:rStyle w:val="32"/>
          <w:rFonts w:ascii="宋体" w:hAnsi="宋体"/>
          <w:b w:val="0"/>
          <w:color w:val="auto"/>
          <w:sz w:val="24"/>
          <w:szCs w:val="24"/>
        </w:rPr>
        <w:t>6.1一般规定</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_Toc150176859 \h </w:instrText>
      </w:r>
      <w:r>
        <w:rPr>
          <w:rFonts w:ascii="宋体" w:hAnsi="宋体"/>
          <w:b w:val="0"/>
          <w:sz w:val="24"/>
          <w:szCs w:val="24"/>
        </w:rPr>
        <w:fldChar w:fldCharType="separate"/>
      </w:r>
      <w:r>
        <w:rPr>
          <w:rFonts w:ascii="宋体" w:hAnsi="宋体"/>
          <w:b w:val="0"/>
          <w:sz w:val="24"/>
          <w:szCs w:val="24"/>
        </w:rPr>
        <w:t>16</w:t>
      </w:r>
      <w:r>
        <w:rPr>
          <w:rFonts w:ascii="宋体" w:hAnsi="宋体"/>
          <w:b w:val="0"/>
          <w:sz w:val="24"/>
          <w:szCs w:val="24"/>
        </w:rPr>
        <w:fldChar w:fldCharType="end"/>
      </w:r>
      <w:r>
        <w:rPr>
          <w:rFonts w:ascii="宋体" w:hAnsi="宋体"/>
          <w:b w:val="0"/>
          <w:sz w:val="24"/>
          <w:szCs w:val="24"/>
        </w:rPr>
        <w:fldChar w:fldCharType="end"/>
      </w:r>
    </w:p>
    <w:p>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"_Toc150176860" </w:instrText>
      </w:r>
      <w:r>
        <w:fldChar w:fldCharType="separate"/>
      </w:r>
      <w:r>
        <w:rPr>
          <w:rStyle w:val="32"/>
          <w:rFonts w:ascii="宋体" w:hAnsi="宋体"/>
          <w:b w:val="0"/>
          <w:color w:val="auto"/>
          <w:sz w:val="24"/>
          <w:szCs w:val="24"/>
        </w:rPr>
        <w:t>6.2 结构检测鉴定</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_Toc150176860 \h </w:instrText>
      </w:r>
      <w:r>
        <w:rPr>
          <w:rFonts w:ascii="宋体" w:hAnsi="宋体"/>
          <w:b w:val="0"/>
          <w:sz w:val="24"/>
          <w:szCs w:val="24"/>
        </w:rPr>
        <w:fldChar w:fldCharType="separate"/>
      </w:r>
      <w:r>
        <w:rPr>
          <w:rFonts w:ascii="宋体" w:hAnsi="宋体"/>
          <w:b w:val="0"/>
          <w:sz w:val="24"/>
          <w:szCs w:val="24"/>
        </w:rPr>
        <w:t>16</w:t>
      </w:r>
      <w:r>
        <w:rPr>
          <w:rFonts w:ascii="宋体" w:hAnsi="宋体"/>
          <w:b w:val="0"/>
          <w:sz w:val="24"/>
          <w:szCs w:val="24"/>
        </w:rPr>
        <w:fldChar w:fldCharType="end"/>
      </w:r>
      <w:r>
        <w:rPr>
          <w:rFonts w:ascii="宋体" w:hAnsi="宋体"/>
          <w:b w:val="0"/>
          <w:sz w:val="24"/>
          <w:szCs w:val="24"/>
        </w:rPr>
        <w:fldChar w:fldCharType="end"/>
      </w:r>
    </w:p>
    <w:p>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"_Toc150176861" </w:instrText>
      </w:r>
      <w:r>
        <w:fldChar w:fldCharType="separate"/>
      </w:r>
      <w:r>
        <w:rPr>
          <w:rStyle w:val="32"/>
          <w:rFonts w:ascii="宋体" w:hAnsi="宋体"/>
          <w:b w:val="0"/>
          <w:color w:val="auto"/>
          <w:sz w:val="24"/>
          <w:szCs w:val="24"/>
        </w:rPr>
        <w:t>6.3 结构设计</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_Toc150176861 \h </w:instrText>
      </w:r>
      <w:r>
        <w:rPr>
          <w:rFonts w:ascii="宋体" w:hAnsi="宋体"/>
          <w:b w:val="0"/>
          <w:sz w:val="24"/>
          <w:szCs w:val="24"/>
        </w:rPr>
        <w:fldChar w:fldCharType="separate"/>
      </w:r>
      <w:r>
        <w:rPr>
          <w:rFonts w:ascii="宋体" w:hAnsi="宋体"/>
          <w:b w:val="0"/>
          <w:sz w:val="24"/>
          <w:szCs w:val="24"/>
        </w:rPr>
        <w:t>17</w:t>
      </w:r>
      <w:r>
        <w:rPr>
          <w:rFonts w:ascii="宋体" w:hAnsi="宋体"/>
          <w:b w:val="0"/>
          <w:sz w:val="24"/>
          <w:szCs w:val="24"/>
        </w:rPr>
        <w:fldChar w:fldCharType="end"/>
      </w:r>
      <w:r>
        <w:rPr>
          <w:rFonts w:ascii="宋体" w:hAnsi="宋体"/>
          <w:b w:val="0"/>
          <w:sz w:val="24"/>
          <w:szCs w:val="24"/>
        </w:rPr>
        <w:fldChar w:fldCharType="end"/>
      </w:r>
    </w:p>
    <w:p>
      <w:pPr>
        <w:pStyle w:val="19"/>
        <w:tabs>
          <w:tab w:val="right" w:leader="dot" w:pos="8296"/>
        </w:tabs>
        <w:spacing w:line="360" w:lineRule="auto"/>
        <w:rPr>
          <w:rFonts w:ascii="宋体" w:hAnsi="宋体" w:cstheme="minorBidi"/>
          <w:b w:val="0"/>
          <w:bCs w:val="0"/>
          <w:caps w:val="0"/>
          <w:kern w:val="2"/>
        </w:rPr>
      </w:pPr>
      <w:r>
        <w:fldChar w:fldCharType="begin"/>
      </w:r>
      <w:r>
        <w:instrText xml:space="preserve"> HYPERLINK \l "_Toc150176862" </w:instrText>
      </w:r>
      <w:r>
        <w:fldChar w:fldCharType="separate"/>
      </w:r>
      <w:r>
        <w:rPr>
          <w:rStyle w:val="32"/>
          <w:rFonts w:ascii="宋体" w:hAnsi="宋体"/>
          <w:b w:val="0"/>
          <w:color w:val="auto"/>
        </w:rPr>
        <w:t>7  机电设计</w:t>
      </w:r>
      <w:r>
        <w:rPr>
          <w:rFonts w:ascii="宋体" w:hAnsi="宋体"/>
          <w:b w:val="0"/>
        </w:rPr>
        <w:tab/>
      </w:r>
      <w:r>
        <w:rPr>
          <w:rFonts w:ascii="宋体" w:hAnsi="宋体"/>
          <w:b w:val="0"/>
        </w:rPr>
        <w:fldChar w:fldCharType="begin"/>
      </w:r>
      <w:r>
        <w:rPr>
          <w:rFonts w:ascii="宋体" w:hAnsi="宋体"/>
          <w:b w:val="0"/>
        </w:rPr>
        <w:instrText xml:space="preserve"> PAGEREF _Toc150176862 \h </w:instrText>
      </w:r>
      <w:r>
        <w:rPr>
          <w:rFonts w:ascii="宋体" w:hAnsi="宋体"/>
          <w:b w:val="0"/>
        </w:rPr>
        <w:fldChar w:fldCharType="separate"/>
      </w:r>
      <w:r>
        <w:rPr>
          <w:rFonts w:ascii="宋体" w:hAnsi="宋体"/>
          <w:b w:val="0"/>
        </w:rPr>
        <w:t>19</w:t>
      </w:r>
      <w:r>
        <w:rPr>
          <w:rFonts w:ascii="宋体" w:hAnsi="宋体"/>
          <w:b w:val="0"/>
        </w:rPr>
        <w:fldChar w:fldCharType="end"/>
      </w:r>
      <w:r>
        <w:rPr>
          <w:rFonts w:ascii="宋体" w:hAnsi="宋体"/>
          <w:b w:val="0"/>
        </w:rPr>
        <w:fldChar w:fldCharType="end"/>
      </w:r>
    </w:p>
    <w:p>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"_Toc150176863" </w:instrText>
      </w:r>
      <w:r>
        <w:fldChar w:fldCharType="separate"/>
      </w:r>
      <w:r>
        <w:rPr>
          <w:rStyle w:val="32"/>
          <w:rFonts w:ascii="宋体" w:hAnsi="宋体"/>
          <w:b w:val="0"/>
          <w:color w:val="auto"/>
          <w:sz w:val="24"/>
          <w:szCs w:val="24"/>
        </w:rPr>
        <w:t>7.1一般规定</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_Toc150176863 \h </w:instrText>
      </w:r>
      <w:r>
        <w:rPr>
          <w:rFonts w:ascii="宋体" w:hAnsi="宋体"/>
          <w:b w:val="0"/>
          <w:sz w:val="24"/>
          <w:szCs w:val="24"/>
        </w:rPr>
        <w:fldChar w:fldCharType="separate"/>
      </w:r>
      <w:r>
        <w:rPr>
          <w:rFonts w:ascii="宋体" w:hAnsi="宋体"/>
          <w:b w:val="0"/>
          <w:sz w:val="24"/>
          <w:szCs w:val="24"/>
        </w:rPr>
        <w:t>19</w:t>
      </w:r>
      <w:r>
        <w:rPr>
          <w:rFonts w:ascii="宋体" w:hAnsi="宋体"/>
          <w:b w:val="0"/>
          <w:sz w:val="24"/>
          <w:szCs w:val="24"/>
        </w:rPr>
        <w:fldChar w:fldCharType="end"/>
      </w:r>
      <w:r>
        <w:rPr>
          <w:rFonts w:ascii="宋体" w:hAnsi="宋体"/>
          <w:b w:val="0"/>
          <w:sz w:val="24"/>
          <w:szCs w:val="24"/>
        </w:rPr>
        <w:fldChar w:fldCharType="end"/>
      </w:r>
    </w:p>
    <w:p>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"_Toc150176864" </w:instrText>
      </w:r>
      <w:r>
        <w:fldChar w:fldCharType="separate"/>
      </w:r>
      <w:r>
        <w:rPr>
          <w:rStyle w:val="32"/>
          <w:rFonts w:ascii="宋体" w:hAnsi="宋体"/>
          <w:b w:val="0"/>
          <w:color w:val="auto"/>
          <w:sz w:val="24"/>
          <w:szCs w:val="24"/>
        </w:rPr>
        <w:t>7.2 给水排水设计</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_Toc150176864 \h </w:instrText>
      </w:r>
      <w:r>
        <w:rPr>
          <w:rFonts w:ascii="宋体" w:hAnsi="宋体"/>
          <w:b w:val="0"/>
          <w:sz w:val="24"/>
          <w:szCs w:val="24"/>
        </w:rPr>
        <w:fldChar w:fldCharType="separate"/>
      </w:r>
      <w:r>
        <w:rPr>
          <w:rFonts w:ascii="宋体" w:hAnsi="宋体"/>
          <w:b w:val="0"/>
          <w:sz w:val="24"/>
          <w:szCs w:val="24"/>
        </w:rPr>
        <w:t>19</w:t>
      </w:r>
      <w:r>
        <w:rPr>
          <w:rFonts w:ascii="宋体" w:hAnsi="宋体"/>
          <w:b w:val="0"/>
          <w:sz w:val="24"/>
          <w:szCs w:val="24"/>
        </w:rPr>
        <w:fldChar w:fldCharType="end"/>
      </w:r>
      <w:r>
        <w:rPr>
          <w:rFonts w:ascii="宋体" w:hAnsi="宋体"/>
          <w:b w:val="0"/>
          <w:sz w:val="24"/>
          <w:szCs w:val="24"/>
        </w:rPr>
        <w:fldChar w:fldCharType="end"/>
      </w:r>
    </w:p>
    <w:p>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"_Toc150176865" </w:instrText>
      </w:r>
      <w:r>
        <w:fldChar w:fldCharType="separate"/>
      </w:r>
      <w:r>
        <w:rPr>
          <w:rStyle w:val="32"/>
          <w:rFonts w:ascii="宋体" w:hAnsi="宋体"/>
          <w:b w:val="0"/>
          <w:color w:val="auto"/>
          <w:sz w:val="24"/>
          <w:szCs w:val="24"/>
        </w:rPr>
        <w:t>7.3 供暖、通风与空调设计</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_Toc150176865 \h </w:instrText>
      </w:r>
      <w:r>
        <w:rPr>
          <w:rFonts w:ascii="宋体" w:hAnsi="宋体"/>
          <w:b w:val="0"/>
          <w:sz w:val="24"/>
          <w:szCs w:val="24"/>
        </w:rPr>
        <w:fldChar w:fldCharType="separate"/>
      </w:r>
      <w:r>
        <w:rPr>
          <w:rFonts w:ascii="宋体" w:hAnsi="宋体"/>
          <w:b w:val="0"/>
          <w:sz w:val="24"/>
          <w:szCs w:val="24"/>
        </w:rPr>
        <w:t>20</w:t>
      </w:r>
      <w:r>
        <w:rPr>
          <w:rFonts w:ascii="宋体" w:hAnsi="宋体"/>
          <w:b w:val="0"/>
          <w:sz w:val="24"/>
          <w:szCs w:val="24"/>
        </w:rPr>
        <w:fldChar w:fldCharType="end"/>
      </w:r>
      <w:r>
        <w:rPr>
          <w:rFonts w:ascii="宋体" w:hAnsi="宋体"/>
          <w:b w:val="0"/>
          <w:sz w:val="24"/>
          <w:szCs w:val="24"/>
        </w:rPr>
        <w:fldChar w:fldCharType="end"/>
      </w:r>
    </w:p>
    <w:p>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"_Toc150176866" </w:instrText>
      </w:r>
      <w:r>
        <w:fldChar w:fldCharType="separate"/>
      </w:r>
      <w:r>
        <w:rPr>
          <w:rStyle w:val="32"/>
          <w:rFonts w:ascii="宋体" w:hAnsi="宋体"/>
          <w:b w:val="0"/>
          <w:color w:val="auto"/>
          <w:sz w:val="24"/>
          <w:szCs w:val="24"/>
        </w:rPr>
        <w:t>7.4 电气设计</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_Toc150176866 \h </w:instrText>
      </w:r>
      <w:r>
        <w:rPr>
          <w:rFonts w:ascii="宋体" w:hAnsi="宋体"/>
          <w:b w:val="0"/>
          <w:sz w:val="24"/>
          <w:szCs w:val="24"/>
        </w:rPr>
        <w:fldChar w:fldCharType="separate"/>
      </w:r>
      <w:r>
        <w:rPr>
          <w:rFonts w:ascii="宋体" w:hAnsi="宋体"/>
          <w:b w:val="0"/>
          <w:sz w:val="24"/>
          <w:szCs w:val="24"/>
        </w:rPr>
        <w:t>21</w:t>
      </w:r>
      <w:r>
        <w:rPr>
          <w:rFonts w:ascii="宋体" w:hAnsi="宋体"/>
          <w:b w:val="0"/>
          <w:sz w:val="24"/>
          <w:szCs w:val="24"/>
        </w:rPr>
        <w:fldChar w:fldCharType="end"/>
      </w:r>
      <w:r>
        <w:rPr>
          <w:rFonts w:ascii="宋体" w:hAnsi="宋体"/>
          <w:b w:val="0"/>
          <w:sz w:val="24"/>
          <w:szCs w:val="24"/>
        </w:rPr>
        <w:fldChar w:fldCharType="end"/>
      </w:r>
    </w:p>
    <w:p>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"_Toc150176867" </w:instrText>
      </w:r>
      <w:r>
        <w:fldChar w:fldCharType="separate"/>
      </w:r>
      <w:r>
        <w:rPr>
          <w:rStyle w:val="32"/>
          <w:rFonts w:ascii="宋体" w:hAnsi="宋体"/>
          <w:b w:val="0"/>
          <w:color w:val="auto"/>
          <w:sz w:val="24"/>
          <w:szCs w:val="24"/>
        </w:rPr>
        <w:t>7.5 智能化设计</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_Toc150176867 \h </w:instrText>
      </w:r>
      <w:r>
        <w:rPr>
          <w:rFonts w:ascii="宋体" w:hAnsi="宋体"/>
          <w:b w:val="0"/>
          <w:sz w:val="24"/>
          <w:szCs w:val="24"/>
        </w:rPr>
        <w:fldChar w:fldCharType="separate"/>
      </w:r>
      <w:r>
        <w:rPr>
          <w:rFonts w:ascii="宋体" w:hAnsi="宋体"/>
          <w:b w:val="0"/>
          <w:sz w:val="24"/>
          <w:szCs w:val="24"/>
        </w:rPr>
        <w:t>21</w:t>
      </w:r>
      <w:r>
        <w:rPr>
          <w:rFonts w:ascii="宋体" w:hAnsi="宋体"/>
          <w:b w:val="0"/>
          <w:sz w:val="24"/>
          <w:szCs w:val="24"/>
        </w:rPr>
        <w:fldChar w:fldCharType="end"/>
      </w:r>
      <w:r>
        <w:rPr>
          <w:rFonts w:ascii="宋体" w:hAnsi="宋体"/>
          <w:b w:val="0"/>
          <w:sz w:val="24"/>
          <w:szCs w:val="24"/>
        </w:rPr>
        <w:fldChar w:fldCharType="end"/>
      </w:r>
    </w:p>
    <w:p>
      <w:pPr>
        <w:pStyle w:val="19"/>
        <w:tabs>
          <w:tab w:val="right" w:leader="dot" w:pos="8296"/>
        </w:tabs>
        <w:spacing w:line="360" w:lineRule="auto"/>
        <w:rPr>
          <w:rFonts w:ascii="宋体" w:hAnsi="宋体" w:cstheme="minorBidi"/>
          <w:b w:val="0"/>
          <w:bCs w:val="0"/>
          <w:caps w:val="0"/>
          <w:kern w:val="2"/>
        </w:rPr>
      </w:pPr>
      <w:r>
        <w:fldChar w:fldCharType="begin"/>
      </w:r>
      <w:r>
        <w:instrText xml:space="preserve"> HYPERLINK \l "_Toc150176868" </w:instrText>
      </w:r>
      <w:r>
        <w:fldChar w:fldCharType="separate"/>
      </w:r>
      <w:r>
        <w:rPr>
          <w:rStyle w:val="32"/>
          <w:rFonts w:ascii="宋体" w:hAnsi="宋体"/>
          <w:b w:val="0"/>
          <w:color w:val="auto"/>
        </w:rPr>
        <w:t>8  防火设计</w:t>
      </w:r>
      <w:r>
        <w:rPr>
          <w:rFonts w:ascii="宋体" w:hAnsi="宋体"/>
          <w:b w:val="0"/>
        </w:rPr>
        <w:tab/>
      </w:r>
      <w:r>
        <w:rPr>
          <w:rFonts w:ascii="宋体" w:hAnsi="宋体"/>
          <w:b w:val="0"/>
        </w:rPr>
        <w:fldChar w:fldCharType="begin"/>
      </w:r>
      <w:r>
        <w:rPr>
          <w:rFonts w:ascii="宋体" w:hAnsi="宋体"/>
          <w:b w:val="0"/>
        </w:rPr>
        <w:instrText xml:space="preserve"> PAGEREF _Toc150176868 \h </w:instrText>
      </w:r>
      <w:r>
        <w:rPr>
          <w:rFonts w:ascii="宋体" w:hAnsi="宋体"/>
          <w:b w:val="0"/>
        </w:rPr>
        <w:fldChar w:fldCharType="separate"/>
      </w:r>
      <w:r>
        <w:rPr>
          <w:rFonts w:ascii="宋体" w:hAnsi="宋体"/>
          <w:b w:val="0"/>
        </w:rPr>
        <w:t>23</w:t>
      </w:r>
      <w:r>
        <w:rPr>
          <w:rFonts w:ascii="宋体" w:hAnsi="宋体"/>
          <w:b w:val="0"/>
        </w:rPr>
        <w:fldChar w:fldCharType="end"/>
      </w:r>
      <w:r>
        <w:rPr>
          <w:rFonts w:ascii="宋体" w:hAnsi="宋体"/>
          <w:b w:val="0"/>
        </w:rPr>
        <w:fldChar w:fldCharType="end"/>
      </w:r>
    </w:p>
    <w:p>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"_Toc150176869" </w:instrText>
      </w:r>
      <w:r>
        <w:fldChar w:fldCharType="separate"/>
      </w:r>
      <w:r>
        <w:rPr>
          <w:rStyle w:val="32"/>
          <w:rFonts w:ascii="宋体" w:hAnsi="宋体"/>
          <w:b w:val="0"/>
          <w:color w:val="auto"/>
          <w:sz w:val="24"/>
          <w:szCs w:val="24"/>
        </w:rPr>
        <w:t>8.1 一般规定</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_Toc150176869 \h </w:instrText>
      </w:r>
      <w:r>
        <w:rPr>
          <w:rFonts w:ascii="宋体" w:hAnsi="宋体"/>
          <w:b w:val="0"/>
          <w:sz w:val="24"/>
          <w:szCs w:val="24"/>
        </w:rPr>
        <w:fldChar w:fldCharType="separate"/>
      </w:r>
      <w:r>
        <w:rPr>
          <w:rFonts w:ascii="宋体" w:hAnsi="宋体"/>
          <w:b w:val="0"/>
          <w:sz w:val="24"/>
          <w:szCs w:val="24"/>
        </w:rPr>
        <w:t>23</w:t>
      </w:r>
      <w:r>
        <w:rPr>
          <w:rFonts w:ascii="宋体" w:hAnsi="宋体"/>
          <w:b w:val="0"/>
          <w:sz w:val="24"/>
          <w:szCs w:val="24"/>
        </w:rPr>
        <w:fldChar w:fldCharType="end"/>
      </w:r>
      <w:r>
        <w:rPr>
          <w:rFonts w:ascii="宋体" w:hAnsi="宋体"/>
          <w:b w:val="0"/>
          <w:sz w:val="24"/>
          <w:szCs w:val="24"/>
        </w:rPr>
        <w:fldChar w:fldCharType="end"/>
      </w:r>
    </w:p>
    <w:p>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"_Toc150176870" </w:instrText>
      </w:r>
      <w:r>
        <w:fldChar w:fldCharType="separate"/>
      </w:r>
      <w:r>
        <w:rPr>
          <w:rStyle w:val="32"/>
          <w:rFonts w:ascii="宋体" w:hAnsi="宋体"/>
          <w:b w:val="0"/>
          <w:color w:val="auto"/>
          <w:sz w:val="24"/>
          <w:szCs w:val="24"/>
        </w:rPr>
        <w:t>8.2 建筑防火</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_Toc150176870 \h </w:instrText>
      </w:r>
      <w:r>
        <w:rPr>
          <w:rFonts w:ascii="宋体" w:hAnsi="宋体"/>
          <w:b w:val="0"/>
          <w:sz w:val="24"/>
          <w:szCs w:val="24"/>
        </w:rPr>
        <w:fldChar w:fldCharType="separate"/>
      </w:r>
      <w:r>
        <w:rPr>
          <w:rFonts w:ascii="宋体" w:hAnsi="宋体"/>
          <w:b w:val="0"/>
          <w:sz w:val="24"/>
          <w:szCs w:val="24"/>
        </w:rPr>
        <w:t>23</w:t>
      </w:r>
      <w:r>
        <w:rPr>
          <w:rFonts w:ascii="宋体" w:hAnsi="宋体"/>
          <w:b w:val="0"/>
          <w:sz w:val="24"/>
          <w:szCs w:val="24"/>
        </w:rPr>
        <w:fldChar w:fldCharType="end"/>
      </w:r>
      <w:r>
        <w:rPr>
          <w:rFonts w:ascii="宋体" w:hAnsi="宋体"/>
          <w:b w:val="0"/>
          <w:sz w:val="24"/>
          <w:szCs w:val="24"/>
        </w:rPr>
        <w:fldChar w:fldCharType="end"/>
      </w:r>
    </w:p>
    <w:p>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"_Toc150176871" </w:instrText>
      </w:r>
      <w:r>
        <w:fldChar w:fldCharType="separate"/>
      </w:r>
      <w:r>
        <w:rPr>
          <w:rStyle w:val="32"/>
          <w:rFonts w:ascii="宋体" w:hAnsi="宋体"/>
          <w:b w:val="0"/>
          <w:color w:val="auto"/>
          <w:sz w:val="24"/>
          <w:szCs w:val="24"/>
        </w:rPr>
        <w:t>8.3 消防设施与消防供电</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_Toc150176871 \h </w:instrText>
      </w:r>
      <w:r>
        <w:rPr>
          <w:rFonts w:ascii="宋体" w:hAnsi="宋体"/>
          <w:b w:val="0"/>
          <w:sz w:val="24"/>
          <w:szCs w:val="24"/>
        </w:rPr>
        <w:fldChar w:fldCharType="separate"/>
      </w:r>
      <w:r>
        <w:rPr>
          <w:rFonts w:ascii="宋体" w:hAnsi="宋体"/>
          <w:b w:val="0"/>
          <w:sz w:val="24"/>
          <w:szCs w:val="24"/>
        </w:rPr>
        <w:t>24</w:t>
      </w:r>
      <w:r>
        <w:rPr>
          <w:rFonts w:ascii="宋体" w:hAnsi="宋体"/>
          <w:b w:val="0"/>
          <w:sz w:val="24"/>
          <w:szCs w:val="24"/>
        </w:rPr>
        <w:fldChar w:fldCharType="end"/>
      </w:r>
      <w:r>
        <w:rPr>
          <w:rFonts w:ascii="宋体" w:hAnsi="宋体"/>
          <w:b w:val="0"/>
          <w:sz w:val="24"/>
          <w:szCs w:val="24"/>
        </w:rPr>
        <w:fldChar w:fldCharType="end"/>
      </w:r>
    </w:p>
    <w:p>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"_Toc150176872" </w:instrText>
      </w:r>
      <w:r>
        <w:fldChar w:fldCharType="separate"/>
      </w:r>
      <w:r>
        <w:rPr>
          <w:rStyle w:val="32"/>
          <w:rFonts w:ascii="宋体" w:hAnsi="宋体"/>
          <w:b w:val="0"/>
          <w:color w:val="auto"/>
          <w:sz w:val="24"/>
          <w:szCs w:val="24"/>
        </w:rPr>
        <w:t>8.4 消防救援条件</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_Toc150176872 \h </w:instrText>
      </w:r>
      <w:r>
        <w:rPr>
          <w:rFonts w:ascii="宋体" w:hAnsi="宋体"/>
          <w:b w:val="0"/>
          <w:sz w:val="24"/>
          <w:szCs w:val="24"/>
        </w:rPr>
        <w:fldChar w:fldCharType="separate"/>
      </w:r>
      <w:r>
        <w:rPr>
          <w:rFonts w:ascii="宋体" w:hAnsi="宋体"/>
          <w:b w:val="0"/>
          <w:sz w:val="24"/>
          <w:szCs w:val="24"/>
        </w:rPr>
        <w:t>25</w:t>
      </w:r>
      <w:r>
        <w:rPr>
          <w:rFonts w:ascii="宋体" w:hAnsi="宋体"/>
          <w:b w:val="0"/>
          <w:sz w:val="24"/>
          <w:szCs w:val="24"/>
        </w:rPr>
        <w:fldChar w:fldCharType="end"/>
      </w:r>
      <w:r>
        <w:rPr>
          <w:rFonts w:ascii="宋体" w:hAnsi="宋体"/>
          <w:b w:val="0"/>
          <w:sz w:val="24"/>
          <w:szCs w:val="24"/>
        </w:rPr>
        <w:fldChar w:fldCharType="end"/>
      </w:r>
    </w:p>
    <w:p>
      <w:pPr>
        <w:pStyle w:val="19"/>
        <w:tabs>
          <w:tab w:val="right" w:leader="dot" w:pos="8296"/>
        </w:tabs>
        <w:spacing w:line="360" w:lineRule="auto"/>
        <w:rPr>
          <w:rFonts w:ascii="宋体" w:hAnsi="宋体" w:cstheme="minorBidi"/>
          <w:b w:val="0"/>
          <w:bCs w:val="0"/>
          <w:caps w:val="0"/>
          <w:kern w:val="2"/>
        </w:rPr>
      </w:pPr>
      <w:r>
        <w:fldChar w:fldCharType="begin"/>
      </w:r>
      <w:r>
        <w:instrText xml:space="preserve"> HYPERLINK \l "_Toc150176873" </w:instrText>
      </w:r>
      <w:r>
        <w:fldChar w:fldCharType="separate"/>
      </w:r>
      <w:r>
        <w:rPr>
          <w:rStyle w:val="32"/>
          <w:rFonts w:ascii="宋体" w:hAnsi="宋体"/>
          <w:b w:val="0"/>
          <w:color w:val="auto"/>
        </w:rPr>
        <w:t>9  绿色低碳</w:t>
      </w:r>
      <w:r>
        <w:rPr>
          <w:rFonts w:ascii="宋体" w:hAnsi="宋体"/>
          <w:b w:val="0"/>
        </w:rPr>
        <w:tab/>
      </w:r>
      <w:r>
        <w:rPr>
          <w:rFonts w:ascii="宋体" w:hAnsi="宋体"/>
          <w:b w:val="0"/>
        </w:rPr>
        <w:fldChar w:fldCharType="begin"/>
      </w:r>
      <w:r>
        <w:rPr>
          <w:rFonts w:ascii="宋体" w:hAnsi="宋体"/>
          <w:b w:val="0"/>
        </w:rPr>
        <w:instrText xml:space="preserve"> PAGEREF _Toc150176873 \h </w:instrText>
      </w:r>
      <w:r>
        <w:rPr>
          <w:rFonts w:ascii="宋体" w:hAnsi="宋体"/>
          <w:b w:val="0"/>
        </w:rPr>
        <w:fldChar w:fldCharType="separate"/>
      </w:r>
      <w:r>
        <w:rPr>
          <w:rFonts w:ascii="宋体" w:hAnsi="宋体"/>
          <w:b w:val="0"/>
        </w:rPr>
        <w:t>26</w:t>
      </w:r>
      <w:r>
        <w:rPr>
          <w:rFonts w:ascii="宋体" w:hAnsi="宋体"/>
          <w:b w:val="0"/>
        </w:rPr>
        <w:fldChar w:fldCharType="end"/>
      </w:r>
      <w:r>
        <w:rPr>
          <w:rFonts w:ascii="宋体" w:hAnsi="宋体"/>
          <w:b w:val="0"/>
        </w:rPr>
        <w:fldChar w:fldCharType="end"/>
      </w:r>
    </w:p>
    <w:p>
      <w:pPr>
        <w:pStyle w:val="19"/>
        <w:tabs>
          <w:tab w:val="right" w:leader="dot" w:pos="8296"/>
        </w:tabs>
        <w:spacing w:line="360" w:lineRule="auto"/>
        <w:rPr>
          <w:rFonts w:ascii="宋体" w:hAnsi="宋体" w:cstheme="minorBidi"/>
          <w:b w:val="0"/>
          <w:bCs w:val="0"/>
          <w:caps w:val="0"/>
          <w:kern w:val="2"/>
        </w:rPr>
      </w:pPr>
      <w:r>
        <w:fldChar w:fldCharType="begin"/>
      </w:r>
      <w:r>
        <w:instrText xml:space="preserve"> HYPERLINK \l "_Toc150176874" </w:instrText>
      </w:r>
      <w:r>
        <w:fldChar w:fldCharType="separate"/>
      </w:r>
      <w:r>
        <w:rPr>
          <w:rStyle w:val="32"/>
          <w:rFonts w:ascii="宋体" w:hAnsi="宋体"/>
          <w:b w:val="0"/>
          <w:color w:val="auto"/>
        </w:rPr>
        <w:t xml:space="preserve">附录A </w:t>
      </w:r>
      <w:r>
        <w:rPr>
          <w:rStyle w:val="32"/>
          <w:rFonts w:hint="eastAsia" w:ascii="宋体" w:hAnsi="宋体"/>
          <w:b w:val="0"/>
          <w:color w:val="auto"/>
        </w:rPr>
        <w:t>老旧厂房评估内容</w:t>
      </w:r>
      <w:r>
        <w:rPr>
          <w:rFonts w:ascii="宋体" w:hAnsi="宋体"/>
          <w:b w:val="0"/>
        </w:rPr>
        <w:tab/>
      </w:r>
      <w:r>
        <w:rPr>
          <w:rFonts w:ascii="宋体" w:hAnsi="宋体"/>
          <w:b w:val="0"/>
        </w:rPr>
        <w:fldChar w:fldCharType="begin"/>
      </w:r>
      <w:r>
        <w:rPr>
          <w:rFonts w:ascii="宋体" w:hAnsi="宋体"/>
          <w:b w:val="0"/>
        </w:rPr>
        <w:instrText xml:space="preserve"> PAGEREF _Toc150176874 \h </w:instrText>
      </w:r>
      <w:r>
        <w:rPr>
          <w:rFonts w:ascii="宋体" w:hAnsi="宋体"/>
          <w:b w:val="0"/>
        </w:rPr>
        <w:fldChar w:fldCharType="separate"/>
      </w:r>
      <w:r>
        <w:rPr>
          <w:rFonts w:ascii="宋体" w:hAnsi="宋体"/>
          <w:b w:val="0"/>
        </w:rPr>
        <w:t>28</w:t>
      </w:r>
      <w:r>
        <w:rPr>
          <w:rFonts w:ascii="宋体" w:hAnsi="宋体"/>
          <w:b w:val="0"/>
        </w:rPr>
        <w:fldChar w:fldCharType="end"/>
      </w:r>
      <w:r>
        <w:rPr>
          <w:rFonts w:ascii="宋体" w:hAnsi="宋体"/>
          <w:b w:val="0"/>
        </w:rPr>
        <w:fldChar w:fldCharType="end"/>
      </w:r>
    </w:p>
    <w:p>
      <w:pPr>
        <w:pStyle w:val="19"/>
        <w:tabs>
          <w:tab w:val="right" w:leader="dot" w:pos="8296"/>
        </w:tabs>
        <w:spacing w:line="360" w:lineRule="auto"/>
        <w:rPr>
          <w:rFonts w:ascii="宋体" w:hAnsi="宋体" w:cstheme="minorBidi"/>
          <w:b w:val="0"/>
          <w:bCs w:val="0"/>
          <w:caps w:val="0"/>
          <w:kern w:val="2"/>
        </w:rPr>
      </w:pPr>
      <w:r>
        <w:fldChar w:fldCharType="begin"/>
      </w:r>
      <w:r>
        <w:instrText xml:space="preserve"> HYPERLINK \l "_Toc150176875" </w:instrText>
      </w:r>
      <w:r>
        <w:fldChar w:fldCharType="separate"/>
      </w:r>
      <w:r>
        <w:rPr>
          <w:rStyle w:val="32"/>
          <w:rFonts w:ascii="宋体" w:hAnsi="宋体"/>
          <w:b w:val="0"/>
          <w:color w:val="auto"/>
        </w:rPr>
        <w:t>本标准用词说明</w:t>
      </w:r>
      <w:r>
        <w:rPr>
          <w:rFonts w:ascii="宋体" w:hAnsi="宋体"/>
          <w:b w:val="0"/>
        </w:rPr>
        <w:tab/>
      </w:r>
      <w:r>
        <w:rPr>
          <w:rFonts w:ascii="宋体" w:hAnsi="宋体"/>
          <w:b w:val="0"/>
        </w:rPr>
        <w:fldChar w:fldCharType="begin"/>
      </w:r>
      <w:r>
        <w:rPr>
          <w:rFonts w:ascii="宋体" w:hAnsi="宋体"/>
          <w:b w:val="0"/>
        </w:rPr>
        <w:instrText xml:space="preserve"> PAGEREF _Toc150176875 \h </w:instrText>
      </w:r>
      <w:r>
        <w:rPr>
          <w:rFonts w:ascii="宋体" w:hAnsi="宋体"/>
          <w:b w:val="0"/>
        </w:rPr>
        <w:fldChar w:fldCharType="separate"/>
      </w:r>
      <w:r>
        <w:rPr>
          <w:rFonts w:ascii="宋体" w:hAnsi="宋体"/>
          <w:b w:val="0"/>
        </w:rPr>
        <w:t>32</w:t>
      </w:r>
      <w:r>
        <w:rPr>
          <w:rFonts w:ascii="宋体" w:hAnsi="宋体"/>
          <w:b w:val="0"/>
        </w:rPr>
        <w:fldChar w:fldCharType="end"/>
      </w:r>
      <w:r>
        <w:rPr>
          <w:rFonts w:ascii="宋体" w:hAnsi="宋体"/>
          <w:b w:val="0"/>
        </w:rPr>
        <w:fldChar w:fldCharType="end"/>
      </w:r>
    </w:p>
    <w:p>
      <w:pPr>
        <w:pStyle w:val="19"/>
        <w:tabs>
          <w:tab w:val="right" w:leader="dot" w:pos="8296"/>
        </w:tabs>
        <w:spacing w:line="360" w:lineRule="auto"/>
        <w:rPr>
          <w:rFonts w:ascii="宋体" w:hAnsi="宋体"/>
          <w:b w:val="0"/>
        </w:rPr>
      </w:pPr>
      <w:r>
        <w:fldChar w:fldCharType="begin"/>
      </w:r>
      <w:r>
        <w:instrText xml:space="preserve"> HYPERLINK \l "_Toc150176876" </w:instrText>
      </w:r>
      <w:r>
        <w:fldChar w:fldCharType="separate"/>
      </w:r>
      <w:r>
        <w:rPr>
          <w:rStyle w:val="32"/>
          <w:rFonts w:ascii="宋体" w:hAnsi="宋体"/>
          <w:b w:val="0"/>
          <w:color w:val="auto"/>
        </w:rPr>
        <w:t>引用标准名录</w:t>
      </w:r>
      <w:r>
        <w:rPr>
          <w:rFonts w:ascii="宋体" w:hAnsi="宋体"/>
          <w:b w:val="0"/>
        </w:rPr>
        <w:tab/>
      </w:r>
      <w:r>
        <w:rPr>
          <w:rFonts w:ascii="宋体" w:hAnsi="宋体"/>
          <w:b w:val="0"/>
        </w:rPr>
        <w:fldChar w:fldCharType="begin"/>
      </w:r>
      <w:r>
        <w:rPr>
          <w:rFonts w:ascii="宋体" w:hAnsi="宋体"/>
          <w:b w:val="0"/>
        </w:rPr>
        <w:instrText xml:space="preserve"> PAGEREF _Toc150176876 \h </w:instrText>
      </w:r>
      <w:r>
        <w:rPr>
          <w:rFonts w:ascii="宋体" w:hAnsi="宋体"/>
          <w:b w:val="0"/>
        </w:rPr>
        <w:fldChar w:fldCharType="separate"/>
      </w:r>
      <w:r>
        <w:rPr>
          <w:rFonts w:ascii="宋体" w:hAnsi="宋体"/>
          <w:b w:val="0"/>
        </w:rPr>
        <w:t>33</w:t>
      </w:r>
      <w:r>
        <w:rPr>
          <w:rFonts w:ascii="宋体" w:hAnsi="宋体"/>
          <w:b w:val="0"/>
        </w:rPr>
        <w:fldChar w:fldCharType="end"/>
      </w:r>
      <w:r>
        <w:rPr>
          <w:rFonts w:ascii="宋体" w:hAnsi="宋体"/>
          <w:b w:val="0"/>
        </w:rPr>
        <w:fldChar w:fldCharType="end"/>
      </w:r>
    </w:p>
    <w:p>
      <w:r>
        <w:rPr>
          <w:rFonts w:hint="eastAsia"/>
        </w:rPr>
        <w:t>条文说明</w:t>
      </w:r>
      <w:r>
        <w:rPr>
          <w:sz w:val="32"/>
        </w:rPr>
        <w:t xml:space="preserve">………………………………………………………… </w:t>
      </w:r>
      <w:r>
        <w:rPr>
          <w:rFonts w:ascii="宋体" w:hAnsi="宋体"/>
        </w:rPr>
        <w:fldChar w:fldCharType="begin"/>
      </w:r>
      <w:r>
        <w:rPr>
          <w:rFonts w:ascii="宋体" w:hAnsi="宋体"/>
        </w:rPr>
        <w:instrText xml:space="preserve"> PAGEREF _Toc150176876 \h </w:instrText>
      </w:r>
      <w:r>
        <w:rPr>
          <w:rFonts w:ascii="宋体" w:hAnsi="宋体"/>
        </w:rPr>
        <w:fldChar w:fldCharType="separate"/>
      </w:r>
      <w:r>
        <w:rPr>
          <w:rFonts w:ascii="宋体" w:hAnsi="宋体"/>
        </w:rPr>
        <w:t>33</w:t>
      </w:r>
      <w:r>
        <w:rPr>
          <w:rFonts w:ascii="宋体" w:hAnsi="宋体"/>
        </w:rPr>
        <w:fldChar w:fldCharType="end"/>
      </w:r>
    </w:p>
    <w:p>
      <w:pPr>
        <w:pageBreakBefore/>
        <w:jc w:val="center"/>
        <w:rPr>
          <w:rFonts w:ascii="宋体" w:hAnsi="宋体"/>
          <w:spacing w:val="173"/>
          <w:sz w:val="36"/>
          <w:szCs w:val="36"/>
        </w:rPr>
      </w:pPr>
      <w:r>
        <w:rPr>
          <w:rFonts w:ascii="宋体" w:hAnsi="宋体"/>
          <w:bCs/>
          <w:caps/>
          <w:szCs w:val="24"/>
          <w:lang w:val="zh-CN"/>
        </w:rPr>
        <w:fldChar w:fldCharType="end"/>
      </w:r>
      <w:r>
        <w:rPr>
          <w:sz w:val="36"/>
          <w:szCs w:val="36"/>
        </w:rPr>
        <w:t>Contents</w:t>
      </w:r>
    </w:p>
    <w:p>
      <w:pPr>
        <w:rPr>
          <w:rFonts w:ascii="宋体" w:hAnsi="宋体"/>
          <w:spacing w:val="173"/>
          <w:sz w:val="36"/>
          <w:szCs w:val="36"/>
        </w:rPr>
      </w:pPr>
    </w:p>
    <w:p>
      <w:pPr>
        <w:pStyle w:val="19"/>
        <w:tabs>
          <w:tab w:val="right" w:leader="dot" w:pos="8296"/>
        </w:tabs>
        <w:spacing w:line="360" w:lineRule="auto"/>
        <w:rPr>
          <w:rFonts w:ascii="Times New Roman" w:eastAsiaTheme="minorEastAsia"/>
          <w:b w:val="0"/>
          <w:bCs w:val="0"/>
          <w:caps w:val="0"/>
          <w:kern w:val="2"/>
        </w:rPr>
      </w:pPr>
      <w:r>
        <w:rPr>
          <w:rFonts w:ascii="Times New Roman"/>
          <w:b w:val="0"/>
          <w:bCs w:val="0"/>
          <w:caps w:val="0"/>
          <w:lang w:val="zh-CN"/>
        </w:rPr>
        <w:fldChar w:fldCharType="begin"/>
      </w:r>
      <w:r>
        <w:rPr>
          <w:rFonts w:ascii="Times New Roman"/>
          <w:b w:val="0"/>
          <w:bCs w:val="0"/>
          <w:caps w:val="0"/>
          <w:lang w:val="zh-CN"/>
        </w:rPr>
        <w:instrText xml:space="preserve"> TOC \o "1-2" \h \z \t "条文,3" </w:instrText>
      </w:r>
      <w:r>
        <w:rPr>
          <w:rFonts w:ascii="Times New Roman"/>
          <w:b w:val="0"/>
          <w:bCs w:val="0"/>
          <w:caps w:val="0"/>
          <w:lang w:val="zh-CN"/>
        </w:rPr>
        <w:fldChar w:fldCharType="separate"/>
      </w:r>
      <w:r>
        <w:fldChar w:fldCharType="begin"/>
      </w:r>
      <w:r>
        <w:instrText xml:space="preserve"> HYPERLINK \l "_Toc150177010" </w:instrText>
      </w:r>
      <w:r>
        <w:fldChar w:fldCharType="separate"/>
      </w:r>
      <w:r>
        <w:rPr>
          <w:rStyle w:val="32"/>
          <w:rFonts w:ascii="Times New Roman"/>
          <w:b w:val="0"/>
          <w:caps w:val="0"/>
          <w:color w:val="auto"/>
        </w:rPr>
        <w:t>1  General provisions</w:t>
      </w:r>
      <w:r>
        <w:rPr>
          <w:rFonts w:ascii="Times New Roman"/>
          <w:b w:val="0"/>
          <w:caps w:val="0"/>
        </w:rPr>
        <w:tab/>
      </w:r>
      <w:r>
        <w:rPr>
          <w:rFonts w:ascii="Times New Roman"/>
          <w:b w:val="0"/>
          <w:caps w:val="0"/>
        </w:rPr>
        <w:fldChar w:fldCharType="begin"/>
      </w:r>
      <w:r>
        <w:rPr>
          <w:rFonts w:ascii="Times New Roman"/>
          <w:b w:val="0"/>
          <w:caps w:val="0"/>
        </w:rPr>
        <w:instrText xml:space="preserve"> PAGEREF _Toc150177010 \h </w:instrText>
      </w:r>
      <w:r>
        <w:rPr>
          <w:rFonts w:ascii="Times New Roman"/>
          <w:b w:val="0"/>
          <w:caps w:val="0"/>
        </w:rPr>
        <w:fldChar w:fldCharType="separate"/>
      </w:r>
      <w:r>
        <w:rPr>
          <w:rFonts w:ascii="Times New Roman"/>
          <w:b w:val="0"/>
          <w:caps w:val="0"/>
        </w:rPr>
        <w:t>1</w:t>
      </w:r>
      <w:r>
        <w:rPr>
          <w:rFonts w:ascii="Times New Roman"/>
          <w:b w:val="0"/>
          <w:caps w:val="0"/>
        </w:rPr>
        <w:fldChar w:fldCharType="end"/>
      </w:r>
      <w:r>
        <w:rPr>
          <w:rFonts w:ascii="Times New Roman"/>
          <w:b w:val="0"/>
          <w:caps w:val="0"/>
        </w:rPr>
        <w:fldChar w:fldCharType="end"/>
      </w:r>
    </w:p>
    <w:p>
      <w:pPr>
        <w:pStyle w:val="19"/>
        <w:tabs>
          <w:tab w:val="right" w:leader="dot" w:pos="8296"/>
        </w:tabs>
        <w:spacing w:line="360" w:lineRule="auto"/>
        <w:rPr>
          <w:rFonts w:ascii="Times New Roman" w:eastAsiaTheme="minorEastAsia"/>
          <w:b w:val="0"/>
          <w:bCs w:val="0"/>
          <w:caps w:val="0"/>
          <w:kern w:val="2"/>
        </w:rPr>
      </w:pPr>
      <w:r>
        <w:fldChar w:fldCharType="begin"/>
      </w:r>
      <w:r>
        <w:instrText xml:space="preserve"> HYPERLINK \l "_Toc150177011" </w:instrText>
      </w:r>
      <w:r>
        <w:fldChar w:fldCharType="separate"/>
      </w:r>
      <w:r>
        <w:rPr>
          <w:rStyle w:val="32"/>
          <w:rFonts w:ascii="Times New Roman"/>
          <w:b w:val="0"/>
          <w:caps w:val="0"/>
          <w:color w:val="auto"/>
        </w:rPr>
        <w:t>2  Terms</w:t>
      </w:r>
      <w:r>
        <w:rPr>
          <w:rFonts w:ascii="Times New Roman"/>
          <w:b w:val="0"/>
          <w:caps w:val="0"/>
        </w:rPr>
        <w:tab/>
      </w:r>
      <w:r>
        <w:rPr>
          <w:rFonts w:ascii="Times New Roman"/>
          <w:b w:val="0"/>
          <w:caps w:val="0"/>
        </w:rPr>
        <w:fldChar w:fldCharType="begin"/>
      </w:r>
      <w:r>
        <w:rPr>
          <w:rFonts w:ascii="Times New Roman"/>
          <w:b w:val="0"/>
          <w:caps w:val="0"/>
        </w:rPr>
        <w:instrText xml:space="preserve"> PAGEREF _Toc150177011 \h </w:instrText>
      </w:r>
      <w:r>
        <w:rPr>
          <w:rFonts w:ascii="Times New Roman"/>
          <w:b w:val="0"/>
          <w:caps w:val="0"/>
        </w:rPr>
        <w:fldChar w:fldCharType="separate"/>
      </w:r>
      <w:r>
        <w:rPr>
          <w:rFonts w:ascii="Times New Roman"/>
          <w:b w:val="0"/>
          <w:caps w:val="0"/>
        </w:rPr>
        <w:t>2</w:t>
      </w:r>
      <w:r>
        <w:rPr>
          <w:rFonts w:ascii="Times New Roman"/>
          <w:b w:val="0"/>
          <w:caps w:val="0"/>
        </w:rPr>
        <w:fldChar w:fldCharType="end"/>
      </w:r>
      <w:r>
        <w:rPr>
          <w:rFonts w:ascii="Times New Roman"/>
          <w:b w:val="0"/>
          <w:caps w:val="0"/>
        </w:rPr>
        <w:fldChar w:fldCharType="end"/>
      </w:r>
    </w:p>
    <w:p>
      <w:pPr>
        <w:pStyle w:val="19"/>
        <w:tabs>
          <w:tab w:val="right" w:leader="dot" w:pos="8296"/>
        </w:tabs>
        <w:spacing w:line="360" w:lineRule="auto"/>
        <w:rPr>
          <w:rFonts w:ascii="Times New Roman" w:eastAsiaTheme="minorEastAsia"/>
          <w:b w:val="0"/>
          <w:bCs w:val="0"/>
          <w:caps w:val="0"/>
          <w:kern w:val="2"/>
        </w:rPr>
      </w:pPr>
      <w:r>
        <w:fldChar w:fldCharType="begin"/>
      </w:r>
      <w:r>
        <w:instrText xml:space="preserve"> HYPERLINK \l "_Toc150177012" </w:instrText>
      </w:r>
      <w:r>
        <w:fldChar w:fldCharType="separate"/>
      </w:r>
      <w:r>
        <w:rPr>
          <w:rStyle w:val="32"/>
          <w:rFonts w:ascii="Times New Roman"/>
          <w:b w:val="0"/>
          <w:caps w:val="0"/>
          <w:color w:val="auto"/>
        </w:rPr>
        <w:t>3  Basic requirements</w:t>
      </w:r>
      <w:r>
        <w:rPr>
          <w:rFonts w:ascii="Times New Roman"/>
          <w:b w:val="0"/>
          <w:caps w:val="0"/>
        </w:rPr>
        <w:tab/>
      </w:r>
      <w:r>
        <w:rPr>
          <w:rFonts w:ascii="Times New Roman"/>
          <w:b w:val="0"/>
          <w:caps w:val="0"/>
        </w:rPr>
        <w:fldChar w:fldCharType="begin"/>
      </w:r>
      <w:r>
        <w:rPr>
          <w:rFonts w:ascii="Times New Roman"/>
          <w:b w:val="0"/>
          <w:caps w:val="0"/>
        </w:rPr>
        <w:instrText xml:space="preserve"> PAGEREF _Toc150177012 \h </w:instrText>
      </w:r>
      <w:r>
        <w:rPr>
          <w:rFonts w:ascii="Times New Roman"/>
          <w:b w:val="0"/>
          <w:caps w:val="0"/>
        </w:rPr>
        <w:fldChar w:fldCharType="separate"/>
      </w:r>
      <w:r>
        <w:rPr>
          <w:rFonts w:ascii="Times New Roman"/>
          <w:b w:val="0"/>
          <w:caps w:val="0"/>
        </w:rPr>
        <w:t>4</w:t>
      </w:r>
      <w:r>
        <w:rPr>
          <w:rFonts w:ascii="Times New Roman"/>
          <w:b w:val="0"/>
          <w:caps w:val="0"/>
        </w:rPr>
        <w:fldChar w:fldCharType="end"/>
      </w:r>
      <w:r>
        <w:rPr>
          <w:rFonts w:ascii="Times New Roman"/>
          <w:b w:val="0"/>
          <w:caps w:val="0"/>
        </w:rPr>
        <w:fldChar w:fldCharType="end"/>
      </w:r>
    </w:p>
    <w:p>
      <w:pPr>
        <w:pStyle w:val="23"/>
        <w:tabs>
          <w:tab w:val="right" w:leader="dot" w:pos="8296"/>
        </w:tabs>
        <w:spacing w:before="0" w:after="0" w:line="360" w:lineRule="auto"/>
        <w:ind w:left="240" w:right="240"/>
        <w:rPr>
          <w:rFonts w:ascii="Times New Roman" w:eastAsiaTheme="minorEastAsia"/>
          <w:b w:val="0"/>
          <w:bCs w:val="0"/>
          <w:kern w:val="2"/>
          <w:sz w:val="24"/>
          <w:szCs w:val="24"/>
        </w:rPr>
      </w:pPr>
      <w:r>
        <w:fldChar w:fldCharType="begin"/>
      </w:r>
      <w:r>
        <w:instrText xml:space="preserve"> HYPERLINK \l "_Toc150177013" </w:instrText>
      </w:r>
      <w:r>
        <w:fldChar w:fldCharType="separate"/>
      </w:r>
      <w:r>
        <w:rPr>
          <w:rStyle w:val="32"/>
          <w:rFonts w:ascii="Times New Roman"/>
          <w:b w:val="0"/>
          <w:color w:val="auto"/>
          <w:sz w:val="24"/>
          <w:szCs w:val="24"/>
        </w:rPr>
        <w:t>3.1 General requirements</w:t>
      </w:r>
      <w:r>
        <w:rPr>
          <w:rFonts w:ascii="Times New Roman"/>
          <w:b w:val="0"/>
          <w:sz w:val="24"/>
          <w:szCs w:val="24"/>
        </w:rPr>
        <w:tab/>
      </w:r>
      <w:r>
        <w:rPr>
          <w:rFonts w:ascii="Times New Roman"/>
          <w:b w:val="0"/>
          <w:sz w:val="24"/>
          <w:szCs w:val="24"/>
        </w:rPr>
        <w:fldChar w:fldCharType="begin"/>
      </w:r>
      <w:r>
        <w:rPr>
          <w:rFonts w:ascii="Times New Roman"/>
          <w:b w:val="0"/>
          <w:sz w:val="24"/>
          <w:szCs w:val="24"/>
        </w:rPr>
        <w:instrText xml:space="preserve"> PAGEREF _Toc150177013 \h </w:instrText>
      </w:r>
      <w:r>
        <w:rPr>
          <w:rFonts w:ascii="Times New Roman"/>
          <w:b w:val="0"/>
          <w:sz w:val="24"/>
          <w:szCs w:val="24"/>
        </w:rPr>
        <w:fldChar w:fldCharType="separate"/>
      </w:r>
      <w:r>
        <w:rPr>
          <w:rFonts w:ascii="Times New Roman"/>
          <w:b w:val="0"/>
          <w:sz w:val="24"/>
          <w:szCs w:val="24"/>
        </w:rPr>
        <w:t>4</w:t>
      </w:r>
      <w:r>
        <w:rPr>
          <w:rFonts w:ascii="Times New Roman"/>
          <w:b w:val="0"/>
          <w:sz w:val="24"/>
          <w:szCs w:val="24"/>
        </w:rPr>
        <w:fldChar w:fldCharType="end"/>
      </w:r>
      <w:r>
        <w:rPr>
          <w:rFonts w:ascii="Times New Roman"/>
          <w:b w:val="0"/>
          <w:sz w:val="24"/>
          <w:szCs w:val="24"/>
        </w:rPr>
        <w:fldChar w:fldCharType="end"/>
      </w:r>
    </w:p>
    <w:p>
      <w:pPr>
        <w:pStyle w:val="23"/>
        <w:tabs>
          <w:tab w:val="right" w:leader="dot" w:pos="8296"/>
        </w:tabs>
        <w:spacing w:before="0" w:after="0" w:line="360" w:lineRule="auto"/>
        <w:ind w:left="240" w:right="240"/>
        <w:rPr>
          <w:rFonts w:ascii="Times New Roman" w:eastAsiaTheme="minorEastAsia"/>
          <w:b w:val="0"/>
          <w:bCs w:val="0"/>
          <w:kern w:val="2"/>
          <w:sz w:val="24"/>
          <w:szCs w:val="24"/>
        </w:rPr>
      </w:pPr>
      <w:r>
        <w:fldChar w:fldCharType="begin"/>
      </w:r>
      <w:r>
        <w:instrText xml:space="preserve"> HYPERLINK \l "_Toc150177014" </w:instrText>
      </w:r>
      <w:r>
        <w:fldChar w:fldCharType="separate"/>
      </w:r>
      <w:r>
        <w:rPr>
          <w:rStyle w:val="32"/>
          <w:rFonts w:ascii="Times New Roman"/>
          <w:b w:val="0"/>
          <w:color w:val="auto"/>
          <w:sz w:val="24"/>
          <w:szCs w:val="24"/>
        </w:rPr>
        <w:t>3.2 Classification</w:t>
      </w:r>
      <w:r>
        <w:rPr>
          <w:rFonts w:ascii="Times New Roman"/>
          <w:b w:val="0"/>
          <w:sz w:val="24"/>
          <w:szCs w:val="24"/>
        </w:rPr>
        <w:tab/>
      </w:r>
      <w:r>
        <w:rPr>
          <w:rFonts w:ascii="Times New Roman"/>
          <w:b w:val="0"/>
          <w:sz w:val="24"/>
          <w:szCs w:val="24"/>
        </w:rPr>
        <w:fldChar w:fldCharType="begin"/>
      </w:r>
      <w:r>
        <w:rPr>
          <w:rFonts w:ascii="Times New Roman"/>
          <w:b w:val="0"/>
          <w:sz w:val="24"/>
          <w:szCs w:val="24"/>
        </w:rPr>
        <w:instrText xml:space="preserve"> PAGEREF _Toc150177014 \h </w:instrText>
      </w:r>
      <w:r>
        <w:rPr>
          <w:rFonts w:ascii="Times New Roman"/>
          <w:b w:val="0"/>
          <w:sz w:val="24"/>
          <w:szCs w:val="24"/>
        </w:rPr>
        <w:fldChar w:fldCharType="separate"/>
      </w:r>
      <w:r>
        <w:rPr>
          <w:rFonts w:ascii="Times New Roman"/>
          <w:b w:val="0"/>
          <w:sz w:val="24"/>
          <w:szCs w:val="24"/>
        </w:rPr>
        <w:t>4</w:t>
      </w:r>
      <w:r>
        <w:rPr>
          <w:rFonts w:ascii="Times New Roman"/>
          <w:b w:val="0"/>
          <w:sz w:val="24"/>
          <w:szCs w:val="24"/>
        </w:rPr>
        <w:fldChar w:fldCharType="end"/>
      </w:r>
      <w:r>
        <w:rPr>
          <w:rFonts w:ascii="Times New Roman"/>
          <w:b w:val="0"/>
          <w:sz w:val="24"/>
          <w:szCs w:val="24"/>
        </w:rPr>
        <w:fldChar w:fldCharType="end"/>
      </w:r>
    </w:p>
    <w:p>
      <w:pPr>
        <w:pStyle w:val="23"/>
        <w:tabs>
          <w:tab w:val="right" w:leader="dot" w:pos="8296"/>
        </w:tabs>
        <w:spacing w:before="0" w:after="0" w:line="360" w:lineRule="auto"/>
        <w:ind w:left="240" w:right="240"/>
        <w:rPr>
          <w:rFonts w:ascii="Times New Roman" w:eastAsiaTheme="minorEastAsia"/>
          <w:b w:val="0"/>
          <w:bCs w:val="0"/>
          <w:kern w:val="2"/>
          <w:sz w:val="24"/>
          <w:szCs w:val="24"/>
        </w:rPr>
      </w:pPr>
      <w:r>
        <w:fldChar w:fldCharType="begin"/>
      </w:r>
      <w:r>
        <w:instrText xml:space="preserve"> HYPERLINK \l "_Toc150177015" </w:instrText>
      </w:r>
      <w:r>
        <w:fldChar w:fldCharType="separate"/>
      </w:r>
      <w:r>
        <w:rPr>
          <w:rStyle w:val="32"/>
          <w:rFonts w:ascii="Times New Roman"/>
          <w:b w:val="0"/>
          <w:color w:val="auto"/>
          <w:sz w:val="24"/>
          <w:szCs w:val="24"/>
        </w:rPr>
        <w:t>3.3 Safety and economic</w:t>
      </w:r>
      <w:r>
        <w:rPr>
          <w:rFonts w:ascii="Times New Roman"/>
          <w:b w:val="0"/>
          <w:sz w:val="24"/>
          <w:szCs w:val="24"/>
        </w:rPr>
        <w:tab/>
      </w:r>
      <w:r>
        <w:rPr>
          <w:rFonts w:ascii="Times New Roman"/>
          <w:b w:val="0"/>
          <w:sz w:val="24"/>
          <w:szCs w:val="24"/>
        </w:rPr>
        <w:fldChar w:fldCharType="begin"/>
      </w:r>
      <w:r>
        <w:rPr>
          <w:rFonts w:ascii="Times New Roman"/>
          <w:b w:val="0"/>
          <w:sz w:val="24"/>
          <w:szCs w:val="24"/>
        </w:rPr>
        <w:instrText xml:space="preserve"> PAGEREF _Toc150177015 \h </w:instrText>
      </w:r>
      <w:r>
        <w:rPr>
          <w:rFonts w:ascii="Times New Roman"/>
          <w:b w:val="0"/>
          <w:sz w:val="24"/>
          <w:szCs w:val="24"/>
        </w:rPr>
        <w:fldChar w:fldCharType="separate"/>
      </w:r>
      <w:r>
        <w:rPr>
          <w:rFonts w:ascii="Times New Roman"/>
          <w:b w:val="0"/>
          <w:sz w:val="24"/>
          <w:szCs w:val="24"/>
        </w:rPr>
        <w:t>7</w:t>
      </w:r>
      <w:r>
        <w:rPr>
          <w:rFonts w:ascii="Times New Roman"/>
          <w:b w:val="0"/>
          <w:sz w:val="24"/>
          <w:szCs w:val="24"/>
        </w:rPr>
        <w:fldChar w:fldCharType="end"/>
      </w:r>
      <w:r>
        <w:rPr>
          <w:rFonts w:ascii="Times New Roman"/>
          <w:b w:val="0"/>
          <w:sz w:val="24"/>
          <w:szCs w:val="24"/>
        </w:rPr>
        <w:fldChar w:fldCharType="end"/>
      </w:r>
    </w:p>
    <w:p>
      <w:pPr>
        <w:pStyle w:val="19"/>
        <w:tabs>
          <w:tab w:val="right" w:leader="dot" w:pos="8296"/>
        </w:tabs>
        <w:spacing w:line="360" w:lineRule="auto"/>
        <w:rPr>
          <w:rFonts w:ascii="Times New Roman" w:eastAsiaTheme="minorEastAsia"/>
          <w:b w:val="0"/>
          <w:bCs w:val="0"/>
          <w:caps w:val="0"/>
          <w:kern w:val="2"/>
        </w:rPr>
      </w:pPr>
      <w:r>
        <w:fldChar w:fldCharType="begin"/>
      </w:r>
      <w:r>
        <w:instrText xml:space="preserve"> HYPERLINK \l "_Toc150177016" </w:instrText>
      </w:r>
      <w:r>
        <w:fldChar w:fldCharType="separate"/>
      </w:r>
      <w:r>
        <w:rPr>
          <w:rStyle w:val="32"/>
          <w:rFonts w:ascii="Times New Roman"/>
          <w:b w:val="0"/>
          <w:caps w:val="0"/>
          <w:color w:val="auto"/>
        </w:rPr>
        <w:t>4  Evaluation and strategy</w:t>
      </w:r>
      <w:r>
        <w:rPr>
          <w:rFonts w:ascii="Times New Roman"/>
          <w:b w:val="0"/>
          <w:caps w:val="0"/>
        </w:rPr>
        <w:tab/>
      </w:r>
      <w:r>
        <w:rPr>
          <w:rFonts w:ascii="Times New Roman"/>
          <w:b w:val="0"/>
          <w:caps w:val="0"/>
        </w:rPr>
        <w:fldChar w:fldCharType="begin"/>
      </w:r>
      <w:r>
        <w:rPr>
          <w:rFonts w:ascii="Times New Roman"/>
          <w:b w:val="0"/>
          <w:caps w:val="0"/>
        </w:rPr>
        <w:instrText xml:space="preserve"> PAGEREF _Toc150177016 \h </w:instrText>
      </w:r>
      <w:r>
        <w:rPr>
          <w:rFonts w:ascii="Times New Roman"/>
          <w:b w:val="0"/>
          <w:caps w:val="0"/>
        </w:rPr>
        <w:fldChar w:fldCharType="separate"/>
      </w:r>
      <w:r>
        <w:rPr>
          <w:rFonts w:ascii="Times New Roman"/>
          <w:b w:val="0"/>
          <w:caps w:val="0"/>
        </w:rPr>
        <w:t>9</w:t>
      </w:r>
      <w:r>
        <w:rPr>
          <w:rFonts w:ascii="Times New Roman"/>
          <w:b w:val="0"/>
          <w:caps w:val="0"/>
        </w:rPr>
        <w:fldChar w:fldCharType="end"/>
      </w:r>
      <w:r>
        <w:rPr>
          <w:rFonts w:ascii="Times New Roman"/>
          <w:b w:val="0"/>
          <w:caps w:val="0"/>
        </w:rPr>
        <w:fldChar w:fldCharType="end"/>
      </w:r>
    </w:p>
    <w:p>
      <w:pPr>
        <w:pStyle w:val="23"/>
        <w:tabs>
          <w:tab w:val="right" w:leader="dot" w:pos="8296"/>
        </w:tabs>
        <w:spacing w:before="0" w:after="0" w:line="360" w:lineRule="auto"/>
        <w:ind w:left="240" w:right="240"/>
        <w:rPr>
          <w:rFonts w:ascii="Times New Roman" w:eastAsiaTheme="minorEastAsia"/>
          <w:b w:val="0"/>
          <w:bCs w:val="0"/>
          <w:kern w:val="2"/>
          <w:sz w:val="24"/>
          <w:szCs w:val="24"/>
        </w:rPr>
      </w:pPr>
      <w:r>
        <w:fldChar w:fldCharType="begin"/>
      </w:r>
      <w:r>
        <w:instrText xml:space="preserve"> HYPERLINK \l "_Toc150177017" </w:instrText>
      </w:r>
      <w:r>
        <w:fldChar w:fldCharType="separate"/>
      </w:r>
      <w:r>
        <w:rPr>
          <w:rStyle w:val="32"/>
          <w:rFonts w:ascii="Times New Roman"/>
          <w:b w:val="0"/>
          <w:color w:val="auto"/>
          <w:sz w:val="24"/>
          <w:szCs w:val="24"/>
        </w:rPr>
        <w:t>4.1 Evaluation</w:t>
      </w:r>
      <w:r>
        <w:rPr>
          <w:rFonts w:ascii="Times New Roman"/>
          <w:b w:val="0"/>
          <w:sz w:val="24"/>
          <w:szCs w:val="24"/>
        </w:rPr>
        <w:tab/>
      </w:r>
      <w:r>
        <w:rPr>
          <w:rFonts w:ascii="Times New Roman"/>
          <w:b w:val="0"/>
          <w:sz w:val="24"/>
          <w:szCs w:val="24"/>
        </w:rPr>
        <w:fldChar w:fldCharType="begin"/>
      </w:r>
      <w:r>
        <w:rPr>
          <w:rFonts w:ascii="Times New Roman"/>
          <w:b w:val="0"/>
          <w:sz w:val="24"/>
          <w:szCs w:val="24"/>
        </w:rPr>
        <w:instrText xml:space="preserve"> PAGEREF _Toc150177017 \h </w:instrText>
      </w:r>
      <w:r>
        <w:rPr>
          <w:rFonts w:ascii="Times New Roman"/>
          <w:b w:val="0"/>
          <w:sz w:val="24"/>
          <w:szCs w:val="24"/>
        </w:rPr>
        <w:fldChar w:fldCharType="separate"/>
      </w:r>
      <w:r>
        <w:rPr>
          <w:rFonts w:ascii="Times New Roman"/>
          <w:b w:val="0"/>
          <w:sz w:val="24"/>
          <w:szCs w:val="24"/>
        </w:rPr>
        <w:t>9</w:t>
      </w:r>
      <w:r>
        <w:rPr>
          <w:rFonts w:ascii="Times New Roman"/>
          <w:b w:val="0"/>
          <w:sz w:val="24"/>
          <w:szCs w:val="24"/>
        </w:rPr>
        <w:fldChar w:fldCharType="end"/>
      </w:r>
      <w:r>
        <w:rPr>
          <w:rFonts w:ascii="Times New Roman"/>
          <w:b w:val="0"/>
          <w:sz w:val="24"/>
          <w:szCs w:val="24"/>
        </w:rPr>
        <w:fldChar w:fldCharType="end"/>
      </w:r>
    </w:p>
    <w:p>
      <w:pPr>
        <w:pStyle w:val="23"/>
        <w:tabs>
          <w:tab w:val="right" w:leader="dot" w:pos="8296"/>
        </w:tabs>
        <w:spacing w:before="0" w:after="0" w:line="360" w:lineRule="auto"/>
        <w:ind w:left="240" w:right="240"/>
        <w:rPr>
          <w:rFonts w:ascii="Times New Roman" w:eastAsiaTheme="minorEastAsia"/>
          <w:b w:val="0"/>
          <w:bCs w:val="0"/>
          <w:kern w:val="2"/>
          <w:sz w:val="24"/>
          <w:szCs w:val="24"/>
        </w:rPr>
      </w:pPr>
      <w:r>
        <w:fldChar w:fldCharType="begin"/>
      </w:r>
      <w:r>
        <w:instrText xml:space="preserve"> HYPERLINK \l "_Toc150177018" </w:instrText>
      </w:r>
      <w:r>
        <w:fldChar w:fldCharType="separate"/>
      </w:r>
      <w:r>
        <w:rPr>
          <w:rStyle w:val="32"/>
          <w:rFonts w:ascii="Times New Roman"/>
          <w:b w:val="0"/>
          <w:color w:val="auto"/>
          <w:sz w:val="24"/>
          <w:szCs w:val="24"/>
        </w:rPr>
        <w:t>4.2 Strategy</w:t>
      </w:r>
      <w:r>
        <w:rPr>
          <w:rFonts w:ascii="Times New Roman"/>
          <w:b w:val="0"/>
          <w:sz w:val="24"/>
          <w:szCs w:val="24"/>
        </w:rPr>
        <w:tab/>
      </w:r>
      <w:r>
        <w:rPr>
          <w:rFonts w:ascii="Times New Roman"/>
          <w:b w:val="0"/>
          <w:sz w:val="24"/>
          <w:szCs w:val="24"/>
        </w:rPr>
        <w:fldChar w:fldCharType="begin"/>
      </w:r>
      <w:r>
        <w:rPr>
          <w:rFonts w:ascii="Times New Roman"/>
          <w:b w:val="0"/>
          <w:sz w:val="24"/>
          <w:szCs w:val="24"/>
        </w:rPr>
        <w:instrText xml:space="preserve"> PAGEREF _Toc150177018 \h </w:instrText>
      </w:r>
      <w:r>
        <w:rPr>
          <w:rFonts w:ascii="Times New Roman"/>
          <w:b w:val="0"/>
          <w:sz w:val="24"/>
          <w:szCs w:val="24"/>
        </w:rPr>
        <w:fldChar w:fldCharType="separate"/>
      </w:r>
      <w:r>
        <w:rPr>
          <w:rFonts w:ascii="Times New Roman"/>
          <w:b w:val="0"/>
          <w:sz w:val="24"/>
          <w:szCs w:val="24"/>
        </w:rPr>
        <w:t>10</w:t>
      </w:r>
      <w:r>
        <w:rPr>
          <w:rFonts w:ascii="Times New Roman"/>
          <w:b w:val="0"/>
          <w:sz w:val="24"/>
          <w:szCs w:val="24"/>
        </w:rPr>
        <w:fldChar w:fldCharType="end"/>
      </w:r>
      <w:r>
        <w:rPr>
          <w:rFonts w:ascii="Times New Roman"/>
          <w:b w:val="0"/>
          <w:sz w:val="24"/>
          <w:szCs w:val="24"/>
        </w:rPr>
        <w:fldChar w:fldCharType="end"/>
      </w:r>
    </w:p>
    <w:p>
      <w:pPr>
        <w:pStyle w:val="19"/>
        <w:tabs>
          <w:tab w:val="right" w:leader="dot" w:pos="8296"/>
        </w:tabs>
        <w:spacing w:line="360" w:lineRule="auto"/>
        <w:rPr>
          <w:rFonts w:ascii="Times New Roman" w:eastAsiaTheme="minorEastAsia"/>
          <w:b w:val="0"/>
          <w:bCs w:val="0"/>
          <w:caps w:val="0"/>
          <w:kern w:val="2"/>
        </w:rPr>
      </w:pPr>
      <w:r>
        <w:fldChar w:fldCharType="begin"/>
      </w:r>
      <w:r>
        <w:instrText xml:space="preserve"> HYPERLINK \l "_Toc150177019" </w:instrText>
      </w:r>
      <w:r>
        <w:fldChar w:fldCharType="separate"/>
      </w:r>
      <w:r>
        <w:rPr>
          <w:rStyle w:val="32"/>
          <w:rFonts w:ascii="Times New Roman"/>
          <w:b w:val="0"/>
          <w:caps w:val="0"/>
          <w:color w:val="auto"/>
        </w:rPr>
        <w:t>5  Architectural design</w:t>
      </w:r>
      <w:r>
        <w:rPr>
          <w:rFonts w:ascii="Times New Roman"/>
          <w:b w:val="0"/>
          <w:caps w:val="0"/>
        </w:rPr>
        <w:tab/>
      </w:r>
      <w:r>
        <w:rPr>
          <w:rFonts w:ascii="Times New Roman"/>
          <w:b w:val="0"/>
          <w:caps w:val="0"/>
        </w:rPr>
        <w:fldChar w:fldCharType="begin"/>
      </w:r>
      <w:r>
        <w:rPr>
          <w:rFonts w:ascii="Times New Roman"/>
          <w:b w:val="0"/>
          <w:caps w:val="0"/>
        </w:rPr>
        <w:instrText xml:space="preserve"> PAGEREF _Toc150177019 \h </w:instrText>
      </w:r>
      <w:r>
        <w:rPr>
          <w:rFonts w:ascii="Times New Roman"/>
          <w:b w:val="0"/>
          <w:caps w:val="0"/>
        </w:rPr>
        <w:fldChar w:fldCharType="separate"/>
      </w:r>
      <w:r>
        <w:rPr>
          <w:rFonts w:ascii="Times New Roman"/>
          <w:b w:val="0"/>
          <w:caps w:val="0"/>
        </w:rPr>
        <w:t>12</w:t>
      </w:r>
      <w:r>
        <w:rPr>
          <w:rFonts w:ascii="Times New Roman"/>
          <w:b w:val="0"/>
          <w:caps w:val="0"/>
        </w:rPr>
        <w:fldChar w:fldCharType="end"/>
      </w:r>
      <w:r>
        <w:rPr>
          <w:rFonts w:ascii="Times New Roman"/>
          <w:b w:val="0"/>
          <w:caps w:val="0"/>
        </w:rPr>
        <w:fldChar w:fldCharType="end"/>
      </w:r>
    </w:p>
    <w:p>
      <w:pPr>
        <w:pStyle w:val="23"/>
        <w:tabs>
          <w:tab w:val="right" w:leader="dot" w:pos="8296"/>
        </w:tabs>
        <w:spacing w:before="0" w:after="0" w:line="360" w:lineRule="auto"/>
        <w:ind w:left="240" w:right="240"/>
        <w:rPr>
          <w:rFonts w:ascii="Times New Roman" w:eastAsiaTheme="minorEastAsia"/>
          <w:b w:val="0"/>
          <w:bCs w:val="0"/>
          <w:kern w:val="2"/>
          <w:sz w:val="24"/>
          <w:szCs w:val="24"/>
        </w:rPr>
      </w:pPr>
      <w:r>
        <w:fldChar w:fldCharType="begin"/>
      </w:r>
      <w:r>
        <w:instrText xml:space="preserve"> HYPERLINK \l "_Toc150177020" </w:instrText>
      </w:r>
      <w:r>
        <w:fldChar w:fldCharType="separate"/>
      </w:r>
      <w:r>
        <w:rPr>
          <w:rStyle w:val="32"/>
          <w:rFonts w:ascii="Times New Roman"/>
          <w:b w:val="0"/>
          <w:color w:val="auto"/>
          <w:sz w:val="24"/>
          <w:szCs w:val="24"/>
        </w:rPr>
        <w:t>5.1 General requirements</w:t>
      </w:r>
      <w:r>
        <w:rPr>
          <w:rFonts w:ascii="Times New Roman"/>
          <w:b w:val="0"/>
          <w:sz w:val="24"/>
          <w:szCs w:val="24"/>
        </w:rPr>
        <w:tab/>
      </w:r>
      <w:r>
        <w:rPr>
          <w:rFonts w:ascii="Times New Roman"/>
          <w:b w:val="0"/>
          <w:sz w:val="24"/>
          <w:szCs w:val="24"/>
        </w:rPr>
        <w:fldChar w:fldCharType="begin"/>
      </w:r>
      <w:r>
        <w:rPr>
          <w:rFonts w:ascii="Times New Roman"/>
          <w:b w:val="0"/>
          <w:sz w:val="24"/>
          <w:szCs w:val="24"/>
        </w:rPr>
        <w:instrText xml:space="preserve"> PAGEREF _Toc150177020 \h </w:instrText>
      </w:r>
      <w:r>
        <w:rPr>
          <w:rFonts w:ascii="Times New Roman"/>
          <w:b w:val="0"/>
          <w:sz w:val="24"/>
          <w:szCs w:val="24"/>
        </w:rPr>
        <w:fldChar w:fldCharType="separate"/>
      </w:r>
      <w:r>
        <w:rPr>
          <w:rFonts w:ascii="Times New Roman"/>
          <w:b w:val="0"/>
          <w:sz w:val="24"/>
          <w:szCs w:val="24"/>
        </w:rPr>
        <w:t>12</w:t>
      </w:r>
      <w:r>
        <w:rPr>
          <w:rFonts w:ascii="Times New Roman"/>
          <w:b w:val="0"/>
          <w:sz w:val="24"/>
          <w:szCs w:val="24"/>
        </w:rPr>
        <w:fldChar w:fldCharType="end"/>
      </w:r>
      <w:r>
        <w:rPr>
          <w:rFonts w:ascii="Times New Roman"/>
          <w:b w:val="0"/>
          <w:sz w:val="24"/>
          <w:szCs w:val="24"/>
        </w:rPr>
        <w:fldChar w:fldCharType="end"/>
      </w:r>
    </w:p>
    <w:p>
      <w:pPr>
        <w:pStyle w:val="23"/>
        <w:tabs>
          <w:tab w:val="right" w:leader="dot" w:pos="8296"/>
        </w:tabs>
        <w:spacing w:before="0" w:after="0" w:line="360" w:lineRule="auto"/>
        <w:ind w:left="240" w:right="240"/>
        <w:rPr>
          <w:rFonts w:ascii="Times New Roman" w:eastAsiaTheme="minorEastAsia"/>
          <w:b w:val="0"/>
          <w:bCs w:val="0"/>
          <w:kern w:val="2"/>
          <w:sz w:val="24"/>
          <w:szCs w:val="24"/>
        </w:rPr>
      </w:pPr>
      <w:r>
        <w:fldChar w:fldCharType="begin"/>
      </w:r>
      <w:r>
        <w:instrText xml:space="preserve"> HYPERLINK \l "_Toc150177021" </w:instrText>
      </w:r>
      <w:r>
        <w:fldChar w:fldCharType="separate"/>
      </w:r>
      <w:r>
        <w:rPr>
          <w:rStyle w:val="32"/>
          <w:rFonts w:ascii="Times New Roman"/>
          <w:b w:val="0"/>
          <w:color w:val="auto"/>
          <w:sz w:val="24"/>
          <w:szCs w:val="24"/>
        </w:rPr>
        <w:t>5.2 Scale and indexes</w:t>
      </w:r>
      <w:r>
        <w:rPr>
          <w:rFonts w:ascii="Times New Roman"/>
          <w:b w:val="0"/>
          <w:sz w:val="24"/>
          <w:szCs w:val="24"/>
        </w:rPr>
        <w:tab/>
      </w:r>
      <w:r>
        <w:rPr>
          <w:rFonts w:ascii="Times New Roman"/>
          <w:b w:val="0"/>
          <w:sz w:val="24"/>
          <w:szCs w:val="24"/>
        </w:rPr>
        <w:fldChar w:fldCharType="begin"/>
      </w:r>
      <w:r>
        <w:rPr>
          <w:rFonts w:ascii="Times New Roman"/>
          <w:b w:val="0"/>
          <w:sz w:val="24"/>
          <w:szCs w:val="24"/>
        </w:rPr>
        <w:instrText xml:space="preserve"> PAGEREF _Toc150177021 \h </w:instrText>
      </w:r>
      <w:r>
        <w:rPr>
          <w:rFonts w:ascii="Times New Roman"/>
          <w:b w:val="0"/>
          <w:sz w:val="24"/>
          <w:szCs w:val="24"/>
        </w:rPr>
        <w:fldChar w:fldCharType="separate"/>
      </w:r>
      <w:r>
        <w:rPr>
          <w:rFonts w:ascii="Times New Roman"/>
          <w:b w:val="0"/>
          <w:sz w:val="24"/>
          <w:szCs w:val="24"/>
        </w:rPr>
        <w:t>12</w:t>
      </w:r>
      <w:r>
        <w:rPr>
          <w:rFonts w:ascii="Times New Roman"/>
          <w:b w:val="0"/>
          <w:sz w:val="24"/>
          <w:szCs w:val="24"/>
        </w:rPr>
        <w:fldChar w:fldCharType="end"/>
      </w:r>
      <w:r>
        <w:rPr>
          <w:rFonts w:ascii="Times New Roman"/>
          <w:b w:val="0"/>
          <w:sz w:val="24"/>
          <w:szCs w:val="24"/>
        </w:rPr>
        <w:fldChar w:fldCharType="end"/>
      </w:r>
    </w:p>
    <w:p>
      <w:pPr>
        <w:pStyle w:val="23"/>
        <w:tabs>
          <w:tab w:val="right" w:leader="dot" w:pos="8296"/>
        </w:tabs>
        <w:spacing w:before="0" w:after="0" w:line="360" w:lineRule="auto"/>
        <w:ind w:left="240" w:right="240"/>
        <w:rPr>
          <w:rFonts w:ascii="Times New Roman" w:eastAsiaTheme="minorEastAsia"/>
          <w:b w:val="0"/>
          <w:bCs w:val="0"/>
          <w:kern w:val="2"/>
          <w:sz w:val="24"/>
          <w:szCs w:val="24"/>
        </w:rPr>
      </w:pPr>
      <w:r>
        <w:fldChar w:fldCharType="begin"/>
      </w:r>
      <w:r>
        <w:instrText xml:space="preserve"> HYPERLINK \l "_Toc150177022" </w:instrText>
      </w:r>
      <w:r>
        <w:fldChar w:fldCharType="separate"/>
      </w:r>
      <w:r>
        <w:rPr>
          <w:rStyle w:val="32"/>
          <w:rFonts w:ascii="Times New Roman"/>
          <w:b w:val="0"/>
          <w:color w:val="auto"/>
          <w:sz w:val="24"/>
          <w:szCs w:val="24"/>
        </w:rPr>
        <w:t>5.3 Site and general layout</w:t>
      </w:r>
      <w:r>
        <w:rPr>
          <w:rFonts w:ascii="Times New Roman"/>
          <w:b w:val="0"/>
          <w:sz w:val="24"/>
          <w:szCs w:val="24"/>
        </w:rPr>
        <w:tab/>
      </w:r>
      <w:r>
        <w:rPr>
          <w:rFonts w:ascii="Times New Roman"/>
          <w:b w:val="0"/>
          <w:sz w:val="24"/>
          <w:szCs w:val="24"/>
        </w:rPr>
        <w:fldChar w:fldCharType="begin"/>
      </w:r>
      <w:r>
        <w:rPr>
          <w:rFonts w:ascii="Times New Roman"/>
          <w:b w:val="0"/>
          <w:sz w:val="24"/>
          <w:szCs w:val="24"/>
        </w:rPr>
        <w:instrText xml:space="preserve"> PAGEREF _Toc150177022 \h </w:instrText>
      </w:r>
      <w:r>
        <w:rPr>
          <w:rFonts w:ascii="Times New Roman"/>
          <w:b w:val="0"/>
          <w:sz w:val="24"/>
          <w:szCs w:val="24"/>
        </w:rPr>
        <w:fldChar w:fldCharType="separate"/>
      </w:r>
      <w:r>
        <w:rPr>
          <w:rFonts w:ascii="Times New Roman"/>
          <w:b w:val="0"/>
          <w:sz w:val="24"/>
          <w:szCs w:val="24"/>
        </w:rPr>
        <w:t>13</w:t>
      </w:r>
      <w:r>
        <w:rPr>
          <w:rFonts w:ascii="Times New Roman"/>
          <w:b w:val="0"/>
          <w:sz w:val="24"/>
          <w:szCs w:val="24"/>
        </w:rPr>
        <w:fldChar w:fldCharType="end"/>
      </w:r>
      <w:r>
        <w:rPr>
          <w:rFonts w:ascii="Times New Roman"/>
          <w:b w:val="0"/>
          <w:sz w:val="24"/>
          <w:szCs w:val="24"/>
        </w:rPr>
        <w:fldChar w:fldCharType="end"/>
      </w:r>
    </w:p>
    <w:p>
      <w:pPr>
        <w:pStyle w:val="23"/>
        <w:tabs>
          <w:tab w:val="right" w:leader="dot" w:pos="8296"/>
        </w:tabs>
        <w:spacing w:before="0" w:after="0" w:line="360" w:lineRule="auto"/>
        <w:ind w:left="240" w:right="240"/>
        <w:rPr>
          <w:rFonts w:ascii="Times New Roman" w:eastAsiaTheme="minorEastAsia"/>
          <w:b w:val="0"/>
          <w:bCs w:val="0"/>
          <w:kern w:val="2"/>
          <w:sz w:val="24"/>
          <w:szCs w:val="24"/>
        </w:rPr>
      </w:pPr>
      <w:r>
        <w:fldChar w:fldCharType="begin"/>
      </w:r>
      <w:r>
        <w:instrText xml:space="preserve"> HYPERLINK \l "_Toc150177023" </w:instrText>
      </w:r>
      <w:r>
        <w:fldChar w:fldCharType="separate"/>
      </w:r>
      <w:r>
        <w:rPr>
          <w:rStyle w:val="32"/>
          <w:rFonts w:ascii="Times New Roman"/>
          <w:b w:val="0"/>
          <w:color w:val="auto"/>
          <w:sz w:val="24"/>
          <w:szCs w:val="24"/>
        </w:rPr>
        <w:t>5.4 Architectural style</w:t>
      </w:r>
      <w:r>
        <w:rPr>
          <w:rFonts w:ascii="Times New Roman"/>
          <w:b w:val="0"/>
          <w:sz w:val="24"/>
          <w:szCs w:val="24"/>
        </w:rPr>
        <w:tab/>
      </w:r>
      <w:r>
        <w:rPr>
          <w:rFonts w:ascii="Times New Roman"/>
          <w:b w:val="0"/>
          <w:sz w:val="24"/>
          <w:szCs w:val="24"/>
        </w:rPr>
        <w:fldChar w:fldCharType="begin"/>
      </w:r>
      <w:r>
        <w:rPr>
          <w:rFonts w:ascii="Times New Roman"/>
          <w:b w:val="0"/>
          <w:sz w:val="24"/>
          <w:szCs w:val="24"/>
        </w:rPr>
        <w:instrText xml:space="preserve"> PAGEREF _Toc150177023 \h </w:instrText>
      </w:r>
      <w:r>
        <w:rPr>
          <w:rFonts w:ascii="Times New Roman"/>
          <w:b w:val="0"/>
          <w:sz w:val="24"/>
          <w:szCs w:val="24"/>
        </w:rPr>
        <w:fldChar w:fldCharType="separate"/>
      </w:r>
      <w:r>
        <w:rPr>
          <w:rFonts w:ascii="Times New Roman"/>
          <w:b w:val="0"/>
          <w:sz w:val="24"/>
          <w:szCs w:val="24"/>
        </w:rPr>
        <w:t>14</w:t>
      </w:r>
      <w:r>
        <w:rPr>
          <w:rFonts w:ascii="Times New Roman"/>
          <w:b w:val="0"/>
          <w:sz w:val="24"/>
          <w:szCs w:val="24"/>
        </w:rPr>
        <w:fldChar w:fldCharType="end"/>
      </w:r>
      <w:r>
        <w:rPr>
          <w:rFonts w:ascii="Times New Roman"/>
          <w:b w:val="0"/>
          <w:sz w:val="24"/>
          <w:szCs w:val="24"/>
        </w:rPr>
        <w:fldChar w:fldCharType="end"/>
      </w:r>
    </w:p>
    <w:p>
      <w:pPr>
        <w:pStyle w:val="19"/>
        <w:tabs>
          <w:tab w:val="right" w:leader="dot" w:pos="8296"/>
        </w:tabs>
        <w:spacing w:line="360" w:lineRule="auto"/>
        <w:rPr>
          <w:rFonts w:ascii="Times New Roman" w:eastAsiaTheme="minorEastAsia"/>
          <w:b w:val="0"/>
          <w:bCs w:val="0"/>
          <w:caps w:val="0"/>
          <w:kern w:val="2"/>
        </w:rPr>
      </w:pPr>
      <w:r>
        <w:fldChar w:fldCharType="begin"/>
      </w:r>
      <w:r>
        <w:instrText xml:space="preserve"> HYPERLINK \l "_Toc150177024" </w:instrText>
      </w:r>
      <w:r>
        <w:fldChar w:fldCharType="separate"/>
      </w:r>
      <w:r>
        <w:rPr>
          <w:rStyle w:val="32"/>
          <w:rFonts w:ascii="Times New Roman"/>
          <w:b w:val="0"/>
          <w:caps w:val="0"/>
          <w:color w:val="auto"/>
        </w:rPr>
        <w:t>6  Structral design</w:t>
      </w:r>
      <w:r>
        <w:rPr>
          <w:rFonts w:ascii="Times New Roman"/>
          <w:b w:val="0"/>
          <w:caps w:val="0"/>
        </w:rPr>
        <w:tab/>
      </w:r>
      <w:r>
        <w:rPr>
          <w:rFonts w:ascii="Times New Roman"/>
          <w:b w:val="0"/>
          <w:caps w:val="0"/>
        </w:rPr>
        <w:fldChar w:fldCharType="begin"/>
      </w:r>
      <w:r>
        <w:rPr>
          <w:rFonts w:ascii="Times New Roman"/>
          <w:b w:val="0"/>
          <w:caps w:val="0"/>
        </w:rPr>
        <w:instrText xml:space="preserve"> PAGEREF _Toc150177024 \h </w:instrText>
      </w:r>
      <w:r>
        <w:rPr>
          <w:rFonts w:ascii="Times New Roman"/>
          <w:b w:val="0"/>
          <w:caps w:val="0"/>
        </w:rPr>
        <w:fldChar w:fldCharType="separate"/>
      </w:r>
      <w:r>
        <w:rPr>
          <w:rFonts w:ascii="Times New Roman"/>
          <w:b w:val="0"/>
          <w:caps w:val="0"/>
        </w:rPr>
        <w:t>16</w:t>
      </w:r>
      <w:r>
        <w:rPr>
          <w:rFonts w:ascii="Times New Roman"/>
          <w:b w:val="0"/>
          <w:caps w:val="0"/>
        </w:rPr>
        <w:fldChar w:fldCharType="end"/>
      </w:r>
      <w:r>
        <w:rPr>
          <w:rFonts w:ascii="Times New Roman"/>
          <w:b w:val="0"/>
          <w:caps w:val="0"/>
        </w:rPr>
        <w:fldChar w:fldCharType="end"/>
      </w:r>
    </w:p>
    <w:p>
      <w:pPr>
        <w:pStyle w:val="23"/>
        <w:tabs>
          <w:tab w:val="right" w:leader="dot" w:pos="8296"/>
        </w:tabs>
        <w:spacing w:before="0" w:after="0" w:line="360" w:lineRule="auto"/>
        <w:ind w:left="240" w:right="240"/>
        <w:rPr>
          <w:rFonts w:ascii="Times New Roman" w:eastAsiaTheme="minorEastAsia"/>
          <w:b w:val="0"/>
          <w:bCs w:val="0"/>
          <w:kern w:val="2"/>
          <w:sz w:val="24"/>
          <w:szCs w:val="24"/>
        </w:rPr>
      </w:pPr>
      <w:r>
        <w:fldChar w:fldCharType="begin"/>
      </w:r>
      <w:r>
        <w:instrText xml:space="preserve"> HYPERLINK \l "_Toc150177025" </w:instrText>
      </w:r>
      <w:r>
        <w:fldChar w:fldCharType="separate"/>
      </w:r>
      <w:r>
        <w:rPr>
          <w:rStyle w:val="32"/>
          <w:rFonts w:ascii="Times New Roman"/>
          <w:b w:val="0"/>
          <w:color w:val="auto"/>
          <w:sz w:val="24"/>
          <w:szCs w:val="24"/>
        </w:rPr>
        <w:t>6.1</w:t>
      </w:r>
      <w:r>
        <w:rPr>
          <w:rFonts w:ascii="Times New Roman"/>
          <w:b w:val="0"/>
          <w:sz w:val="24"/>
          <w:szCs w:val="24"/>
        </w:rPr>
        <w:t xml:space="preserve"> </w:t>
      </w:r>
      <w:r>
        <w:rPr>
          <w:rStyle w:val="32"/>
          <w:rFonts w:ascii="Times New Roman"/>
          <w:b w:val="0"/>
          <w:color w:val="auto"/>
          <w:sz w:val="24"/>
          <w:szCs w:val="24"/>
        </w:rPr>
        <w:t>General requirements</w:t>
      </w:r>
      <w:r>
        <w:rPr>
          <w:rFonts w:ascii="Times New Roman"/>
          <w:b w:val="0"/>
          <w:sz w:val="24"/>
          <w:szCs w:val="24"/>
        </w:rPr>
        <w:tab/>
      </w:r>
      <w:r>
        <w:rPr>
          <w:rFonts w:ascii="Times New Roman"/>
          <w:b w:val="0"/>
          <w:sz w:val="24"/>
          <w:szCs w:val="24"/>
        </w:rPr>
        <w:fldChar w:fldCharType="begin"/>
      </w:r>
      <w:r>
        <w:rPr>
          <w:rFonts w:ascii="Times New Roman"/>
          <w:b w:val="0"/>
          <w:sz w:val="24"/>
          <w:szCs w:val="24"/>
        </w:rPr>
        <w:instrText xml:space="preserve"> PAGEREF _Toc150177025 \h </w:instrText>
      </w:r>
      <w:r>
        <w:rPr>
          <w:rFonts w:ascii="Times New Roman"/>
          <w:b w:val="0"/>
          <w:sz w:val="24"/>
          <w:szCs w:val="24"/>
        </w:rPr>
        <w:fldChar w:fldCharType="separate"/>
      </w:r>
      <w:r>
        <w:rPr>
          <w:rFonts w:ascii="Times New Roman"/>
          <w:b w:val="0"/>
          <w:sz w:val="24"/>
          <w:szCs w:val="24"/>
        </w:rPr>
        <w:t>16</w:t>
      </w:r>
      <w:r>
        <w:rPr>
          <w:rFonts w:ascii="Times New Roman"/>
          <w:b w:val="0"/>
          <w:sz w:val="24"/>
          <w:szCs w:val="24"/>
        </w:rPr>
        <w:fldChar w:fldCharType="end"/>
      </w:r>
      <w:r>
        <w:rPr>
          <w:rFonts w:ascii="Times New Roman"/>
          <w:b w:val="0"/>
          <w:sz w:val="24"/>
          <w:szCs w:val="24"/>
        </w:rPr>
        <w:fldChar w:fldCharType="end"/>
      </w:r>
    </w:p>
    <w:p>
      <w:pPr>
        <w:pStyle w:val="23"/>
        <w:tabs>
          <w:tab w:val="right" w:leader="dot" w:pos="8296"/>
        </w:tabs>
        <w:spacing w:before="0" w:after="0" w:line="360" w:lineRule="auto"/>
        <w:ind w:left="240" w:right="240"/>
        <w:rPr>
          <w:rFonts w:ascii="Times New Roman" w:eastAsiaTheme="minorEastAsia"/>
          <w:b w:val="0"/>
          <w:bCs w:val="0"/>
          <w:kern w:val="2"/>
          <w:sz w:val="24"/>
          <w:szCs w:val="24"/>
        </w:rPr>
      </w:pPr>
      <w:r>
        <w:fldChar w:fldCharType="begin"/>
      </w:r>
      <w:r>
        <w:instrText xml:space="preserve"> HYPERLINK \l "_Toc150177026" </w:instrText>
      </w:r>
      <w:r>
        <w:fldChar w:fldCharType="separate"/>
      </w:r>
      <w:r>
        <w:rPr>
          <w:rStyle w:val="32"/>
          <w:rFonts w:ascii="Times New Roman"/>
          <w:b w:val="0"/>
          <w:color w:val="auto"/>
          <w:sz w:val="24"/>
          <w:szCs w:val="24"/>
        </w:rPr>
        <w:t>6.2 Structural  detection and appraisal</w:t>
      </w:r>
      <w:r>
        <w:rPr>
          <w:rFonts w:ascii="Times New Roman"/>
          <w:b w:val="0"/>
          <w:sz w:val="24"/>
          <w:szCs w:val="24"/>
        </w:rPr>
        <w:tab/>
      </w:r>
      <w:r>
        <w:rPr>
          <w:rFonts w:ascii="Times New Roman"/>
          <w:b w:val="0"/>
          <w:sz w:val="24"/>
          <w:szCs w:val="24"/>
        </w:rPr>
        <w:fldChar w:fldCharType="begin"/>
      </w:r>
      <w:r>
        <w:rPr>
          <w:rFonts w:ascii="Times New Roman"/>
          <w:b w:val="0"/>
          <w:sz w:val="24"/>
          <w:szCs w:val="24"/>
        </w:rPr>
        <w:instrText xml:space="preserve"> PAGEREF _Toc150177026 \h </w:instrText>
      </w:r>
      <w:r>
        <w:rPr>
          <w:rFonts w:ascii="Times New Roman"/>
          <w:b w:val="0"/>
          <w:sz w:val="24"/>
          <w:szCs w:val="24"/>
        </w:rPr>
        <w:fldChar w:fldCharType="separate"/>
      </w:r>
      <w:r>
        <w:rPr>
          <w:rFonts w:ascii="Times New Roman"/>
          <w:b w:val="0"/>
          <w:sz w:val="24"/>
          <w:szCs w:val="24"/>
        </w:rPr>
        <w:t>16</w:t>
      </w:r>
      <w:r>
        <w:rPr>
          <w:rFonts w:ascii="Times New Roman"/>
          <w:b w:val="0"/>
          <w:sz w:val="24"/>
          <w:szCs w:val="24"/>
        </w:rPr>
        <w:fldChar w:fldCharType="end"/>
      </w:r>
      <w:r>
        <w:rPr>
          <w:rFonts w:ascii="Times New Roman"/>
          <w:b w:val="0"/>
          <w:sz w:val="24"/>
          <w:szCs w:val="24"/>
        </w:rPr>
        <w:fldChar w:fldCharType="end"/>
      </w:r>
    </w:p>
    <w:p>
      <w:pPr>
        <w:pStyle w:val="23"/>
        <w:tabs>
          <w:tab w:val="right" w:leader="dot" w:pos="8296"/>
        </w:tabs>
        <w:spacing w:before="0" w:after="0" w:line="360" w:lineRule="auto"/>
        <w:ind w:left="240" w:right="240"/>
        <w:rPr>
          <w:rFonts w:ascii="Times New Roman" w:eastAsiaTheme="minorEastAsia"/>
          <w:b w:val="0"/>
          <w:bCs w:val="0"/>
          <w:kern w:val="2"/>
          <w:sz w:val="24"/>
          <w:szCs w:val="24"/>
        </w:rPr>
      </w:pPr>
      <w:r>
        <w:fldChar w:fldCharType="begin"/>
      </w:r>
      <w:r>
        <w:instrText xml:space="preserve"> HYPERLINK \l "_Toc150177027" </w:instrText>
      </w:r>
      <w:r>
        <w:fldChar w:fldCharType="separate"/>
      </w:r>
      <w:r>
        <w:rPr>
          <w:rStyle w:val="32"/>
          <w:rFonts w:ascii="Times New Roman"/>
          <w:b w:val="0"/>
          <w:color w:val="auto"/>
          <w:sz w:val="24"/>
          <w:szCs w:val="24"/>
        </w:rPr>
        <w:t>6.3 Structral design</w:t>
      </w:r>
      <w:r>
        <w:rPr>
          <w:rFonts w:ascii="Times New Roman"/>
          <w:b w:val="0"/>
          <w:sz w:val="24"/>
          <w:szCs w:val="24"/>
        </w:rPr>
        <w:tab/>
      </w:r>
      <w:r>
        <w:rPr>
          <w:rFonts w:ascii="Times New Roman"/>
          <w:b w:val="0"/>
          <w:sz w:val="24"/>
          <w:szCs w:val="24"/>
        </w:rPr>
        <w:fldChar w:fldCharType="begin"/>
      </w:r>
      <w:r>
        <w:rPr>
          <w:rFonts w:ascii="Times New Roman"/>
          <w:b w:val="0"/>
          <w:sz w:val="24"/>
          <w:szCs w:val="24"/>
        </w:rPr>
        <w:instrText xml:space="preserve"> PAGEREF _Toc150177027 \h </w:instrText>
      </w:r>
      <w:r>
        <w:rPr>
          <w:rFonts w:ascii="Times New Roman"/>
          <w:b w:val="0"/>
          <w:sz w:val="24"/>
          <w:szCs w:val="24"/>
        </w:rPr>
        <w:fldChar w:fldCharType="separate"/>
      </w:r>
      <w:r>
        <w:rPr>
          <w:rFonts w:ascii="Times New Roman"/>
          <w:b w:val="0"/>
          <w:sz w:val="24"/>
          <w:szCs w:val="24"/>
        </w:rPr>
        <w:t>17</w:t>
      </w:r>
      <w:r>
        <w:rPr>
          <w:rFonts w:ascii="Times New Roman"/>
          <w:b w:val="0"/>
          <w:sz w:val="24"/>
          <w:szCs w:val="24"/>
        </w:rPr>
        <w:fldChar w:fldCharType="end"/>
      </w:r>
      <w:r>
        <w:rPr>
          <w:rFonts w:ascii="Times New Roman"/>
          <w:b w:val="0"/>
          <w:sz w:val="24"/>
          <w:szCs w:val="24"/>
        </w:rPr>
        <w:fldChar w:fldCharType="end"/>
      </w:r>
    </w:p>
    <w:p>
      <w:pPr>
        <w:pStyle w:val="19"/>
        <w:tabs>
          <w:tab w:val="right" w:leader="dot" w:pos="8296"/>
        </w:tabs>
        <w:spacing w:line="360" w:lineRule="auto"/>
        <w:rPr>
          <w:rFonts w:ascii="Times New Roman" w:eastAsiaTheme="minorEastAsia"/>
          <w:b w:val="0"/>
          <w:bCs w:val="0"/>
          <w:caps w:val="0"/>
          <w:kern w:val="2"/>
        </w:rPr>
      </w:pPr>
      <w:r>
        <w:fldChar w:fldCharType="begin"/>
      </w:r>
      <w:r>
        <w:instrText xml:space="preserve"> HYPERLINK \l "_Toc150177028" </w:instrText>
      </w:r>
      <w:r>
        <w:fldChar w:fldCharType="separate"/>
      </w:r>
      <w:r>
        <w:rPr>
          <w:rStyle w:val="32"/>
          <w:rFonts w:ascii="Times New Roman"/>
          <w:b w:val="0"/>
          <w:caps w:val="0"/>
          <w:color w:val="auto"/>
        </w:rPr>
        <w:t>7  Mechanical and electrical design</w:t>
      </w:r>
      <w:r>
        <w:rPr>
          <w:rFonts w:ascii="Times New Roman"/>
          <w:b w:val="0"/>
          <w:caps w:val="0"/>
        </w:rPr>
        <w:tab/>
      </w:r>
      <w:r>
        <w:rPr>
          <w:rFonts w:ascii="Times New Roman"/>
          <w:b w:val="0"/>
          <w:caps w:val="0"/>
        </w:rPr>
        <w:fldChar w:fldCharType="begin"/>
      </w:r>
      <w:r>
        <w:rPr>
          <w:rFonts w:ascii="Times New Roman"/>
          <w:b w:val="0"/>
          <w:caps w:val="0"/>
        </w:rPr>
        <w:instrText xml:space="preserve"> PAGEREF _Toc150177028 \h </w:instrText>
      </w:r>
      <w:r>
        <w:rPr>
          <w:rFonts w:ascii="Times New Roman"/>
          <w:b w:val="0"/>
          <w:caps w:val="0"/>
        </w:rPr>
        <w:fldChar w:fldCharType="separate"/>
      </w:r>
      <w:r>
        <w:rPr>
          <w:rFonts w:ascii="Times New Roman"/>
          <w:b w:val="0"/>
          <w:caps w:val="0"/>
        </w:rPr>
        <w:t>19</w:t>
      </w:r>
      <w:r>
        <w:rPr>
          <w:rFonts w:ascii="Times New Roman"/>
          <w:b w:val="0"/>
          <w:caps w:val="0"/>
        </w:rPr>
        <w:fldChar w:fldCharType="end"/>
      </w:r>
      <w:r>
        <w:rPr>
          <w:rFonts w:ascii="Times New Roman"/>
          <w:b w:val="0"/>
          <w:caps w:val="0"/>
        </w:rPr>
        <w:fldChar w:fldCharType="end"/>
      </w:r>
    </w:p>
    <w:p>
      <w:pPr>
        <w:pStyle w:val="23"/>
        <w:tabs>
          <w:tab w:val="right" w:leader="dot" w:pos="8296"/>
        </w:tabs>
        <w:spacing w:before="0" w:after="0" w:line="360" w:lineRule="auto"/>
        <w:ind w:left="240" w:right="240"/>
        <w:rPr>
          <w:rFonts w:ascii="Times New Roman" w:eastAsiaTheme="minorEastAsia"/>
          <w:b w:val="0"/>
          <w:bCs w:val="0"/>
          <w:kern w:val="2"/>
          <w:sz w:val="24"/>
          <w:szCs w:val="24"/>
        </w:rPr>
      </w:pPr>
      <w:r>
        <w:fldChar w:fldCharType="begin"/>
      </w:r>
      <w:r>
        <w:instrText xml:space="preserve"> HYPERLINK \l "_Toc150177029" </w:instrText>
      </w:r>
      <w:r>
        <w:fldChar w:fldCharType="separate"/>
      </w:r>
      <w:r>
        <w:rPr>
          <w:rStyle w:val="32"/>
          <w:rFonts w:ascii="Times New Roman"/>
          <w:b w:val="0"/>
          <w:color w:val="auto"/>
          <w:sz w:val="24"/>
          <w:szCs w:val="24"/>
        </w:rPr>
        <w:t>7.1</w:t>
      </w:r>
      <w:r>
        <w:rPr>
          <w:rFonts w:ascii="Times New Roman"/>
          <w:b w:val="0"/>
          <w:sz w:val="24"/>
          <w:szCs w:val="24"/>
        </w:rPr>
        <w:t xml:space="preserve"> </w:t>
      </w:r>
      <w:r>
        <w:rPr>
          <w:rStyle w:val="32"/>
          <w:rFonts w:ascii="Times New Roman"/>
          <w:b w:val="0"/>
          <w:color w:val="auto"/>
          <w:sz w:val="24"/>
          <w:szCs w:val="24"/>
        </w:rPr>
        <w:t>General requirements</w:t>
      </w:r>
      <w:r>
        <w:rPr>
          <w:rFonts w:ascii="Times New Roman"/>
          <w:b w:val="0"/>
          <w:sz w:val="24"/>
          <w:szCs w:val="24"/>
        </w:rPr>
        <w:tab/>
      </w:r>
      <w:r>
        <w:rPr>
          <w:rFonts w:ascii="Times New Roman"/>
          <w:b w:val="0"/>
          <w:sz w:val="24"/>
          <w:szCs w:val="24"/>
        </w:rPr>
        <w:fldChar w:fldCharType="begin"/>
      </w:r>
      <w:r>
        <w:rPr>
          <w:rFonts w:ascii="Times New Roman"/>
          <w:b w:val="0"/>
          <w:sz w:val="24"/>
          <w:szCs w:val="24"/>
        </w:rPr>
        <w:instrText xml:space="preserve"> PAGEREF _Toc150177029 \h </w:instrText>
      </w:r>
      <w:r>
        <w:rPr>
          <w:rFonts w:ascii="Times New Roman"/>
          <w:b w:val="0"/>
          <w:sz w:val="24"/>
          <w:szCs w:val="24"/>
        </w:rPr>
        <w:fldChar w:fldCharType="separate"/>
      </w:r>
      <w:r>
        <w:rPr>
          <w:rFonts w:ascii="Times New Roman"/>
          <w:b w:val="0"/>
          <w:sz w:val="24"/>
          <w:szCs w:val="24"/>
        </w:rPr>
        <w:t>19</w:t>
      </w:r>
      <w:r>
        <w:rPr>
          <w:rFonts w:ascii="Times New Roman"/>
          <w:b w:val="0"/>
          <w:sz w:val="24"/>
          <w:szCs w:val="24"/>
        </w:rPr>
        <w:fldChar w:fldCharType="end"/>
      </w:r>
      <w:r>
        <w:rPr>
          <w:rFonts w:ascii="Times New Roman"/>
          <w:b w:val="0"/>
          <w:sz w:val="24"/>
          <w:szCs w:val="24"/>
        </w:rPr>
        <w:fldChar w:fldCharType="end"/>
      </w:r>
    </w:p>
    <w:p>
      <w:pPr>
        <w:pStyle w:val="23"/>
        <w:tabs>
          <w:tab w:val="right" w:leader="dot" w:pos="8296"/>
        </w:tabs>
        <w:spacing w:before="0" w:after="0" w:line="360" w:lineRule="auto"/>
        <w:ind w:left="240" w:right="240"/>
        <w:rPr>
          <w:rFonts w:ascii="Times New Roman" w:eastAsiaTheme="minorEastAsia"/>
          <w:b w:val="0"/>
          <w:bCs w:val="0"/>
          <w:kern w:val="2"/>
          <w:sz w:val="24"/>
          <w:szCs w:val="24"/>
        </w:rPr>
      </w:pPr>
      <w:r>
        <w:fldChar w:fldCharType="begin"/>
      </w:r>
      <w:r>
        <w:instrText xml:space="preserve"> HYPERLINK \l "_Toc150177030" </w:instrText>
      </w:r>
      <w:r>
        <w:fldChar w:fldCharType="separate"/>
      </w:r>
      <w:r>
        <w:rPr>
          <w:rStyle w:val="32"/>
          <w:rFonts w:ascii="Times New Roman"/>
          <w:b w:val="0"/>
          <w:color w:val="auto"/>
          <w:sz w:val="24"/>
          <w:szCs w:val="24"/>
        </w:rPr>
        <w:t>7.2 Water supply and drainage</w:t>
      </w:r>
      <w:r>
        <w:rPr>
          <w:rFonts w:ascii="Times New Roman"/>
          <w:b w:val="0"/>
          <w:sz w:val="24"/>
          <w:szCs w:val="24"/>
        </w:rPr>
        <w:tab/>
      </w:r>
      <w:r>
        <w:rPr>
          <w:rFonts w:ascii="Times New Roman"/>
          <w:b w:val="0"/>
          <w:sz w:val="24"/>
          <w:szCs w:val="24"/>
        </w:rPr>
        <w:fldChar w:fldCharType="begin"/>
      </w:r>
      <w:r>
        <w:rPr>
          <w:rFonts w:ascii="Times New Roman"/>
          <w:b w:val="0"/>
          <w:sz w:val="24"/>
          <w:szCs w:val="24"/>
        </w:rPr>
        <w:instrText xml:space="preserve"> PAGEREF _Toc150177030 \h </w:instrText>
      </w:r>
      <w:r>
        <w:rPr>
          <w:rFonts w:ascii="Times New Roman"/>
          <w:b w:val="0"/>
          <w:sz w:val="24"/>
          <w:szCs w:val="24"/>
        </w:rPr>
        <w:fldChar w:fldCharType="separate"/>
      </w:r>
      <w:r>
        <w:rPr>
          <w:rFonts w:ascii="Times New Roman"/>
          <w:b w:val="0"/>
          <w:sz w:val="24"/>
          <w:szCs w:val="24"/>
        </w:rPr>
        <w:t>19</w:t>
      </w:r>
      <w:r>
        <w:rPr>
          <w:rFonts w:ascii="Times New Roman"/>
          <w:b w:val="0"/>
          <w:sz w:val="24"/>
          <w:szCs w:val="24"/>
        </w:rPr>
        <w:fldChar w:fldCharType="end"/>
      </w:r>
      <w:r>
        <w:rPr>
          <w:rFonts w:ascii="Times New Roman"/>
          <w:b w:val="0"/>
          <w:sz w:val="24"/>
          <w:szCs w:val="24"/>
        </w:rPr>
        <w:fldChar w:fldCharType="end"/>
      </w:r>
    </w:p>
    <w:p>
      <w:pPr>
        <w:pStyle w:val="23"/>
        <w:tabs>
          <w:tab w:val="right" w:leader="dot" w:pos="8296"/>
        </w:tabs>
        <w:spacing w:before="0" w:after="0" w:line="360" w:lineRule="auto"/>
        <w:ind w:left="240" w:right="240"/>
        <w:rPr>
          <w:rFonts w:ascii="Times New Roman" w:eastAsiaTheme="minorEastAsia"/>
          <w:b w:val="0"/>
          <w:bCs w:val="0"/>
          <w:kern w:val="2"/>
          <w:sz w:val="24"/>
          <w:szCs w:val="24"/>
        </w:rPr>
      </w:pPr>
      <w:r>
        <w:fldChar w:fldCharType="begin"/>
      </w:r>
      <w:r>
        <w:instrText xml:space="preserve"> HYPERLINK \l "_Toc150177031" </w:instrText>
      </w:r>
      <w:r>
        <w:fldChar w:fldCharType="separate"/>
      </w:r>
      <w:r>
        <w:rPr>
          <w:rStyle w:val="32"/>
          <w:rFonts w:ascii="Times New Roman"/>
          <w:b w:val="0"/>
          <w:color w:val="auto"/>
          <w:sz w:val="24"/>
          <w:szCs w:val="24"/>
        </w:rPr>
        <w:t>7.3 Heating ventilating and air-conditioning</w:t>
      </w:r>
      <w:r>
        <w:rPr>
          <w:rFonts w:ascii="Times New Roman"/>
          <w:b w:val="0"/>
          <w:sz w:val="24"/>
          <w:szCs w:val="24"/>
        </w:rPr>
        <w:tab/>
      </w:r>
      <w:r>
        <w:rPr>
          <w:rFonts w:ascii="Times New Roman"/>
          <w:b w:val="0"/>
          <w:sz w:val="24"/>
          <w:szCs w:val="24"/>
        </w:rPr>
        <w:fldChar w:fldCharType="begin"/>
      </w:r>
      <w:r>
        <w:rPr>
          <w:rFonts w:ascii="Times New Roman"/>
          <w:b w:val="0"/>
          <w:sz w:val="24"/>
          <w:szCs w:val="24"/>
        </w:rPr>
        <w:instrText xml:space="preserve"> PAGEREF _Toc150177031 \h </w:instrText>
      </w:r>
      <w:r>
        <w:rPr>
          <w:rFonts w:ascii="Times New Roman"/>
          <w:b w:val="0"/>
          <w:sz w:val="24"/>
          <w:szCs w:val="24"/>
        </w:rPr>
        <w:fldChar w:fldCharType="separate"/>
      </w:r>
      <w:r>
        <w:rPr>
          <w:rFonts w:ascii="Times New Roman"/>
          <w:b w:val="0"/>
          <w:sz w:val="24"/>
          <w:szCs w:val="24"/>
        </w:rPr>
        <w:t>20</w:t>
      </w:r>
      <w:r>
        <w:rPr>
          <w:rFonts w:ascii="Times New Roman"/>
          <w:b w:val="0"/>
          <w:sz w:val="24"/>
          <w:szCs w:val="24"/>
        </w:rPr>
        <w:fldChar w:fldCharType="end"/>
      </w:r>
      <w:r>
        <w:rPr>
          <w:rFonts w:ascii="Times New Roman"/>
          <w:b w:val="0"/>
          <w:sz w:val="24"/>
          <w:szCs w:val="24"/>
        </w:rPr>
        <w:fldChar w:fldCharType="end"/>
      </w:r>
    </w:p>
    <w:p>
      <w:pPr>
        <w:pStyle w:val="23"/>
        <w:tabs>
          <w:tab w:val="right" w:leader="dot" w:pos="8296"/>
        </w:tabs>
        <w:spacing w:before="0" w:after="0" w:line="360" w:lineRule="auto"/>
        <w:ind w:left="240" w:right="240"/>
        <w:rPr>
          <w:rFonts w:ascii="Times New Roman" w:eastAsiaTheme="minorEastAsia"/>
          <w:b w:val="0"/>
          <w:bCs w:val="0"/>
          <w:kern w:val="2"/>
          <w:sz w:val="24"/>
          <w:szCs w:val="24"/>
        </w:rPr>
      </w:pPr>
      <w:r>
        <w:fldChar w:fldCharType="begin"/>
      </w:r>
      <w:r>
        <w:instrText xml:space="preserve"> HYPERLINK \l "_Toc150177032" </w:instrText>
      </w:r>
      <w:r>
        <w:fldChar w:fldCharType="separate"/>
      </w:r>
      <w:r>
        <w:rPr>
          <w:rStyle w:val="32"/>
          <w:rFonts w:ascii="Times New Roman"/>
          <w:b w:val="0"/>
          <w:color w:val="auto"/>
          <w:sz w:val="24"/>
          <w:szCs w:val="24"/>
        </w:rPr>
        <w:t>7.4 Building electricity</w:t>
      </w:r>
      <w:r>
        <w:rPr>
          <w:rFonts w:ascii="Times New Roman"/>
          <w:b w:val="0"/>
          <w:sz w:val="24"/>
          <w:szCs w:val="24"/>
        </w:rPr>
        <w:tab/>
      </w:r>
      <w:r>
        <w:rPr>
          <w:rFonts w:ascii="Times New Roman"/>
          <w:b w:val="0"/>
          <w:sz w:val="24"/>
          <w:szCs w:val="24"/>
        </w:rPr>
        <w:fldChar w:fldCharType="begin"/>
      </w:r>
      <w:r>
        <w:rPr>
          <w:rFonts w:ascii="Times New Roman"/>
          <w:b w:val="0"/>
          <w:sz w:val="24"/>
          <w:szCs w:val="24"/>
        </w:rPr>
        <w:instrText xml:space="preserve"> PAGEREF _Toc150177032 \h </w:instrText>
      </w:r>
      <w:r>
        <w:rPr>
          <w:rFonts w:ascii="Times New Roman"/>
          <w:b w:val="0"/>
          <w:sz w:val="24"/>
          <w:szCs w:val="24"/>
        </w:rPr>
        <w:fldChar w:fldCharType="separate"/>
      </w:r>
      <w:r>
        <w:rPr>
          <w:rFonts w:ascii="Times New Roman"/>
          <w:b w:val="0"/>
          <w:sz w:val="24"/>
          <w:szCs w:val="24"/>
        </w:rPr>
        <w:t>21</w:t>
      </w:r>
      <w:r>
        <w:rPr>
          <w:rFonts w:ascii="Times New Roman"/>
          <w:b w:val="0"/>
          <w:sz w:val="24"/>
          <w:szCs w:val="24"/>
        </w:rPr>
        <w:fldChar w:fldCharType="end"/>
      </w:r>
      <w:r>
        <w:rPr>
          <w:rFonts w:ascii="Times New Roman"/>
          <w:b w:val="0"/>
          <w:sz w:val="24"/>
          <w:szCs w:val="24"/>
        </w:rPr>
        <w:fldChar w:fldCharType="end"/>
      </w:r>
    </w:p>
    <w:p>
      <w:pPr>
        <w:pStyle w:val="23"/>
        <w:tabs>
          <w:tab w:val="right" w:leader="dot" w:pos="8296"/>
        </w:tabs>
        <w:spacing w:before="0" w:after="0" w:line="360" w:lineRule="auto"/>
        <w:ind w:left="240" w:right="240"/>
        <w:rPr>
          <w:rFonts w:ascii="Times New Roman" w:eastAsiaTheme="minorEastAsia"/>
          <w:b w:val="0"/>
          <w:bCs w:val="0"/>
          <w:kern w:val="2"/>
          <w:sz w:val="24"/>
          <w:szCs w:val="24"/>
        </w:rPr>
      </w:pPr>
      <w:r>
        <w:fldChar w:fldCharType="begin"/>
      </w:r>
      <w:r>
        <w:instrText xml:space="preserve"> HYPERLINK \l "_Toc150177033" </w:instrText>
      </w:r>
      <w:r>
        <w:fldChar w:fldCharType="separate"/>
      </w:r>
      <w:r>
        <w:rPr>
          <w:rStyle w:val="32"/>
          <w:rFonts w:ascii="Times New Roman"/>
          <w:b w:val="0"/>
          <w:color w:val="auto"/>
          <w:sz w:val="24"/>
          <w:szCs w:val="24"/>
        </w:rPr>
        <w:t>7.5 Building electrical intelligent</w:t>
      </w:r>
      <w:r>
        <w:rPr>
          <w:rFonts w:ascii="Times New Roman"/>
          <w:b w:val="0"/>
          <w:sz w:val="24"/>
          <w:szCs w:val="24"/>
        </w:rPr>
        <w:tab/>
      </w:r>
      <w:r>
        <w:rPr>
          <w:rFonts w:ascii="Times New Roman"/>
          <w:b w:val="0"/>
          <w:sz w:val="24"/>
          <w:szCs w:val="24"/>
        </w:rPr>
        <w:fldChar w:fldCharType="begin"/>
      </w:r>
      <w:r>
        <w:rPr>
          <w:rFonts w:ascii="Times New Roman"/>
          <w:b w:val="0"/>
          <w:sz w:val="24"/>
          <w:szCs w:val="24"/>
        </w:rPr>
        <w:instrText xml:space="preserve"> PAGEREF _Toc150177033 \h </w:instrText>
      </w:r>
      <w:r>
        <w:rPr>
          <w:rFonts w:ascii="Times New Roman"/>
          <w:b w:val="0"/>
          <w:sz w:val="24"/>
          <w:szCs w:val="24"/>
        </w:rPr>
        <w:fldChar w:fldCharType="separate"/>
      </w:r>
      <w:r>
        <w:rPr>
          <w:rFonts w:ascii="Times New Roman"/>
          <w:b w:val="0"/>
          <w:sz w:val="24"/>
          <w:szCs w:val="24"/>
        </w:rPr>
        <w:t>21</w:t>
      </w:r>
      <w:r>
        <w:rPr>
          <w:rFonts w:ascii="Times New Roman"/>
          <w:b w:val="0"/>
          <w:sz w:val="24"/>
          <w:szCs w:val="24"/>
        </w:rPr>
        <w:fldChar w:fldCharType="end"/>
      </w:r>
      <w:r>
        <w:rPr>
          <w:rFonts w:ascii="Times New Roman"/>
          <w:b w:val="0"/>
          <w:sz w:val="24"/>
          <w:szCs w:val="24"/>
        </w:rPr>
        <w:fldChar w:fldCharType="end"/>
      </w:r>
    </w:p>
    <w:p>
      <w:pPr>
        <w:pStyle w:val="19"/>
        <w:tabs>
          <w:tab w:val="right" w:leader="dot" w:pos="8296"/>
        </w:tabs>
        <w:spacing w:line="360" w:lineRule="auto"/>
        <w:rPr>
          <w:rFonts w:ascii="Times New Roman" w:eastAsiaTheme="minorEastAsia"/>
          <w:b w:val="0"/>
          <w:bCs w:val="0"/>
          <w:caps w:val="0"/>
          <w:kern w:val="2"/>
        </w:rPr>
      </w:pPr>
      <w:r>
        <w:fldChar w:fldCharType="begin"/>
      </w:r>
      <w:r>
        <w:instrText xml:space="preserve"> HYPERLINK \l "_Toc150177034" </w:instrText>
      </w:r>
      <w:r>
        <w:fldChar w:fldCharType="separate"/>
      </w:r>
      <w:r>
        <w:rPr>
          <w:rStyle w:val="32"/>
          <w:rFonts w:ascii="Times New Roman"/>
          <w:b w:val="0"/>
          <w:caps w:val="0"/>
          <w:color w:val="auto"/>
        </w:rPr>
        <w:t>8  Fire safety design</w:t>
      </w:r>
      <w:r>
        <w:rPr>
          <w:rFonts w:ascii="Times New Roman"/>
          <w:b w:val="0"/>
          <w:caps w:val="0"/>
        </w:rPr>
        <w:tab/>
      </w:r>
      <w:r>
        <w:rPr>
          <w:rFonts w:ascii="Times New Roman"/>
          <w:b w:val="0"/>
          <w:caps w:val="0"/>
        </w:rPr>
        <w:fldChar w:fldCharType="begin"/>
      </w:r>
      <w:r>
        <w:rPr>
          <w:rFonts w:ascii="Times New Roman"/>
          <w:b w:val="0"/>
          <w:caps w:val="0"/>
        </w:rPr>
        <w:instrText xml:space="preserve"> PAGEREF _Toc150177034 \h </w:instrText>
      </w:r>
      <w:r>
        <w:rPr>
          <w:rFonts w:ascii="Times New Roman"/>
          <w:b w:val="0"/>
          <w:caps w:val="0"/>
        </w:rPr>
        <w:fldChar w:fldCharType="separate"/>
      </w:r>
      <w:r>
        <w:rPr>
          <w:rFonts w:ascii="Times New Roman"/>
          <w:b w:val="0"/>
          <w:caps w:val="0"/>
        </w:rPr>
        <w:t>23</w:t>
      </w:r>
      <w:r>
        <w:rPr>
          <w:rFonts w:ascii="Times New Roman"/>
          <w:b w:val="0"/>
          <w:caps w:val="0"/>
        </w:rPr>
        <w:fldChar w:fldCharType="end"/>
      </w:r>
      <w:r>
        <w:rPr>
          <w:rFonts w:ascii="Times New Roman"/>
          <w:b w:val="0"/>
          <w:caps w:val="0"/>
        </w:rPr>
        <w:fldChar w:fldCharType="end"/>
      </w:r>
    </w:p>
    <w:p>
      <w:pPr>
        <w:pStyle w:val="23"/>
        <w:tabs>
          <w:tab w:val="right" w:leader="dot" w:pos="8296"/>
        </w:tabs>
        <w:spacing w:before="0" w:after="0" w:line="360" w:lineRule="auto"/>
        <w:ind w:left="240" w:right="240"/>
        <w:rPr>
          <w:rFonts w:ascii="Times New Roman" w:eastAsiaTheme="minorEastAsia"/>
          <w:b w:val="0"/>
          <w:bCs w:val="0"/>
          <w:kern w:val="2"/>
          <w:sz w:val="24"/>
          <w:szCs w:val="24"/>
        </w:rPr>
      </w:pPr>
      <w:r>
        <w:fldChar w:fldCharType="begin"/>
      </w:r>
      <w:r>
        <w:instrText xml:space="preserve"> HYPERLINK \l "_Toc150177035" </w:instrText>
      </w:r>
      <w:r>
        <w:fldChar w:fldCharType="separate"/>
      </w:r>
      <w:r>
        <w:rPr>
          <w:rStyle w:val="32"/>
          <w:rFonts w:ascii="Times New Roman"/>
          <w:b w:val="0"/>
          <w:color w:val="auto"/>
          <w:sz w:val="24"/>
          <w:szCs w:val="24"/>
        </w:rPr>
        <w:t>8.1 General requirements</w:t>
      </w:r>
      <w:r>
        <w:rPr>
          <w:rFonts w:ascii="Times New Roman"/>
          <w:b w:val="0"/>
          <w:sz w:val="24"/>
          <w:szCs w:val="24"/>
        </w:rPr>
        <w:tab/>
      </w:r>
      <w:r>
        <w:rPr>
          <w:rFonts w:ascii="Times New Roman"/>
          <w:b w:val="0"/>
          <w:sz w:val="24"/>
          <w:szCs w:val="24"/>
        </w:rPr>
        <w:fldChar w:fldCharType="begin"/>
      </w:r>
      <w:r>
        <w:rPr>
          <w:rFonts w:ascii="Times New Roman"/>
          <w:b w:val="0"/>
          <w:sz w:val="24"/>
          <w:szCs w:val="24"/>
        </w:rPr>
        <w:instrText xml:space="preserve"> PAGEREF _Toc150177035 \h </w:instrText>
      </w:r>
      <w:r>
        <w:rPr>
          <w:rFonts w:ascii="Times New Roman"/>
          <w:b w:val="0"/>
          <w:sz w:val="24"/>
          <w:szCs w:val="24"/>
        </w:rPr>
        <w:fldChar w:fldCharType="separate"/>
      </w:r>
      <w:r>
        <w:rPr>
          <w:rFonts w:ascii="Times New Roman"/>
          <w:b w:val="0"/>
          <w:sz w:val="24"/>
          <w:szCs w:val="24"/>
        </w:rPr>
        <w:t>23</w:t>
      </w:r>
      <w:r>
        <w:rPr>
          <w:rFonts w:ascii="Times New Roman"/>
          <w:b w:val="0"/>
          <w:sz w:val="24"/>
          <w:szCs w:val="24"/>
        </w:rPr>
        <w:fldChar w:fldCharType="end"/>
      </w:r>
      <w:r>
        <w:rPr>
          <w:rFonts w:ascii="Times New Roman"/>
          <w:b w:val="0"/>
          <w:sz w:val="24"/>
          <w:szCs w:val="24"/>
        </w:rPr>
        <w:fldChar w:fldCharType="end"/>
      </w:r>
    </w:p>
    <w:p>
      <w:pPr>
        <w:pStyle w:val="23"/>
        <w:tabs>
          <w:tab w:val="right" w:leader="dot" w:pos="8296"/>
        </w:tabs>
        <w:spacing w:before="0" w:after="0" w:line="360" w:lineRule="auto"/>
        <w:ind w:left="240" w:right="240"/>
        <w:rPr>
          <w:rFonts w:ascii="Times New Roman" w:eastAsiaTheme="minorEastAsia"/>
          <w:b w:val="0"/>
          <w:bCs w:val="0"/>
          <w:kern w:val="2"/>
          <w:sz w:val="24"/>
          <w:szCs w:val="24"/>
        </w:rPr>
      </w:pPr>
      <w:r>
        <w:fldChar w:fldCharType="begin"/>
      </w:r>
      <w:r>
        <w:instrText xml:space="preserve"> HYPERLINK \l "_Toc150177036" </w:instrText>
      </w:r>
      <w:r>
        <w:fldChar w:fldCharType="separate"/>
      </w:r>
      <w:r>
        <w:rPr>
          <w:rStyle w:val="32"/>
          <w:rFonts w:ascii="Times New Roman"/>
          <w:b w:val="0"/>
          <w:color w:val="auto"/>
          <w:sz w:val="24"/>
          <w:szCs w:val="24"/>
        </w:rPr>
        <w:t>8.2 Fire protection and resistance</w:t>
      </w:r>
      <w:r>
        <w:rPr>
          <w:rFonts w:ascii="Times New Roman"/>
          <w:b w:val="0"/>
          <w:sz w:val="24"/>
          <w:szCs w:val="24"/>
        </w:rPr>
        <w:tab/>
      </w:r>
      <w:r>
        <w:rPr>
          <w:rFonts w:ascii="Times New Roman"/>
          <w:b w:val="0"/>
          <w:sz w:val="24"/>
          <w:szCs w:val="24"/>
        </w:rPr>
        <w:fldChar w:fldCharType="begin"/>
      </w:r>
      <w:r>
        <w:rPr>
          <w:rFonts w:ascii="Times New Roman"/>
          <w:b w:val="0"/>
          <w:sz w:val="24"/>
          <w:szCs w:val="24"/>
        </w:rPr>
        <w:instrText xml:space="preserve"> PAGEREF _Toc150177036 \h </w:instrText>
      </w:r>
      <w:r>
        <w:rPr>
          <w:rFonts w:ascii="Times New Roman"/>
          <w:b w:val="0"/>
          <w:sz w:val="24"/>
          <w:szCs w:val="24"/>
        </w:rPr>
        <w:fldChar w:fldCharType="separate"/>
      </w:r>
      <w:r>
        <w:rPr>
          <w:rFonts w:ascii="Times New Roman"/>
          <w:b w:val="0"/>
          <w:sz w:val="24"/>
          <w:szCs w:val="24"/>
        </w:rPr>
        <w:t>23</w:t>
      </w:r>
      <w:r>
        <w:rPr>
          <w:rFonts w:ascii="Times New Roman"/>
          <w:b w:val="0"/>
          <w:sz w:val="24"/>
          <w:szCs w:val="24"/>
        </w:rPr>
        <w:fldChar w:fldCharType="end"/>
      </w:r>
      <w:r>
        <w:rPr>
          <w:rFonts w:ascii="Times New Roman"/>
          <w:b w:val="0"/>
          <w:sz w:val="24"/>
          <w:szCs w:val="24"/>
        </w:rPr>
        <w:fldChar w:fldCharType="end"/>
      </w:r>
    </w:p>
    <w:p>
      <w:pPr>
        <w:pStyle w:val="23"/>
        <w:tabs>
          <w:tab w:val="right" w:leader="dot" w:pos="8296"/>
        </w:tabs>
        <w:spacing w:before="0" w:after="0" w:line="360" w:lineRule="auto"/>
        <w:ind w:left="240" w:right="240"/>
        <w:rPr>
          <w:rFonts w:ascii="Times New Roman" w:eastAsiaTheme="minorEastAsia"/>
          <w:b w:val="0"/>
          <w:bCs w:val="0"/>
          <w:kern w:val="2"/>
          <w:sz w:val="24"/>
          <w:szCs w:val="24"/>
        </w:rPr>
      </w:pPr>
      <w:r>
        <w:fldChar w:fldCharType="begin"/>
      </w:r>
      <w:r>
        <w:instrText xml:space="preserve"> HYPERLINK \l "_Toc150177037" </w:instrText>
      </w:r>
      <w:r>
        <w:fldChar w:fldCharType="separate"/>
      </w:r>
      <w:r>
        <w:rPr>
          <w:rStyle w:val="32"/>
          <w:rFonts w:ascii="Times New Roman"/>
          <w:b w:val="0"/>
          <w:color w:val="auto"/>
          <w:sz w:val="24"/>
          <w:szCs w:val="24"/>
        </w:rPr>
        <w:t>8.3 Fire rescue facilities and fire emergency power supply</w:t>
      </w:r>
      <w:r>
        <w:rPr>
          <w:rFonts w:ascii="Times New Roman"/>
          <w:b w:val="0"/>
          <w:sz w:val="24"/>
          <w:szCs w:val="24"/>
        </w:rPr>
        <w:tab/>
      </w:r>
      <w:r>
        <w:rPr>
          <w:rFonts w:ascii="Times New Roman"/>
          <w:b w:val="0"/>
          <w:sz w:val="24"/>
          <w:szCs w:val="24"/>
        </w:rPr>
        <w:fldChar w:fldCharType="begin"/>
      </w:r>
      <w:r>
        <w:rPr>
          <w:rFonts w:ascii="Times New Roman"/>
          <w:b w:val="0"/>
          <w:sz w:val="24"/>
          <w:szCs w:val="24"/>
        </w:rPr>
        <w:instrText xml:space="preserve"> PAGEREF _Toc150177037 \h </w:instrText>
      </w:r>
      <w:r>
        <w:rPr>
          <w:rFonts w:ascii="Times New Roman"/>
          <w:b w:val="0"/>
          <w:sz w:val="24"/>
          <w:szCs w:val="24"/>
        </w:rPr>
        <w:fldChar w:fldCharType="separate"/>
      </w:r>
      <w:r>
        <w:rPr>
          <w:rFonts w:ascii="Times New Roman"/>
          <w:b w:val="0"/>
          <w:sz w:val="24"/>
          <w:szCs w:val="24"/>
        </w:rPr>
        <w:t>24</w:t>
      </w:r>
      <w:r>
        <w:rPr>
          <w:rFonts w:ascii="Times New Roman"/>
          <w:b w:val="0"/>
          <w:sz w:val="24"/>
          <w:szCs w:val="24"/>
        </w:rPr>
        <w:fldChar w:fldCharType="end"/>
      </w:r>
      <w:r>
        <w:rPr>
          <w:rFonts w:ascii="Times New Roman"/>
          <w:b w:val="0"/>
          <w:sz w:val="24"/>
          <w:szCs w:val="24"/>
        </w:rPr>
        <w:fldChar w:fldCharType="end"/>
      </w:r>
    </w:p>
    <w:p>
      <w:pPr>
        <w:pStyle w:val="23"/>
        <w:tabs>
          <w:tab w:val="right" w:leader="dot" w:pos="8296"/>
        </w:tabs>
        <w:spacing w:before="0" w:after="0" w:line="360" w:lineRule="auto"/>
        <w:ind w:left="240" w:right="240"/>
        <w:rPr>
          <w:rFonts w:ascii="Times New Roman" w:eastAsiaTheme="minorEastAsia"/>
          <w:b w:val="0"/>
          <w:bCs w:val="0"/>
          <w:kern w:val="2"/>
          <w:sz w:val="24"/>
          <w:szCs w:val="24"/>
        </w:rPr>
      </w:pPr>
      <w:r>
        <w:fldChar w:fldCharType="begin"/>
      </w:r>
      <w:r>
        <w:instrText xml:space="preserve"> HYPERLINK \l "_Toc150177038" </w:instrText>
      </w:r>
      <w:r>
        <w:fldChar w:fldCharType="separate"/>
      </w:r>
      <w:r>
        <w:rPr>
          <w:rStyle w:val="32"/>
          <w:rFonts w:ascii="Times New Roman"/>
          <w:b w:val="0"/>
          <w:color w:val="auto"/>
          <w:sz w:val="24"/>
          <w:szCs w:val="24"/>
        </w:rPr>
        <w:t>8.4 Firefighting and rescue condition</w:t>
      </w:r>
      <w:r>
        <w:rPr>
          <w:rFonts w:ascii="Times New Roman"/>
          <w:b w:val="0"/>
          <w:sz w:val="24"/>
          <w:szCs w:val="24"/>
        </w:rPr>
        <w:tab/>
      </w:r>
      <w:r>
        <w:rPr>
          <w:rFonts w:ascii="Times New Roman"/>
          <w:b w:val="0"/>
          <w:sz w:val="24"/>
          <w:szCs w:val="24"/>
        </w:rPr>
        <w:fldChar w:fldCharType="begin"/>
      </w:r>
      <w:r>
        <w:rPr>
          <w:rFonts w:ascii="Times New Roman"/>
          <w:b w:val="0"/>
          <w:sz w:val="24"/>
          <w:szCs w:val="24"/>
        </w:rPr>
        <w:instrText xml:space="preserve"> PAGEREF _Toc150177038 \h </w:instrText>
      </w:r>
      <w:r>
        <w:rPr>
          <w:rFonts w:ascii="Times New Roman"/>
          <w:b w:val="0"/>
          <w:sz w:val="24"/>
          <w:szCs w:val="24"/>
        </w:rPr>
        <w:fldChar w:fldCharType="separate"/>
      </w:r>
      <w:r>
        <w:rPr>
          <w:rFonts w:ascii="Times New Roman"/>
          <w:b w:val="0"/>
          <w:sz w:val="24"/>
          <w:szCs w:val="24"/>
        </w:rPr>
        <w:t>25</w:t>
      </w:r>
      <w:r>
        <w:rPr>
          <w:rFonts w:ascii="Times New Roman"/>
          <w:b w:val="0"/>
          <w:sz w:val="24"/>
          <w:szCs w:val="24"/>
        </w:rPr>
        <w:fldChar w:fldCharType="end"/>
      </w:r>
      <w:r>
        <w:rPr>
          <w:rFonts w:ascii="Times New Roman"/>
          <w:b w:val="0"/>
          <w:sz w:val="24"/>
          <w:szCs w:val="24"/>
        </w:rPr>
        <w:fldChar w:fldCharType="end"/>
      </w:r>
    </w:p>
    <w:p>
      <w:pPr>
        <w:pStyle w:val="19"/>
        <w:tabs>
          <w:tab w:val="right" w:leader="dot" w:pos="8296"/>
        </w:tabs>
        <w:spacing w:line="360" w:lineRule="auto"/>
        <w:rPr>
          <w:rFonts w:ascii="Times New Roman" w:eastAsiaTheme="minorEastAsia"/>
          <w:b w:val="0"/>
          <w:bCs w:val="0"/>
          <w:caps w:val="0"/>
          <w:kern w:val="2"/>
        </w:rPr>
      </w:pPr>
      <w:r>
        <w:fldChar w:fldCharType="begin"/>
      </w:r>
      <w:r>
        <w:instrText xml:space="preserve"> HYPERLINK \l "_Toc150177039" </w:instrText>
      </w:r>
      <w:r>
        <w:fldChar w:fldCharType="separate"/>
      </w:r>
      <w:r>
        <w:rPr>
          <w:rStyle w:val="32"/>
          <w:rFonts w:ascii="Times New Roman"/>
          <w:b w:val="0"/>
          <w:caps w:val="0"/>
          <w:color w:val="auto"/>
        </w:rPr>
        <w:t>9  Green and low-Carbon architecture</w:t>
      </w:r>
      <w:r>
        <w:rPr>
          <w:rFonts w:ascii="Times New Roman"/>
          <w:b w:val="0"/>
          <w:caps w:val="0"/>
        </w:rPr>
        <w:tab/>
      </w:r>
      <w:r>
        <w:rPr>
          <w:rFonts w:ascii="Times New Roman"/>
          <w:b w:val="0"/>
          <w:caps w:val="0"/>
        </w:rPr>
        <w:fldChar w:fldCharType="begin"/>
      </w:r>
      <w:r>
        <w:rPr>
          <w:rFonts w:ascii="Times New Roman"/>
          <w:b w:val="0"/>
          <w:caps w:val="0"/>
        </w:rPr>
        <w:instrText xml:space="preserve"> PAGEREF _Toc150177039 \h </w:instrText>
      </w:r>
      <w:r>
        <w:rPr>
          <w:rFonts w:ascii="Times New Roman"/>
          <w:b w:val="0"/>
          <w:caps w:val="0"/>
        </w:rPr>
        <w:fldChar w:fldCharType="separate"/>
      </w:r>
      <w:r>
        <w:rPr>
          <w:rFonts w:ascii="Times New Roman"/>
          <w:b w:val="0"/>
          <w:caps w:val="0"/>
        </w:rPr>
        <w:t>26</w:t>
      </w:r>
      <w:r>
        <w:rPr>
          <w:rFonts w:ascii="Times New Roman"/>
          <w:b w:val="0"/>
          <w:caps w:val="0"/>
        </w:rPr>
        <w:fldChar w:fldCharType="end"/>
      </w:r>
      <w:r>
        <w:rPr>
          <w:rFonts w:ascii="Times New Roman"/>
          <w:b w:val="0"/>
          <w:caps w:val="0"/>
        </w:rPr>
        <w:fldChar w:fldCharType="end"/>
      </w:r>
    </w:p>
    <w:p>
      <w:pPr>
        <w:pStyle w:val="19"/>
        <w:tabs>
          <w:tab w:val="right" w:leader="dot" w:pos="8296"/>
        </w:tabs>
        <w:spacing w:line="360" w:lineRule="auto"/>
        <w:rPr>
          <w:rFonts w:ascii="Times New Roman" w:eastAsiaTheme="minorEastAsia"/>
          <w:b w:val="0"/>
          <w:bCs w:val="0"/>
          <w:caps w:val="0"/>
          <w:kern w:val="2"/>
        </w:rPr>
      </w:pPr>
      <w:r>
        <w:fldChar w:fldCharType="begin"/>
      </w:r>
      <w:r>
        <w:instrText xml:space="preserve"> HYPERLINK \l "_Toc150177040" </w:instrText>
      </w:r>
      <w:r>
        <w:fldChar w:fldCharType="separate"/>
      </w:r>
      <w:r>
        <w:rPr>
          <w:rStyle w:val="32"/>
          <w:rFonts w:ascii="Times New Roman"/>
          <w:b w:val="0"/>
          <w:caps w:val="0"/>
          <w:color w:val="auto"/>
        </w:rPr>
        <w:t>Appendix A Evaluation content of the existing industrial building</w:t>
      </w:r>
      <w:r>
        <w:rPr>
          <w:rFonts w:ascii="Times New Roman"/>
          <w:b w:val="0"/>
          <w:caps w:val="0"/>
        </w:rPr>
        <w:tab/>
      </w:r>
      <w:r>
        <w:rPr>
          <w:rFonts w:ascii="Times New Roman"/>
          <w:b w:val="0"/>
          <w:caps w:val="0"/>
        </w:rPr>
        <w:fldChar w:fldCharType="begin"/>
      </w:r>
      <w:r>
        <w:rPr>
          <w:rFonts w:ascii="Times New Roman"/>
          <w:b w:val="0"/>
          <w:caps w:val="0"/>
        </w:rPr>
        <w:instrText xml:space="preserve"> PAGEREF _Toc150177040 \h </w:instrText>
      </w:r>
      <w:r>
        <w:rPr>
          <w:rFonts w:ascii="Times New Roman"/>
          <w:b w:val="0"/>
          <w:caps w:val="0"/>
        </w:rPr>
        <w:fldChar w:fldCharType="separate"/>
      </w:r>
      <w:r>
        <w:rPr>
          <w:rFonts w:ascii="Times New Roman"/>
          <w:b w:val="0"/>
          <w:caps w:val="0"/>
        </w:rPr>
        <w:t>28</w:t>
      </w:r>
      <w:r>
        <w:rPr>
          <w:rFonts w:ascii="Times New Roman"/>
          <w:b w:val="0"/>
          <w:caps w:val="0"/>
        </w:rPr>
        <w:fldChar w:fldCharType="end"/>
      </w:r>
      <w:r>
        <w:rPr>
          <w:rFonts w:ascii="Times New Roman"/>
          <w:b w:val="0"/>
          <w:caps w:val="0"/>
        </w:rPr>
        <w:fldChar w:fldCharType="end"/>
      </w:r>
    </w:p>
    <w:p>
      <w:pPr>
        <w:pStyle w:val="19"/>
        <w:tabs>
          <w:tab w:val="right" w:leader="dot" w:pos="8296"/>
        </w:tabs>
        <w:spacing w:line="360" w:lineRule="auto"/>
        <w:rPr>
          <w:rFonts w:ascii="Times New Roman" w:eastAsiaTheme="minorEastAsia"/>
          <w:b w:val="0"/>
          <w:bCs w:val="0"/>
          <w:caps w:val="0"/>
          <w:kern w:val="2"/>
        </w:rPr>
      </w:pPr>
      <w:r>
        <w:fldChar w:fldCharType="begin"/>
      </w:r>
      <w:r>
        <w:instrText xml:space="preserve"> HYPERLINK \l "_Toc150177041" </w:instrText>
      </w:r>
      <w:r>
        <w:fldChar w:fldCharType="separate"/>
      </w:r>
      <w:r>
        <w:rPr>
          <w:rStyle w:val="32"/>
          <w:rFonts w:ascii="Times New Roman"/>
          <w:b w:val="0"/>
          <w:caps w:val="0"/>
          <w:color w:val="auto"/>
        </w:rPr>
        <w:t>Explanation of wording in this code</w:t>
      </w:r>
      <w:r>
        <w:rPr>
          <w:rFonts w:ascii="Times New Roman"/>
          <w:b w:val="0"/>
          <w:caps w:val="0"/>
        </w:rPr>
        <w:tab/>
      </w:r>
      <w:r>
        <w:rPr>
          <w:rFonts w:ascii="Times New Roman"/>
          <w:b w:val="0"/>
          <w:caps w:val="0"/>
        </w:rPr>
        <w:fldChar w:fldCharType="begin"/>
      </w:r>
      <w:r>
        <w:rPr>
          <w:rFonts w:ascii="Times New Roman"/>
          <w:b w:val="0"/>
          <w:caps w:val="0"/>
        </w:rPr>
        <w:instrText xml:space="preserve"> PAGEREF _Toc150177041 \h </w:instrText>
      </w:r>
      <w:r>
        <w:rPr>
          <w:rFonts w:ascii="Times New Roman"/>
          <w:b w:val="0"/>
          <w:caps w:val="0"/>
        </w:rPr>
        <w:fldChar w:fldCharType="separate"/>
      </w:r>
      <w:r>
        <w:rPr>
          <w:rFonts w:ascii="Times New Roman"/>
          <w:b w:val="0"/>
          <w:caps w:val="0"/>
        </w:rPr>
        <w:t>32</w:t>
      </w:r>
      <w:r>
        <w:rPr>
          <w:rFonts w:ascii="Times New Roman"/>
          <w:b w:val="0"/>
          <w:caps w:val="0"/>
        </w:rPr>
        <w:fldChar w:fldCharType="end"/>
      </w:r>
      <w:r>
        <w:rPr>
          <w:rFonts w:ascii="Times New Roman"/>
          <w:b w:val="0"/>
          <w:caps w:val="0"/>
        </w:rPr>
        <w:fldChar w:fldCharType="end"/>
      </w:r>
    </w:p>
    <w:p>
      <w:pPr>
        <w:pStyle w:val="19"/>
        <w:tabs>
          <w:tab w:val="right" w:leader="dot" w:pos="8296"/>
        </w:tabs>
        <w:spacing w:line="360" w:lineRule="auto"/>
        <w:rPr>
          <w:rFonts w:ascii="Times New Roman" w:eastAsiaTheme="minorEastAsia"/>
          <w:b w:val="0"/>
          <w:bCs w:val="0"/>
          <w:caps w:val="0"/>
          <w:kern w:val="2"/>
        </w:rPr>
      </w:pPr>
      <w:r>
        <w:fldChar w:fldCharType="begin"/>
      </w:r>
      <w:r>
        <w:instrText xml:space="preserve"> HYPERLINK \l "_Toc150177042" </w:instrText>
      </w:r>
      <w:r>
        <w:fldChar w:fldCharType="separate"/>
      </w:r>
      <w:r>
        <w:rPr>
          <w:rStyle w:val="32"/>
          <w:rFonts w:ascii="Times New Roman"/>
          <w:b w:val="0"/>
          <w:caps w:val="0"/>
          <w:color w:val="auto"/>
        </w:rPr>
        <w:t>List of quoted standards</w:t>
      </w:r>
      <w:r>
        <w:rPr>
          <w:rFonts w:ascii="Times New Roman"/>
          <w:b w:val="0"/>
          <w:caps w:val="0"/>
        </w:rPr>
        <w:tab/>
      </w:r>
      <w:r>
        <w:rPr>
          <w:rFonts w:ascii="Times New Roman"/>
          <w:b w:val="0"/>
          <w:caps w:val="0"/>
        </w:rPr>
        <w:fldChar w:fldCharType="begin"/>
      </w:r>
      <w:r>
        <w:rPr>
          <w:rFonts w:ascii="Times New Roman"/>
          <w:b w:val="0"/>
          <w:caps w:val="0"/>
        </w:rPr>
        <w:instrText xml:space="preserve"> PAGEREF _Toc150177042 \h </w:instrText>
      </w:r>
      <w:r>
        <w:rPr>
          <w:rFonts w:ascii="Times New Roman"/>
          <w:b w:val="0"/>
          <w:caps w:val="0"/>
        </w:rPr>
        <w:fldChar w:fldCharType="separate"/>
      </w:r>
      <w:r>
        <w:rPr>
          <w:rFonts w:ascii="Times New Roman"/>
          <w:b w:val="0"/>
          <w:caps w:val="0"/>
        </w:rPr>
        <w:t>33</w:t>
      </w:r>
      <w:r>
        <w:rPr>
          <w:rFonts w:ascii="Times New Roman"/>
          <w:b w:val="0"/>
          <w:caps w:val="0"/>
        </w:rPr>
        <w:fldChar w:fldCharType="end"/>
      </w:r>
      <w:r>
        <w:rPr>
          <w:rFonts w:ascii="Times New Roman"/>
          <w:b w:val="0"/>
          <w:caps w:val="0"/>
        </w:rPr>
        <w:fldChar w:fldCharType="end"/>
      </w:r>
    </w:p>
    <w:p>
      <w:r>
        <w:rPr>
          <w:bCs/>
          <w:caps/>
          <w:szCs w:val="24"/>
          <w:lang w:val="zh-CN"/>
        </w:rPr>
        <w:fldChar w:fldCharType="end"/>
      </w:r>
      <w:r>
        <w:rPr>
          <w:bCs/>
          <w:szCs w:val="24"/>
        </w:rPr>
        <w:t>Explanation</w:t>
      </w:r>
      <w:r>
        <w:rPr>
          <w:bCs/>
          <w:caps/>
          <w:szCs w:val="24"/>
        </w:rPr>
        <w:t xml:space="preserve"> </w:t>
      </w:r>
      <w:r>
        <w:rPr>
          <w:bCs/>
          <w:szCs w:val="24"/>
        </w:rPr>
        <w:t>of</w:t>
      </w:r>
      <w:r>
        <w:rPr>
          <w:bCs/>
          <w:caps/>
          <w:szCs w:val="24"/>
        </w:rPr>
        <w:t xml:space="preserve"> </w:t>
      </w:r>
      <w:r>
        <w:rPr>
          <w:bCs/>
          <w:szCs w:val="24"/>
        </w:rPr>
        <w:t>provisions</w:t>
      </w:r>
      <w:r>
        <w:t>……………………………………………………………</w:t>
      </w:r>
      <w:r>
        <w:rPr>
          <w:sz w:val="32"/>
        </w:rPr>
        <w:t xml:space="preserve"> </w:t>
      </w:r>
      <w:r>
        <w:fldChar w:fldCharType="begin"/>
      </w:r>
      <w:r>
        <w:instrText xml:space="preserve"> PAGEREF _Toc150176876 \h </w:instrText>
      </w:r>
      <w:r>
        <w:fldChar w:fldCharType="separate"/>
      </w:r>
      <w:r>
        <w:t>33</w:t>
      </w:r>
      <w:r>
        <w:fldChar w:fldCharType="end"/>
      </w:r>
    </w:p>
    <w:p>
      <w:pPr>
        <w:rPr>
          <w:rFonts w:asciiTheme="majorHAnsi"/>
          <w:b/>
          <w:bCs/>
          <w:caps/>
          <w:szCs w:val="24"/>
        </w:rPr>
      </w:pPr>
    </w:p>
    <w:p>
      <w:pPr>
        <w:sectPr>
          <w:footerReference r:id="rId5" w:type="default"/>
          <w:pgSz w:w="11906" w:h="16838"/>
          <w:pgMar w:top="1440" w:right="1800" w:bottom="1440" w:left="1800" w:header="851" w:footer="992" w:gutter="0"/>
          <w:pgNumType w:start="1"/>
          <w:cols w:space="425" w:num="1"/>
          <w:docGrid w:type="lines" w:linePitch="312" w:charSpace="0"/>
        </w:sectPr>
      </w:pPr>
    </w:p>
    <w:p>
      <w:pPr>
        <w:pStyle w:val="2"/>
        <w:spacing w:before="156" w:beforeLines="50" w:after="156" w:afterLines="50" w:line="360" w:lineRule="auto"/>
        <w:jc w:val="center"/>
        <w:rPr>
          <w:rFonts w:ascii="宋体" w:hAnsi="宋体"/>
        </w:rPr>
      </w:pPr>
      <w:bookmarkStart w:id="11" w:name="_Toc35023279"/>
      <w:bookmarkStart w:id="12" w:name="_Toc35162936"/>
      <w:bookmarkStart w:id="13" w:name="_Toc149556977"/>
      <w:bookmarkStart w:id="14" w:name="_Toc149557036"/>
      <w:bookmarkStart w:id="15" w:name="_Toc149331200"/>
      <w:bookmarkStart w:id="16" w:name="_Toc149330712"/>
      <w:bookmarkStart w:id="17" w:name="_Toc149557684"/>
      <w:bookmarkStart w:id="18" w:name="_Toc150176290"/>
      <w:bookmarkStart w:id="19" w:name="_Toc150177010"/>
      <w:bookmarkStart w:id="20" w:name="_Toc150176844"/>
      <w:r>
        <w:rPr>
          <w:rFonts w:ascii="宋体" w:hAnsi="宋体"/>
          <w:sz w:val="32"/>
        </w:rPr>
        <w:t xml:space="preserve">1  </w:t>
      </w:r>
      <w:r>
        <w:rPr>
          <w:rFonts w:hint="eastAsia" w:ascii="宋体" w:hAnsi="宋体"/>
          <w:sz w:val="32"/>
        </w:rPr>
        <w:t>总则</w:t>
      </w:r>
      <w:bookmarkEnd w:id="11"/>
      <w:bookmarkEnd w:id="12"/>
      <w:bookmarkEnd w:id="13"/>
      <w:bookmarkEnd w:id="14"/>
      <w:bookmarkEnd w:id="15"/>
      <w:bookmarkEnd w:id="16"/>
      <w:bookmarkEnd w:id="17"/>
      <w:bookmarkEnd w:id="18"/>
      <w:bookmarkEnd w:id="19"/>
      <w:bookmarkEnd w:id="20"/>
    </w:p>
    <w:p>
      <w:pPr>
        <w:pStyle w:val="40"/>
        <w:numPr>
          <w:ilvl w:val="2"/>
          <w:numId w:val="1"/>
        </w:numPr>
        <w:snapToGrid w:val="0"/>
        <w:ind w:left="0" w:firstLine="0" w:firstLineChars="0"/>
        <w:rPr>
          <w:szCs w:val="24"/>
        </w:rPr>
      </w:pPr>
      <w:r>
        <w:rPr>
          <w:szCs w:val="24"/>
        </w:rPr>
        <w:t>为</w:t>
      </w:r>
      <w:r>
        <w:rPr>
          <w:rFonts w:hint="eastAsia"/>
          <w:szCs w:val="24"/>
        </w:rPr>
        <w:t>规范老旧厂房更新改造的技术要求，推动老旧厂房转型升级、功能优化和提质增效，促进北京城市更新与城市复兴进程，实现城市高质量发展，制定本标准。</w:t>
      </w:r>
    </w:p>
    <w:p>
      <w:pPr>
        <w:pStyle w:val="40"/>
        <w:snapToGrid w:val="0"/>
        <w:ind w:left="720" w:firstLine="0" w:firstLineChars="0"/>
        <w:rPr>
          <w:szCs w:val="24"/>
        </w:rPr>
      </w:pPr>
    </w:p>
    <w:p>
      <w:pPr>
        <w:pStyle w:val="40"/>
        <w:numPr>
          <w:ilvl w:val="2"/>
          <w:numId w:val="1"/>
        </w:numPr>
        <w:snapToGrid w:val="0"/>
        <w:ind w:left="0" w:firstLine="0" w:firstLineChars="0"/>
        <w:rPr>
          <w:szCs w:val="24"/>
        </w:rPr>
      </w:pPr>
      <w:r>
        <w:rPr>
          <w:rFonts w:hint="eastAsia"/>
          <w:szCs w:val="24"/>
        </w:rPr>
        <w:t>本标准适用于北京行政区域内老旧厂房的民用化更新改造设计。涉及不可移动文物、历史建筑及其他法律、法规规定的保护对象，按相关标准、规定执行。</w:t>
      </w:r>
    </w:p>
    <w:p>
      <w:pPr>
        <w:rPr>
          <w:szCs w:val="24"/>
        </w:rPr>
      </w:pPr>
    </w:p>
    <w:p>
      <w:pPr>
        <w:pStyle w:val="40"/>
        <w:numPr>
          <w:ilvl w:val="2"/>
          <w:numId w:val="1"/>
        </w:numPr>
        <w:snapToGrid w:val="0"/>
        <w:ind w:left="0" w:firstLine="0" w:firstLineChars="0"/>
        <w:rPr>
          <w:szCs w:val="24"/>
        </w:rPr>
      </w:pPr>
      <w:r>
        <w:rPr>
          <w:rFonts w:hint="eastAsia"/>
          <w:szCs w:val="24"/>
        </w:rPr>
        <w:t>老旧厂房更新改造应遵循因地制宜的原则，结合原有工业建筑特征和更新改造后的功能需求，及项目环境、资源、历史文化等特点，重视可持续绿色发展，科学合理设计。</w:t>
      </w:r>
    </w:p>
    <w:p>
      <w:pPr>
        <w:pStyle w:val="40"/>
        <w:snapToGrid w:val="0"/>
        <w:ind w:firstLine="0" w:firstLineChars="0"/>
        <w:rPr>
          <w:szCs w:val="24"/>
        </w:rPr>
      </w:pPr>
    </w:p>
    <w:p>
      <w:pPr>
        <w:pStyle w:val="40"/>
        <w:numPr>
          <w:ilvl w:val="2"/>
          <w:numId w:val="1"/>
        </w:numPr>
        <w:snapToGrid w:val="0"/>
        <w:ind w:left="0" w:firstLine="0" w:firstLineChars="0"/>
        <w:rPr>
          <w:szCs w:val="24"/>
        </w:rPr>
      </w:pPr>
      <w:r>
        <w:rPr>
          <w:rFonts w:hint="eastAsia"/>
          <w:szCs w:val="24"/>
        </w:rPr>
        <w:t>老旧厂房的更新改造设计除应符合本标准的规定外，尚应符合国家及地方现行有关标准的规定；老旧厂房更新改造的新建部分应符合现行国家、地方标准的</w:t>
      </w:r>
      <w:r>
        <w:rPr>
          <w:szCs w:val="24"/>
        </w:rPr>
        <w:t>规定</w:t>
      </w:r>
      <w:r>
        <w:rPr>
          <w:rFonts w:hint="eastAsia"/>
          <w:szCs w:val="24"/>
        </w:rPr>
        <w:t>。</w:t>
      </w:r>
    </w:p>
    <w:p>
      <w:pPr>
        <w:pStyle w:val="2"/>
        <w:pageBreakBefore/>
        <w:spacing w:before="156" w:beforeLines="50" w:after="156" w:afterLines="50" w:line="360" w:lineRule="auto"/>
        <w:jc w:val="center"/>
        <w:rPr>
          <w:rFonts w:ascii="宋体" w:hAnsi="宋体"/>
        </w:rPr>
      </w:pPr>
      <w:bookmarkStart w:id="21" w:name="_Toc35162937"/>
      <w:bookmarkStart w:id="22" w:name="_Toc35023280"/>
      <w:bookmarkStart w:id="23" w:name="_Toc149330713"/>
      <w:bookmarkStart w:id="24" w:name="_Toc149331201"/>
      <w:bookmarkStart w:id="25" w:name="_Toc149556978"/>
      <w:bookmarkStart w:id="26" w:name="_Toc149557037"/>
      <w:bookmarkStart w:id="27" w:name="_Toc149557685"/>
      <w:bookmarkStart w:id="28" w:name="_Toc150176291"/>
      <w:bookmarkStart w:id="29" w:name="_Toc150176845"/>
      <w:bookmarkStart w:id="30" w:name="_Toc150177011"/>
      <w:r>
        <w:rPr>
          <w:rFonts w:ascii="宋体" w:hAnsi="宋体"/>
          <w:sz w:val="32"/>
        </w:rPr>
        <w:t xml:space="preserve">2  </w:t>
      </w:r>
      <w:r>
        <w:rPr>
          <w:rFonts w:hint="eastAsia" w:ascii="宋体" w:hAnsi="宋体"/>
          <w:sz w:val="32"/>
        </w:rPr>
        <w:t>术语</w:t>
      </w:r>
      <w:bookmarkEnd w:id="21"/>
      <w:bookmarkEnd w:id="22"/>
      <w:bookmarkEnd w:id="23"/>
      <w:bookmarkEnd w:id="24"/>
      <w:bookmarkEnd w:id="25"/>
      <w:bookmarkEnd w:id="26"/>
      <w:bookmarkEnd w:id="27"/>
      <w:bookmarkEnd w:id="28"/>
      <w:bookmarkEnd w:id="29"/>
      <w:bookmarkEnd w:id="30"/>
    </w:p>
    <w:p>
      <w:pPr>
        <w:rPr>
          <w:b/>
        </w:rPr>
      </w:pPr>
      <w:bookmarkStart w:id="31" w:name="_Toc35023281"/>
      <w:bookmarkStart w:id="32" w:name="_Toc35162938"/>
      <w:r>
        <w:rPr>
          <w:b/>
          <w:szCs w:val="24"/>
        </w:rPr>
        <w:t xml:space="preserve">2.0.1 </w:t>
      </w:r>
      <w:r>
        <w:rPr>
          <w:b/>
          <w:szCs w:val="24"/>
        </w:rPr>
        <w:tab/>
      </w:r>
      <w:r>
        <w:rPr>
          <w:b/>
          <w:szCs w:val="24"/>
        </w:rPr>
        <w:t xml:space="preserve"> </w:t>
      </w:r>
      <w:r>
        <w:rPr>
          <w:rFonts w:hint="eastAsia"/>
          <w:b/>
          <w:szCs w:val="24"/>
        </w:rPr>
        <w:t xml:space="preserve">老旧厂房 </w:t>
      </w:r>
      <w:r>
        <w:rPr>
          <w:b/>
          <w:szCs w:val="24"/>
        </w:rPr>
        <w:t xml:space="preserve"> existing industrial building need renovation</w:t>
      </w:r>
    </w:p>
    <w:p>
      <w:pPr>
        <w:ind w:firstLine="480" w:firstLineChars="200"/>
      </w:pPr>
      <w:r>
        <w:rPr>
          <w:rFonts w:hint="eastAsia"/>
        </w:rPr>
        <w:t>既有工业建筑中需要更新改造的现存工业及仓储建筑物、构筑物，包括老旧工业厂房、仓储用房和相关设备设施，及其所包含的非物质遗存。</w:t>
      </w:r>
    </w:p>
    <w:p>
      <w:pPr>
        <w:rPr>
          <w:szCs w:val="24"/>
        </w:rPr>
      </w:pPr>
    </w:p>
    <w:p>
      <w:pPr>
        <w:rPr>
          <w:b/>
          <w:szCs w:val="20"/>
        </w:rPr>
      </w:pPr>
      <w:r>
        <w:rPr>
          <w:b/>
          <w:szCs w:val="20"/>
        </w:rPr>
        <w:t>2.0.2</w:t>
      </w:r>
      <w:r>
        <w:rPr>
          <w:b/>
          <w:szCs w:val="24"/>
        </w:rPr>
        <w:t xml:space="preserve">  </w:t>
      </w:r>
      <w:r>
        <w:rPr>
          <w:b/>
          <w:szCs w:val="24"/>
        </w:rPr>
        <w:tab/>
      </w:r>
      <w:r>
        <w:rPr>
          <w:rFonts w:hint="eastAsia" w:ascii="宋体" w:hAnsi="宋体"/>
          <w:b/>
        </w:rPr>
        <w:t xml:space="preserve">工业遗产 </w:t>
      </w:r>
      <w:r>
        <w:rPr>
          <w:b/>
          <w:szCs w:val="20"/>
        </w:rPr>
        <w:t>industrial heritage</w:t>
      </w:r>
    </w:p>
    <w:p>
      <w:pPr>
        <w:ind w:firstLine="480" w:firstLineChars="200"/>
      </w:pPr>
      <w:r>
        <w:rPr>
          <w:rFonts w:hint="eastAsia"/>
        </w:rPr>
        <w:t>1</w:t>
      </w:r>
      <w:r>
        <w:t>840</w:t>
      </w:r>
      <w:r>
        <w:rPr>
          <w:rFonts w:hint="eastAsia"/>
        </w:rPr>
        <w:t>年中国近现代工业产生以来，具有较高历史、科学、艺术、社会文化价值的工业遗存，具有稀缺性、独特性或唯一性。</w:t>
      </w:r>
    </w:p>
    <w:p>
      <w:pPr>
        <w:widowControl/>
        <w:jc w:val="left"/>
        <w:rPr>
          <w:szCs w:val="20"/>
        </w:rPr>
      </w:pPr>
    </w:p>
    <w:p>
      <w:pPr>
        <w:rPr>
          <w:b/>
          <w:szCs w:val="24"/>
        </w:rPr>
      </w:pPr>
      <w:r>
        <w:rPr>
          <w:b/>
        </w:rPr>
        <w:t>2.0.3</w:t>
      </w:r>
      <w:r>
        <w:rPr>
          <w:b/>
        </w:rPr>
        <w:tab/>
      </w:r>
      <w:r>
        <w:rPr>
          <w:rFonts w:hint="eastAsia"/>
          <w:b/>
        </w:rPr>
        <w:t>更新改造</w:t>
      </w:r>
      <w:r>
        <w:rPr>
          <w:rFonts w:ascii="宋体" w:hAnsi="宋体"/>
          <w:b/>
        </w:rPr>
        <w:t xml:space="preserve"> </w:t>
      </w:r>
      <w:r>
        <w:rPr>
          <w:b/>
          <w:szCs w:val="24"/>
        </w:rPr>
        <w:t>renovation</w:t>
      </w:r>
    </w:p>
    <w:p>
      <w:pPr>
        <w:ind w:firstLine="480" w:firstLineChars="200"/>
      </w:pPr>
      <w:r>
        <w:rPr>
          <w:rFonts w:hint="eastAsia"/>
        </w:rPr>
        <w:t>根据新的使用需求对现存建筑物、构筑物进行改变的建设行为。包括改造、改建、扩建等建设行为。</w:t>
      </w:r>
    </w:p>
    <w:p>
      <w:pPr>
        <w:ind w:firstLine="480" w:firstLineChars="200"/>
      </w:pPr>
    </w:p>
    <w:p>
      <w:pPr>
        <w:rPr>
          <w:b/>
          <w:szCs w:val="24"/>
        </w:rPr>
      </w:pPr>
      <w:r>
        <w:rPr>
          <w:b/>
        </w:rPr>
        <w:t>2.0.4</w:t>
      </w:r>
      <w:r>
        <w:rPr>
          <w:b/>
        </w:rPr>
        <w:tab/>
      </w:r>
      <w:r>
        <w:rPr>
          <w:rFonts w:hint="eastAsia"/>
          <w:b/>
        </w:rPr>
        <w:t xml:space="preserve">民用化 </w:t>
      </w:r>
      <w:r>
        <w:rPr>
          <w:b/>
        </w:rPr>
        <w:t xml:space="preserve"> civilian</w:t>
      </w:r>
    </w:p>
    <w:p>
      <w:pPr>
        <w:ind w:firstLine="480" w:firstLineChars="200"/>
      </w:pPr>
      <w:r>
        <w:rPr>
          <w:rFonts w:hint="eastAsia"/>
        </w:rPr>
        <w:t>将老旧厂房原有生产或为生产服务的功能更新改造为办公、商业、展览等民用建筑功能，实现老旧厂房的再利用。</w:t>
      </w:r>
    </w:p>
    <w:p/>
    <w:p>
      <w:pPr>
        <w:rPr>
          <w:b/>
          <w:szCs w:val="24"/>
        </w:rPr>
      </w:pPr>
      <w:r>
        <w:rPr>
          <w:b/>
        </w:rPr>
        <w:t>2.0.5</w:t>
      </w:r>
      <w:r>
        <w:rPr>
          <w:b/>
        </w:rPr>
        <w:tab/>
      </w:r>
      <w:r>
        <w:rPr>
          <w:rFonts w:hint="eastAsia"/>
          <w:b/>
        </w:rPr>
        <w:t xml:space="preserve">保留 </w:t>
      </w:r>
      <w:r>
        <w:rPr>
          <w:b/>
        </w:rPr>
        <w:t xml:space="preserve"> conservation </w:t>
      </w:r>
    </w:p>
    <w:p>
      <w:pPr>
        <w:ind w:firstLine="480" w:firstLineChars="200"/>
      </w:pPr>
      <w:r>
        <w:rPr>
          <w:rFonts w:hint="eastAsia"/>
        </w:rPr>
        <w:t>经评估后具备一定价值的老旧厂房，将其全部或部分建筑信息保存再利用的建设行为。</w:t>
      </w:r>
    </w:p>
    <w:p>
      <w:pPr>
        <w:snapToGrid w:val="0"/>
        <w:rPr>
          <w:i/>
          <w:szCs w:val="24"/>
        </w:rPr>
      </w:pPr>
    </w:p>
    <w:p>
      <w:pPr>
        <w:rPr>
          <w:b/>
          <w:szCs w:val="24"/>
        </w:rPr>
      </w:pPr>
      <w:r>
        <w:rPr>
          <w:b/>
        </w:rPr>
        <w:t>2.0.6</w:t>
      </w:r>
      <w:r>
        <w:rPr>
          <w:b/>
        </w:rPr>
        <w:tab/>
      </w:r>
      <w:r>
        <w:rPr>
          <w:rFonts w:hint="eastAsia"/>
          <w:b/>
        </w:rPr>
        <w:t xml:space="preserve">重建 </w:t>
      </w:r>
      <w:r>
        <w:rPr>
          <w:b/>
        </w:rPr>
        <w:t>restoration</w:t>
      </w:r>
    </w:p>
    <w:p>
      <w:pPr>
        <w:ind w:firstLine="480" w:firstLineChars="200"/>
      </w:pPr>
      <w:r>
        <w:rPr>
          <w:rFonts w:hint="eastAsia"/>
        </w:rPr>
        <w:t>具有一定的历史、科学、艺术或社会文化价值的老旧厂房，通过重新建设恢复其原有建筑全部或部分建筑信息的建设行为，也称复建、翻建。</w:t>
      </w:r>
    </w:p>
    <w:p>
      <w:pPr>
        <w:rPr>
          <w:szCs w:val="24"/>
        </w:rPr>
      </w:pPr>
    </w:p>
    <w:p>
      <w:pPr>
        <w:rPr>
          <w:b/>
          <w:szCs w:val="24"/>
        </w:rPr>
      </w:pPr>
      <w:r>
        <w:rPr>
          <w:b/>
        </w:rPr>
        <w:t>2.0.7</w:t>
      </w:r>
      <w:r>
        <w:rPr>
          <w:b/>
        </w:rPr>
        <w:tab/>
      </w:r>
      <w:r>
        <w:rPr>
          <w:b/>
        </w:rPr>
        <w:t xml:space="preserve"> </w:t>
      </w:r>
      <w:r>
        <w:rPr>
          <w:rFonts w:hint="eastAsia"/>
          <w:b/>
        </w:rPr>
        <w:t>技术方案</w:t>
      </w:r>
      <w:r>
        <w:rPr>
          <w:b/>
        </w:rPr>
        <w:t xml:space="preserve">  applicable scheme </w:t>
      </w:r>
    </w:p>
    <w:p>
      <w:pPr>
        <w:ind w:firstLine="480" w:firstLineChars="200"/>
      </w:pPr>
      <w:r>
        <w:rPr>
          <w:rFonts w:hint="eastAsia"/>
        </w:rPr>
        <w:t>经过前期调查、研究及技术分析，具备可实施性的方案设计。</w:t>
      </w:r>
    </w:p>
    <w:p>
      <w:pPr>
        <w:ind w:firstLine="480" w:firstLineChars="200"/>
      </w:pPr>
    </w:p>
    <w:p>
      <w:pPr>
        <w:rPr>
          <w:b/>
          <w:szCs w:val="24"/>
        </w:rPr>
      </w:pPr>
      <w:r>
        <w:rPr>
          <w:b/>
        </w:rPr>
        <w:t>2.0.8</w:t>
      </w:r>
      <w:r>
        <w:rPr>
          <w:b/>
        </w:rPr>
        <w:tab/>
      </w:r>
      <w:r>
        <w:rPr>
          <w:b/>
        </w:rPr>
        <w:t xml:space="preserve"> </w:t>
      </w:r>
      <w:r>
        <w:rPr>
          <w:rFonts w:hint="eastAsia"/>
          <w:b/>
        </w:rPr>
        <w:t>全龄友好</w:t>
      </w:r>
      <w:r>
        <w:rPr>
          <w:b/>
        </w:rPr>
        <w:t xml:space="preserve">  age-friendly renovation  </w:t>
      </w:r>
    </w:p>
    <w:p>
      <w:pPr>
        <w:ind w:firstLine="480" w:firstLineChars="200"/>
      </w:pPr>
      <w:r>
        <w:rPr>
          <w:rFonts w:hint="eastAsia"/>
        </w:rPr>
        <w:t>全龄友好是指项目考虑为老年人、残疾人、儿童等全龄全体人群服务，提供功能化、人性化、精细化的无障碍环境，满足其自主安全地使用项目中为其开放的使用空间。</w:t>
      </w:r>
    </w:p>
    <w:p>
      <w:pPr>
        <w:ind w:firstLine="480" w:firstLineChars="200"/>
      </w:pPr>
    </w:p>
    <w:p>
      <w:pPr>
        <w:pStyle w:val="2"/>
        <w:pageBreakBefore/>
        <w:spacing w:before="156" w:beforeLines="50" w:after="156" w:afterLines="50" w:line="360" w:lineRule="auto"/>
        <w:jc w:val="center"/>
        <w:rPr>
          <w:rFonts w:ascii="宋体" w:hAnsi="宋体"/>
          <w:sz w:val="32"/>
        </w:rPr>
      </w:pPr>
      <w:bookmarkStart w:id="33" w:name="_Toc149330714"/>
      <w:bookmarkStart w:id="34" w:name="_Toc149331202"/>
      <w:bookmarkStart w:id="35" w:name="_Toc149556979"/>
      <w:bookmarkStart w:id="36" w:name="_Toc149557038"/>
      <w:bookmarkStart w:id="37" w:name="_Toc149557686"/>
      <w:bookmarkStart w:id="38" w:name="_Toc150176292"/>
      <w:bookmarkStart w:id="39" w:name="_Toc150176846"/>
      <w:bookmarkStart w:id="40" w:name="_Toc150177012"/>
      <w:r>
        <w:rPr>
          <w:rFonts w:ascii="宋体" w:hAnsi="宋体"/>
          <w:sz w:val="32"/>
        </w:rPr>
        <w:t xml:space="preserve">3  </w:t>
      </w:r>
      <w:r>
        <w:rPr>
          <w:rFonts w:hint="eastAsia" w:ascii="宋体" w:hAnsi="宋体"/>
          <w:sz w:val="32"/>
        </w:rPr>
        <w:t>基本规定</w:t>
      </w:r>
      <w:bookmarkEnd w:id="31"/>
      <w:bookmarkEnd w:id="32"/>
      <w:bookmarkEnd w:id="33"/>
      <w:bookmarkEnd w:id="34"/>
      <w:bookmarkEnd w:id="35"/>
      <w:bookmarkEnd w:id="36"/>
      <w:bookmarkEnd w:id="37"/>
      <w:bookmarkEnd w:id="38"/>
      <w:bookmarkEnd w:id="39"/>
      <w:bookmarkEnd w:id="40"/>
    </w:p>
    <w:p>
      <w:pPr>
        <w:pStyle w:val="3"/>
        <w:spacing w:after="156" w:afterLines="50" w:line="360" w:lineRule="auto"/>
        <w:rPr>
          <w:rFonts w:ascii="宋体" w:hAnsi="宋体"/>
          <w:b/>
          <w:sz w:val="28"/>
        </w:rPr>
      </w:pPr>
      <w:bookmarkStart w:id="41" w:name="_Toc149330715"/>
      <w:bookmarkStart w:id="42" w:name="_Toc149331203"/>
      <w:bookmarkStart w:id="43" w:name="_Toc149556980"/>
      <w:bookmarkStart w:id="44" w:name="_Toc149557039"/>
      <w:bookmarkStart w:id="45" w:name="_Toc149557687"/>
      <w:bookmarkStart w:id="46" w:name="_Toc150176293"/>
      <w:bookmarkStart w:id="47" w:name="_Toc150176847"/>
      <w:bookmarkStart w:id="48" w:name="_Toc150177013"/>
      <w:r>
        <w:rPr>
          <w:rFonts w:ascii="宋体" w:hAnsi="宋体"/>
          <w:b/>
          <w:sz w:val="28"/>
        </w:rPr>
        <w:t xml:space="preserve">3.1 </w:t>
      </w:r>
      <w:r>
        <w:rPr>
          <w:rFonts w:hint="eastAsia" w:ascii="宋体" w:hAnsi="宋体"/>
          <w:b/>
          <w:sz w:val="28"/>
        </w:rPr>
        <w:t>一般规定</w:t>
      </w:r>
      <w:bookmarkEnd w:id="41"/>
      <w:bookmarkEnd w:id="42"/>
      <w:bookmarkEnd w:id="43"/>
      <w:bookmarkEnd w:id="44"/>
      <w:bookmarkEnd w:id="45"/>
      <w:bookmarkEnd w:id="46"/>
      <w:bookmarkEnd w:id="47"/>
      <w:bookmarkEnd w:id="48"/>
    </w:p>
    <w:p>
      <w:pPr>
        <w:snapToGrid w:val="0"/>
      </w:pPr>
      <w:r>
        <w:rPr>
          <w:b/>
          <w:szCs w:val="24"/>
        </w:rPr>
        <w:t>3.1.1</w:t>
      </w:r>
      <w:r>
        <w:rPr>
          <w:szCs w:val="24"/>
        </w:rPr>
        <w:t xml:space="preserve"> </w:t>
      </w:r>
      <w:r>
        <w:rPr>
          <w:szCs w:val="24"/>
        </w:rPr>
        <w:tab/>
      </w:r>
      <w:r>
        <w:rPr>
          <w:rFonts w:hint="eastAsia"/>
        </w:rPr>
        <w:t>老旧厂房的更新改造应遵循安全、适用、经济、绿色、美观的原则，且应具备系统性、可识别性及协调性。</w:t>
      </w:r>
    </w:p>
    <w:p>
      <w:pPr>
        <w:snapToGrid w:val="0"/>
        <w:rPr>
          <w:szCs w:val="24"/>
        </w:rPr>
      </w:pPr>
    </w:p>
    <w:p>
      <w:pPr>
        <w:rPr>
          <w:bCs/>
        </w:rPr>
      </w:pPr>
      <w:r>
        <w:rPr>
          <w:b/>
          <w:bCs/>
        </w:rPr>
        <w:t>3.1.2</w:t>
      </w:r>
      <w:r>
        <w:rPr>
          <w:bCs/>
        </w:rPr>
        <w:t xml:space="preserve"> </w:t>
      </w:r>
      <w:r>
        <w:rPr>
          <w:bCs/>
        </w:rPr>
        <w:tab/>
      </w:r>
      <w:r>
        <w:rPr>
          <w:rFonts w:hint="eastAsia"/>
        </w:rPr>
        <w:t>老旧厂房更新改造应</w:t>
      </w:r>
      <w:r>
        <w:t>落实</w:t>
      </w:r>
      <w:r>
        <w:rPr>
          <w:rFonts w:hint="eastAsia"/>
        </w:rPr>
        <w:t>上位规划</w:t>
      </w:r>
      <w:r>
        <w:t>要求</w:t>
      </w:r>
      <w:r>
        <w:rPr>
          <w:rFonts w:hint="eastAsia"/>
        </w:rPr>
        <w:t>，</w:t>
      </w:r>
      <w:r>
        <w:rPr>
          <w:rFonts w:hint="eastAsia"/>
          <w:bCs/>
        </w:rPr>
        <w:t>结合城市发展及街区控规，落实配套公共服务设施。</w:t>
      </w:r>
    </w:p>
    <w:p>
      <w:pPr>
        <w:rPr>
          <w:bCs/>
        </w:rPr>
      </w:pPr>
    </w:p>
    <w:p>
      <w:pPr>
        <w:rPr>
          <w:bCs/>
        </w:rPr>
      </w:pPr>
      <w:r>
        <w:rPr>
          <w:b/>
          <w:bCs/>
        </w:rPr>
        <w:t>3.1.3</w:t>
      </w:r>
      <w:r>
        <w:rPr>
          <w:bCs/>
        </w:rPr>
        <w:tab/>
      </w:r>
      <w:r>
        <w:rPr>
          <w:bCs/>
        </w:rPr>
        <w:t xml:space="preserve"> </w:t>
      </w:r>
      <w:r>
        <w:rPr>
          <w:rFonts w:hint="eastAsia"/>
        </w:rPr>
        <w:t>老旧厂房更新改造应按照更新改造后的功能需求开展设计</w:t>
      </w:r>
      <w:r>
        <w:rPr>
          <w:rFonts w:hint="eastAsia"/>
          <w:bCs/>
        </w:rPr>
        <w:t>。</w:t>
      </w:r>
    </w:p>
    <w:p>
      <w:pPr>
        <w:snapToGrid w:val="0"/>
      </w:pPr>
    </w:p>
    <w:p>
      <w:r>
        <w:rPr>
          <w:b/>
        </w:rPr>
        <w:t>3.1.4</w:t>
      </w:r>
      <w:r>
        <w:tab/>
      </w:r>
      <w:r>
        <w:rPr>
          <w:rFonts w:hint="eastAsia"/>
        </w:rPr>
        <w:t>老旧厂房更新改造设计可包含：资料研究、现场调查、价值分级、评估与策划、技术方案五个步骤。</w:t>
      </w:r>
    </w:p>
    <w:p>
      <w:pPr>
        <w:pStyle w:val="40"/>
        <w:ind w:left="480" w:firstLine="0" w:firstLineChars="0"/>
        <w:rPr>
          <w:bCs/>
          <w:i/>
          <w:szCs w:val="24"/>
        </w:rPr>
      </w:pPr>
    </w:p>
    <w:p>
      <w:r>
        <w:rPr>
          <w:b/>
          <w:bCs/>
        </w:rPr>
        <w:t>3.1.5</w:t>
      </w:r>
      <w:r>
        <w:rPr>
          <w:bCs/>
        </w:rPr>
        <w:tab/>
      </w:r>
      <w:r>
        <w:rPr>
          <w:rFonts w:hint="eastAsia"/>
        </w:rPr>
        <w:t>老旧厂房更新改造前可在资料研究、现场调查及价值分级的基础上进行评估与策划，并根据评估与策划结论编制技术方案。技术方案应结合实际情况，明确更新改造范围、建筑规模、使用功能、设计方案、建设计划、市政基础设施和公共服务设施建设、成本测算等内容，确保更新改造的可实施性。</w:t>
      </w:r>
    </w:p>
    <w:p>
      <w:pPr>
        <w:snapToGrid w:val="0"/>
      </w:pPr>
    </w:p>
    <w:p>
      <w:pPr>
        <w:pStyle w:val="3"/>
        <w:spacing w:after="156" w:afterLines="50" w:line="360" w:lineRule="auto"/>
        <w:rPr>
          <w:rFonts w:ascii="宋体" w:hAnsi="宋体"/>
          <w:b/>
          <w:sz w:val="28"/>
        </w:rPr>
      </w:pPr>
      <w:bookmarkStart w:id="49" w:name="_Toc149330716"/>
      <w:bookmarkStart w:id="50" w:name="_Toc149331204"/>
      <w:bookmarkStart w:id="51" w:name="_Toc149556981"/>
      <w:bookmarkStart w:id="52" w:name="_Toc149557040"/>
      <w:bookmarkStart w:id="53" w:name="_Toc149557688"/>
      <w:bookmarkStart w:id="54" w:name="_Toc150176294"/>
      <w:bookmarkStart w:id="55" w:name="_Toc150176848"/>
      <w:bookmarkStart w:id="56" w:name="_Toc150177014"/>
      <w:r>
        <w:rPr>
          <w:rFonts w:ascii="宋体" w:hAnsi="宋体"/>
          <w:b/>
          <w:sz w:val="28"/>
        </w:rPr>
        <w:t xml:space="preserve">3.2 </w:t>
      </w:r>
      <w:r>
        <w:rPr>
          <w:rFonts w:hint="eastAsia" w:ascii="宋体" w:hAnsi="宋体"/>
          <w:b/>
          <w:sz w:val="28"/>
        </w:rPr>
        <w:t>价值分级</w:t>
      </w:r>
      <w:bookmarkEnd w:id="49"/>
      <w:bookmarkEnd w:id="50"/>
      <w:bookmarkEnd w:id="51"/>
      <w:bookmarkEnd w:id="52"/>
      <w:bookmarkEnd w:id="53"/>
      <w:bookmarkEnd w:id="54"/>
      <w:bookmarkEnd w:id="55"/>
      <w:bookmarkEnd w:id="56"/>
    </w:p>
    <w:p>
      <w:r>
        <w:rPr>
          <w:b/>
          <w:szCs w:val="24"/>
        </w:rPr>
        <w:t>3.2.1</w:t>
      </w:r>
      <w:r>
        <w:rPr>
          <w:rFonts w:hint="eastAsia"/>
          <w:szCs w:val="24"/>
        </w:rPr>
        <w:t>　</w:t>
      </w:r>
      <w:r>
        <w:rPr>
          <w:rFonts w:hint="eastAsia"/>
        </w:rPr>
        <w:t xml:space="preserve"> 老旧厂房的价值分级包括以下内容：</w:t>
      </w:r>
    </w:p>
    <w:p>
      <w:pPr>
        <w:pStyle w:val="62"/>
        <w:numPr>
          <w:ilvl w:val="0"/>
          <w:numId w:val="2"/>
        </w:numPr>
        <w:spacing w:line="360" w:lineRule="auto"/>
        <w:ind w:firstLineChars="0"/>
        <w:rPr>
          <w:rFonts w:ascii="宋体" w:hAnsi="宋体" w:eastAsia="宋体"/>
          <w:sz w:val="24"/>
          <w:szCs w:val="24"/>
        </w:rPr>
      </w:pPr>
      <w:r>
        <w:rPr>
          <w:rFonts w:hint="eastAsia" w:ascii="宋体" w:hAnsi="宋体" w:eastAsia="宋体"/>
          <w:sz w:val="24"/>
          <w:szCs w:val="24"/>
        </w:rPr>
        <w:t>历史价值：见证中国近现代工业历史的发展成就；</w:t>
      </w:r>
    </w:p>
    <w:p>
      <w:pPr>
        <w:pStyle w:val="62"/>
        <w:numPr>
          <w:ilvl w:val="0"/>
          <w:numId w:val="2"/>
        </w:numPr>
        <w:spacing w:line="360" w:lineRule="auto"/>
        <w:ind w:firstLineChars="0"/>
        <w:rPr>
          <w:rFonts w:ascii="宋体" w:hAnsi="宋体" w:eastAsia="宋体"/>
          <w:sz w:val="24"/>
          <w:szCs w:val="24"/>
        </w:rPr>
      </w:pPr>
      <w:r>
        <w:rPr>
          <w:rFonts w:hint="eastAsia" w:ascii="宋体" w:hAnsi="宋体" w:eastAsia="宋体"/>
          <w:sz w:val="24"/>
          <w:szCs w:val="24"/>
        </w:rPr>
        <w:t>科学价值：体现中国科学技术发展的突出创造力和影响力；</w:t>
      </w:r>
    </w:p>
    <w:p>
      <w:pPr>
        <w:pStyle w:val="62"/>
        <w:numPr>
          <w:ilvl w:val="0"/>
          <w:numId w:val="2"/>
        </w:numPr>
        <w:spacing w:line="360" w:lineRule="auto"/>
        <w:ind w:firstLineChars="0"/>
        <w:rPr>
          <w:rFonts w:ascii="宋体" w:hAnsi="宋体" w:eastAsia="宋体"/>
          <w:sz w:val="24"/>
          <w:szCs w:val="24"/>
        </w:rPr>
      </w:pPr>
      <w:r>
        <w:rPr>
          <w:rFonts w:hint="eastAsia" w:ascii="宋体" w:hAnsi="宋体" w:eastAsia="宋体"/>
          <w:sz w:val="24"/>
          <w:szCs w:val="24"/>
        </w:rPr>
        <w:t>艺术价值：体现中国工业建筑或工业区的美学特征；</w:t>
      </w:r>
    </w:p>
    <w:p>
      <w:pPr>
        <w:pStyle w:val="62"/>
        <w:numPr>
          <w:ilvl w:val="0"/>
          <w:numId w:val="2"/>
        </w:numPr>
        <w:spacing w:line="360" w:lineRule="auto"/>
        <w:ind w:firstLineChars="0"/>
        <w:rPr>
          <w:rFonts w:ascii="宋体" w:hAnsi="宋体" w:eastAsia="宋体"/>
          <w:sz w:val="24"/>
          <w:szCs w:val="24"/>
        </w:rPr>
      </w:pPr>
      <w:r>
        <w:rPr>
          <w:rFonts w:hint="eastAsia" w:ascii="宋体" w:hAnsi="宋体" w:eastAsia="宋体"/>
          <w:sz w:val="24"/>
          <w:szCs w:val="24"/>
        </w:rPr>
        <w:t>社会文化价值：体现中国社会的工业文化记忆；</w:t>
      </w:r>
    </w:p>
    <w:p>
      <w:pPr>
        <w:pStyle w:val="62"/>
        <w:numPr>
          <w:ilvl w:val="0"/>
          <w:numId w:val="2"/>
        </w:numPr>
        <w:spacing w:line="360" w:lineRule="auto"/>
        <w:ind w:firstLineChars="0"/>
        <w:rPr>
          <w:rFonts w:ascii="宋体" w:hAnsi="宋体" w:eastAsia="宋体"/>
          <w:sz w:val="24"/>
          <w:szCs w:val="24"/>
        </w:rPr>
      </w:pPr>
      <w:r>
        <w:rPr>
          <w:rFonts w:hint="eastAsia" w:ascii="宋体" w:hAnsi="宋体" w:eastAsia="宋体"/>
          <w:sz w:val="24"/>
          <w:szCs w:val="24"/>
        </w:rPr>
        <w:t>利用价值：结构坚固、空间可塑性强、具有一定建筑风貌特征。</w:t>
      </w:r>
    </w:p>
    <w:p>
      <w:pPr>
        <w:snapToGrid w:val="0"/>
      </w:pPr>
    </w:p>
    <w:p>
      <w:pPr>
        <w:snapToGrid w:val="0"/>
      </w:pPr>
      <w:r>
        <w:rPr>
          <w:b/>
          <w:szCs w:val="24"/>
        </w:rPr>
        <w:t>3.2.2</w:t>
      </w:r>
      <w:r>
        <w:rPr>
          <w:rFonts w:hint="eastAsia"/>
          <w:szCs w:val="24"/>
        </w:rPr>
        <w:t>　</w:t>
      </w:r>
      <w:r>
        <w:rPr>
          <w:szCs w:val="24"/>
        </w:rPr>
        <w:tab/>
      </w:r>
      <w:r>
        <w:rPr>
          <w:rFonts w:hint="eastAsia"/>
        </w:rPr>
        <w:t>老旧厂房的价值分级指标可在历史价值、科学价值、艺术价值、社会文化价值和利用价值5个一级评价指标基础上，细分为2</w:t>
      </w:r>
      <w:r>
        <w:t>0</w:t>
      </w:r>
      <w:r>
        <w:rPr>
          <w:rFonts w:hint="eastAsia"/>
        </w:rPr>
        <w:t>个二级评价指标，具体价值分级指标见宜按本标准表3</w:t>
      </w:r>
      <w:r>
        <w:t>.2.2</w:t>
      </w:r>
      <w:r>
        <w:rPr>
          <w:rFonts w:hint="eastAsia"/>
        </w:rPr>
        <w:t>确定。</w:t>
      </w:r>
    </w:p>
    <w:p>
      <w:pPr>
        <w:widowControl/>
        <w:jc w:val="center"/>
        <w:rPr>
          <w:b/>
          <w:bCs/>
        </w:rPr>
      </w:pPr>
      <w:r>
        <w:rPr>
          <w:rFonts w:hint="eastAsia"/>
          <w:b/>
          <w:bCs/>
        </w:rPr>
        <w:t>表</w:t>
      </w:r>
      <w:r>
        <w:rPr>
          <w:b/>
          <w:bCs/>
        </w:rPr>
        <w:t xml:space="preserve">3.2.2 </w:t>
      </w:r>
      <w:r>
        <w:rPr>
          <w:rFonts w:hint="eastAsia"/>
          <w:b/>
          <w:bCs/>
        </w:rPr>
        <w:t>老旧厂房价值分级指标表</w:t>
      </w:r>
    </w:p>
    <w:tbl>
      <w:tblPr>
        <w:tblStyle w:val="28"/>
        <w:tblW w:w="45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826"/>
        <w:gridCol w:w="5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373" w:type="pct"/>
            <w:tcBorders>
              <w:left w:val="single" w:color="auto" w:sz="4" w:space="0"/>
              <w:bottom w:val="single" w:color="auto" w:sz="4" w:space="0"/>
              <w:right w:val="single" w:color="auto" w:sz="4" w:space="0"/>
            </w:tcBorders>
          </w:tcPr>
          <w:p>
            <w:pPr>
              <w:spacing w:line="240" w:lineRule="auto"/>
              <w:jc w:val="center"/>
              <w:rPr>
                <w:sz w:val="21"/>
              </w:rPr>
            </w:pPr>
          </w:p>
        </w:tc>
        <w:tc>
          <w:tcPr>
            <w:tcW w:w="1179" w:type="pct"/>
            <w:tcBorders>
              <w:left w:val="single" w:color="auto" w:sz="4" w:space="0"/>
              <w:bottom w:val="nil"/>
              <w:right w:val="single" w:color="auto" w:sz="4" w:space="0"/>
            </w:tcBorders>
            <w:vAlign w:val="center"/>
          </w:tcPr>
          <w:p>
            <w:pPr>
              <w:spacing w:line="240" w:lineRule="auto"/>
              <w:jc w:val="center"/>
              <w:rPr>
                <w:sz w:val="21"/>
              </w:rPr>
            </w:pPr>
            <w:r>
              <w:rPr>
                <w:rFonts w:hint="eastAsia"/>
                <w:sz w:val="21"/>
              </w:rPr>
              <w:t>一级指标</w:t>
            </w:r>
          </w:p>
        </w:tc>
        <w:tc>
          <w:tcPr>
            <w:tcW w:w="344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sz w:val="21"/>
              </w:rPr>
            </w:pPr>
            <w:r>
              <w:rPr>
                <w:rFonts w:hint="eastAsia"/>
                <w:sz w:val="21"/>
              </w:rPr>
              <w:t>二级指标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373" w:type="pct"/>
            <w:vMerge w:val="restart"/>
            <w:tcBorders>
              <w:top w:val="single" w:color="auto" w:sz="4" w:space="0"/>
              <w:left w:val="single" w:color="auto" w:sz="4" w:space="0"/>
              <w:right w:val="single" w:color="auto" w:sz="4" w:space="0"/>
            </w:tcBorders>
            <w:vAlign w:val="center"/>
          </w:tcPr>
          <w:p>
            <w:pPr>
              <w:jc w:val="center"/>
              <w:rPr>
                <w:sz w:val="21"/>
              </w:rPr>
            </w:pPr>
            <w:r>
              <w:rPr>
                <w:rFonts w:hint="eastAsia"/>
                <w:sz w:val="21"/>
              </w:rPr>
              <w:t>价值指标</w:t>
            </w:r>
          </w:p>
        </w:tc>
        <w:tc>
          <w:tcPr>
            <w:tcW w:w="1179" w:type="pct"/>
            <w:vMerge w:val="restart"/>
            <w:tcBorders>
              <w:top w:val="single" w:color="auto" w:sz="4" w:space="0"/>
              <w:left w:val="single" w:color="auto" w:sz="4" w:space="0"/>
              <w:bottom w:val="nil"/>
              <w:right w:val="single" w:color="auto" w:sz="4" w:space="0"/>
            </w:tcBorders>
            <w:vAlign w:val="center"/>
          </w:tcPr>
          <w:p>
            <w:pPr>
              <w:jc w:val="center"/>
              <w:rPr>
                <w:sz w:val="21"/>
              </w:rPr>
            </w:pPr>
            <w:r>
              <w:rPr>
                <w:rFonts w:hint="eastAsia"/>
                <w:sz w:val="21"/>
              </w:rPr>
              <w:t>历史价值</w:t>
            </w:r>
          </w:p>
        </w:tc>
        <w:tc>
          <w:tcPr>
            <w:tcW w:w="3449"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21"/>
              </w:rPr>
            </w:pPr>
            <w:r>
              <w:rPr>
                <w:rFonts w:hint="eastAsia" w:ascii="宋体" w:hAnsi="宋体"/>
                <w:sz w:val="21"/>
              </w:rPr>
              <w:t>见证中国近现代工业发展的重要历史阶段，或对其产生过重要影响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373" w:type="pct"/>
            <w:vMerge w:val="continue"/>
            <w:tcBorders>
              <w:left w:val="single" w:color="auto" w:sz="4" w:space="0"/>
              <w:right w:val="single" w:color="auto" w:sz="4" w:space="0"/>
            </w:tcBorders>
          </w:tcPr>
          <w:p>
            <w:pPr>
              <w:jc w:val="center"/>
              <w:rPr>
                <w:sz w:val="21"/>
              </w:rPr>
            </w:pPr>
          </w:p>
        </w:tc>
        <w:tc>
          <w:tcPr>
            <w:tcW w:w="1179" w:type="pct"/>
            <w:vMerge w:val="continue"/>
            <w:tcBorders>
              <w:left w:val="single" w:color="auto" w:sz="4" w:space="0"/>
              <w:bottom w:val="nil"/>
              <w:right w:val="single" w:color="auto" w:sz="4" w:space="0"/>
            </w:tcBorders>
            <w:vAlign w:val="center"/>
          </w:tcPr>
          <w:p>
            <w:pPr>
              <w:jc w:val="center"/>
              <w:rPr>
                <w:sz w:val="21"/>
              </w:rPr>
            </w:pPr>
          </w:p>
        </w:tc>
        <w:tc>
          <w:tcPr>
            <w:tcW w:w="3449"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21"/>
              </w:rPr>
            </w:pPr>
            <w:r>
              <w:rPr>
                <w:rFonts w:hint="eastAsia" w:ascii="宋体" w:hAnsi="宋体"/>
                <w:sz w:val="21"/>
              </w:rPr>
              <w:t>标志某一工业类型在中国的开端，或在某一行业中具有开创性作用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373" w:type="pct"/>
            <w:vMerge w:val="continue"/>
            <w:tcBorders>
              <w:left w:val="single" w:color="auto" w:sz="4" w:space="0"/>
              <w:right w:val="single" w:color="auto" w:sz="4" w:space="0"/>
            </w:tcBorders>
          </w:tcPr>
          <w:p>
            <w:pPr>
              <w:jc w:val="center"/>
              <w:rPr>
                <w:sz w:val="21"/>
              </w:rPr>
            </w:pPr>
          </w:p>
        </w:tc>
        <w:tc>
          <w:tcPr>
            <w:tcW w:w="1179" w:type="pct"/>
            <w:vMerge w:val="continue"/>
            <w:tcBorders>
              <w:left w:val="single" w:color="auto" w:sz="4" w:space="0"/>
              <w:bottom w:val="nil"/>
              <w:right w:val="single" w:color="auto" w:sz="4" w:space="0"/>
            </w:tcBorders>
            <w:vAlign w:val="center"/>
          </w:tcPr>
          <w:p>
            <w:pPr>
              <w:jc w:val="center"/>
              <w:rPr>
                <w:sz w:val="21"/>
              </w:rPr>
            </w:pPr>
          </w:p>
        </w:tc>
        <w:tc>
          <w:tcPr>
            <w:tcW w:w="3449"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21"/>
              </w:rPr>
            </w:pPr>
            <w:r>
              <w:rPr>
                <w:rFonts w:hint="eastAsia" w:ascii="宋体" w:hAnsi="宋体"/>
                <w:sz w:val="21"/>
              </w:rPr>
              <w:t>创建该工业企业的原因具有重要的历史意义，或与重大历史事件或重要人物相关联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373" w:type="pct"/>
            <w:vMerge w:val="continue"/>
            <w:tcBorders>
              <w:left w:val="single" w:color="auto" w:sz="4" w:space="0"/>
              <w:right w:val="single" w:color="auto" w:sz="4" w:space="0"/>
            </w:tcBorders>
          </w:tcPr>
          <w:p>
            <w:pPr>
              <w:jc w:val="center"/>
              <w:rPr>
                <w:bCs/>
                <w:sz w:val="21"/>
              </w:rPr>
            </w:pPr>
          </w:p>
        </w:tc>
        <w:tc>
          <w:tcPr>
            <w:tcW w:w="1179" w:type="pct"/>
            <w:vMerge w:val="restart"/>
            <w:tcBorders>
              <w:top w:val="single" w:color="auto" w:sz="4" w:space="0"/>
              <w:left w:val="single" w:color="auto" w:sz="4" w:space="0"/>
              <w:bottom w:val="nil"/>
              <w:right w:val="single" w:color="auto" w:sz="4" w:space="0"/>
            </w:tcBorders>
            <w:vAlign w:val="center"/>
          </w:tcPr>
          <w:p>
            <w:pPr>
              <w:jc w:val="center"/>
              <w:rPr>
                <w:sz w:val="21"/>
              </w:rPr>
            </w:pPr>
            <w:r>
              <w:rPr>
                <w:rFonts w:hint="eastAsia"/>
                <w:bCs/>
                <w:sz w:val="21"/>
              </w:rPr>
              <w:t>科学价值</w:t>
            </w:r>
          </w:p>
        </w:tc>
        <w:tc>
          <w:tcPr>
            <w:tcW w:w="3449"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21"/>
              </w:rPr>
            </w:pPr>
            <w:r>
              <w:rPr>
                <w:rFonts w:hint="eastAsia" w:ascii="宋体" w:hAnsi="宋体"/>
                <w:sz w:val="21"/>
              </w:rPr>
              <w:t>工业技术代表当时先进的生产力，其规模或技术在同领域中曾经占据主导地位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373" w:type="pct"/>
            <w:vMerge w:val="continue"/>
            <w:tcBorders>
              <w:left w:val="single" w:color="auto" w:sz="4" w:space="0"/>
              <w:right w:val="single" w:color="auto" w:sz="4" w:space="0"/>
            </w:tcBorders>
          </w:tcPr>
          <w:p>
            <w:pPr>
              <w:jc w:val="center"/>
              <w:rPr>
                <w:sz w:val="21"/>
              </w:rPr>
            </w:pPr>
          </w:p>
        </w:tc>
        <w:tc>
          <w:tcPr>
            <w:tcW w:w="1179" w:type="pct"/>
            <w:vMerge w:val="continue"/>
            <w:tcBorders>
              <w:left w:val="single" w:color="auto" w:sz="4" w:space="0"/>
              <w:bottom w:val="nil"/>
              <w:right w:val="single" w:color="auto" w:sz="4" w:space="0"/>
            </w:tcBorders>
            <w:vAlign w:val="center"/>
          </w:tcPr>
          <w:p>
            <w:pPr>
              <w:jc w:val="center"/>
              <w:rPr>
                <w:sz w:val="21"/>
              </w:rPr>
            </w:pPr>
          </w:p>
        </w:tc>
        <w:tc>
          <w:tcPr>
            <w:tcW w:w="3449"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21"/>
              </w:rPr>
            </w:pPr>
            <w:r>
              <w:rPr>
                <w:rFonts w:hint="eastAsia" w:ascii="宋体" w:hAnsi="宋体"/>
                <w:sz w:val="21"/>
              </w:rPr>
              <w:t>反映工业化进程中工业生产技术的重大发展或变革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373" w:type="pct"/>
            <w:vMerge w:val="continue"/>
            <w:tcBorders>
              <w:left w:val="single" w:color="auto" w:sz="4" w:space="0"/>
              <w:right w:val="single" w:color="auto" w:sz="4" w:space="0"/>
            </w:tcBorders>
          </w:tcPr>
          <w:p>
            <w:pPr>
              <w:jc w:val="center"/>
              <w:rPr>
                <w:sz w:val="21"/>
              </w:rPr>
            </w:pPr>
          </w:p>
        </w:tc>
        <w:tc>
          <w:tcPr>
            <w:tcW w:w="1179" w:type="pct"/>
            <w:vMerge w:val="continue"/>
            <w:tcBorders>
              <w:left w:val="single" w:color="auto" w:sz="4" w:space="0"/>
              <w:bottom w:val="nil"/>
              <w:right w:val="single" w:color="auto" w:sz="4" w:space="0"/>
            </w:tcBorders>
            <w:vAlign w:val="center"/>
          </w:tcPr>
          <w:p>
            <w:pPr>
              <w:jc w:val="center"/>
              <w:rPr>
                <w:sz w:val="21"/>
              </w:rPr>
            </w:pPr>
          </w:p>
        </w:tc>
        <w:tc>
          <w:tcPr>
            <w:tcW w:w="3449"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21"/>
              </w:rPr>
            </w:pPr>
            <w:r>
              <w:rPr>
                <w:rFonts w:hint="eastAsia" w:ascii="宋体" w:hAnsi="宋体"/>
                <w:sz w:val="21"/>
              </w:rPr>
              <w:t>展现某一领域技术的发展轨迹，有助于提高工业技术史的研究水平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373" w:type="pct"/>
            <w:vMerge w:val="continue"/>
            <w:tcBorders>
              <w:left w:val="single" w:color="auto" w:sz="4" w:space="0"/>
              <w:right w:val="single" w:color="auto" w:sz="4" w:space="0"/>
            </w:tcBorders>
          </w:tcPr>
          <w:p>
            <w:pPr>
              <w:jc w:val="center"/>
              <w:rPr>
                <w:sz w:val="21"/>
              </w:rPr>
            </w:pPr>
          </w:p>
        </w:tc>
        <w:tc>
          <w:tcPr>
            <w:tcW w:w="1179" w:type="pct"/>
            <w:vMerge w:val="continue"/>
            <w:tcBorders>
              <w:left w:val="single" w:color="auto" w:sz="4" w:space="0"/>
              <w:bottom w:val="nil"/>
              <w:right w:val="single" w:color="auto" w:sz="4" w:space="0"/>
            </w:tcBorders>
            <w:vAlign w:val="center"/>
          </w:tcPr>
          <w:p>
            <w:pPr>
              <w:jc w:val="center"/>
              <w:rPr>
                <w:sz w:val="21"/>
              </w:rPr>
            </w:pPr>
          </w:p>
        </w:tc>
        <w:tc>
          <w:tcPr>
            <w:tcW w:w="3449"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21"/>
              </w:rPr>
            </w:pPr>
            <w:r>
              <w:rPr>
                <w:rFonts w:hint="eastAsia" w:ascii="宋体" w:hAnsi="宋体"/>
                <w:sz w:val="21"/>
              </w:rPr>
              <w:t>工业技术具有代表性，其年代和类型独特珍稀或脆弱易损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373" w:type="pct"/>
            <w:vMerge w:val="continue"/>
            <w:tcBorders>
              <w:left w:val="single" w:color="auto" w:sz="4" w:space="0"/>
              <w:right w:val="single" w:color="auto" w:sz="4" w:space="0"/>
            </w:tcBorders>
          </w:tcPr>
          <w:p>
            <w:pPr>
              <w:jc w:val="center"/>
              <w:rPr>
                <w:sz w:val="21"/>
              </w:rPr>
            </w:pPr>
          </w:p>
        </w:tc>
        <w:tc>
          <w:tcPr>
            <w:tcW w:w="1179" w:type="pct"/>
            <w:vMerge w:val="restart"/>
            <w:tcBorders>
              <w:top w:val="single" w:color="auto" w:sz="4" w:space="0"/>
              <w:left w:val="single" w:color="auto" w:sz="4" w:space="0"/>
              <w:bottom w:val="nil"/>
              <w:right w:val="single" w:color="auto" w:sz="4" w:space="0"/>
            </w:tcBorders>
            <w:vAlign w:val="center"/>
          </w:tcPr>
          <w:p>
            <w:pPr>
              <w:jc w:val="center"/>
              <w:rPr>
                <w:sz w:val="21"/>
              </w:rPr>
            </w:pPr>
            <w:r>
              <w:rPr>
                <w:rFonts w:hint="eastAsia"/>
                <w:sz w:val="21"/>
              </w:rPr>
              <w:t>艺术价值</w:t>
            </w:r>
          </w:p>
        </w:tc>
        <w:tc>
          <w:tcPr>
            <w:tcW w:w="3449"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21"/>
              </w:rPr>
            </w:pPr>
            <w:r>
              <w:rPr>
                <w:rFonts w:hint="eastAsia" w:ascii="宋体" w:hAnsi="宋体"/>
                <w:sz w:val="21"/>
              </w:rPr>
              <w:t>在工业建筑（含构筑物）、结构、工艺（工业设施）、规划设计等方面具有美学特征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373" w:type="pct"/>
            <w:vMerge w:val="continue"/>
            <w:tcBorders>
              <w:left w:val="single" w:color="auto" w:sz="4" w:space="0"/>
              <w:right w:val="single" w:color="auto" w:sz="4" w:space="0"/>
            </w:tcBorders>
          </w:tcPr>
          <w:p>
            <w:pPr>
              <w:jc w:val="center"/>
              <w:rPr>
                <w:sz w:val="21"/>
              </w:rPr>
            </w:pPr>
          </w:p>
        </w:tc>
        <w:tc>
          <w:tcPr>
            <w:tcW w:w="1179" w:type="pct"/>
            <w:vMerge w:val="continue"/>
            <w:tcBorders>
              <w:left w:val="single" w:color="auto" w:sz="4" w:space="0"/>
              <w:bottom w:val="nil"/>
              <w:right w:val="single" w:color="auto" w:sz="4" w:space="0"/>
            </w:tcBorders>
            <w:vAlign w:val="center"/>
          </w:tcPr>
          <w:p>
            <w:pPr>
              <w:jc w:val="center"/>
              <w:rPr>
                <w:sz w:val="21"/>
              </w:rPr>
            </w:pPr>
          </w:p>
        </w:tc>
        <w:tc>
          <w:tcPr>
            <w:tcW w:w="3449"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21"/>
              </w:rPr>
            </w:pPr>
            <w:r>
              <w:rPr>
                <w:rFonts w:hint="eastAsia" w:ascii="宋体" w:hAnsi="宋体"/>
                <w:sz w:val="21"/>
              </w:rPr>
              <w:t>创造和谐的人与自然关系，并对现代社会具有启示性作用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373" w:type="pct"/>
            <w:vMerge w:val="continue"/>
            <w:tcBorders>
              <w:left w:val="single" w:color="auto" w:sz="4" w:space="0"/>
              <w:right w:val="single" w:color="auto" w:sz="4" w:space="0"/>
            </w:tcBorders>
          </w:tcPr>
          <w:p>
            <w:pPr>
              <w:jc w:val="center"/>
              <w:rPr>
                <w:sz w:val="21"/>
              </w:rPr>
            </w:pPr>
          </w:p>
        </w:tc>
        <w:tc>
          <w:tcPr>
            <w:tcW w:w="1179" w:type="pct"/>
            <w:vMerge w:val="continue"/>
            <w:tcBorders>
              <w:left w:val="single" w:color="auto" w:sz="4" w:space="0"/>
              <w:bottom w:val="nil"/>
              <w:right w:val="single" w:color="auto" w:sz="4" w:space="0"/>
            </w:tcBorders>
            <w:vAlign w:val="center"/>
          </w:tcPr>
          <w:p>
            <w:pPr>
              <w:jc w:val="center"/>
              <w:rPr>
                <w:sz w:val="21"/>
              </w:rPr>
            </w:pPr>
          </w:p>
        </w:tc>
        <w:tc>
          <w:tcPr>
            <w:tcW w:w="3449"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21"/>
              </w:rPr>
            </w:pPr>
            <w:r>
              <w:rPr>
                <w:rFonts w:hint="eastAsia" w:ascii="宋体" w:hAnsi="宋体"/>
                <w:sz w:val="21"/>
              </w:rPr>
              <w:t>是著名建筑师的代表作品或者代表了一个时代或流派的典型建筑，具有建筑史料价值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373" w:type="pct"/>
            <w:vMerge w:val="continue"/>
            <w:tcBorders>
              <w:left w:val="single" w:color="auto" w:sz="4" w:space="0"/>
              <w:right w:val="single" w:color="auto" w:sz="4" w:space="0"/>
            </w:tcBorders>
          </w:tcPr>
          <w:p>
            <w:pPr>
              <w:jc w:val="center"/>
              <w:rPr>
                <w:bCs/>
                <w:sz w:val="21"/>
              </w:rPr>
            </w:pPr>
          </w:p>
        </w:tc>
        <w:tc>
          <w:tcPr>
            <w:tcW w:w="1179" w:type="pct"/>
            <w:vMerge w:val="restart"/>
            <w:tcBorders>
              <w:top w:val="single" w:color="auto" w:sz="4" w:space="0"/>
              <w:left w:val="single" w:color="auto" w:sz="4" w:space="0"/>
              <w:bottom w:val="nil"/>
              <w:right w:val="single" w:color="auto" w:sz="4" w:space="0"/>
            </w:tcBorders>
            <w:vAlign w:val="center"/>
          </w:tcPr>
          <w:p>
            <w:pPr>
              <w:jc w:val="center"/>
              <w:rPr>
                <w:sz w:val="21"/>
              </w:rPr>
            </w:pPr>
            <w:r>
              <w:rPr>
                <w:rFonts w:hint="eastAsia"/>
                <w:bCs/>
                <w:sz w:val="21"/>
              </w:rPr>
              <w:t>社会文化价值</w:t>
            </w:r>
          </w:p>
        </w:tc>
        <w:tc>
          <w:tcPr>
            <w:tcW w:w="3449"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21"/>
              </w:rPr>
            </w:pPr>
            <w:r>
              <w:rPr>
                <w:rFonts w:hint="eastAsia" w:ascii="宋体" w:hAnsi="宋体"/>
                <w:sz w:val="21"/>
              </w:rPr>
              <w:t>包含大量工业时代特征的信息，体现民族凝聚力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373" w:type="pct"/>
            <w:vMerge w:val="continue"/>
            <w:tcBorders>
              <w:left w:val="single" w:color="auto" w:sz="4" w:space="0"/>
              <w:right w:val="single" w:color="auto" w:sz="4" w:space="0"/>
            </w:tcBorders>
          </w:tcPr>
          <w:p>
            <w:pPr>
              <w:jc w:val="center"/>
              <w:rPr>
                <w:sz w:val="21"/>
              </w:rPr>
            </w:pPr>
          </w:p>
        </w:tc>
        <w:tc>
          <w:tcPr>
            <w:tcW w:w="1179" w:type="pct"/>
            <w:vMerge w:val="continue"/>
            <w:tcBorders>
              <w:left w:val="single" w:color="auto" w:sz="4" w:space="0"/>
              <w:bottom w:val="nil"/>
              <w:right w:val="single" w:color="auto" w:sz="4" w:space="0"/>
            </w:tcBorders>
            <w:vAlign w:val="center"/>
          </w:tcPr>
          <w:p>
            <w:pPr>
              <w:jc w:val="center"/>
              <w:rPr>
                <w:sz w:val="21"/>
              </w:rPr>
            </w:pPr>
          </w:p>
        </w:tc>
        <w:tc>
          <w:tcPr>
            <w:tcW w:w="3449"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21"/>
              </w:rPr>
            </w:pPr>
            <w:r>
              <w:rPr>
                <w:rFonts w:hint="eastAsia" w:ascii="宋体" w:hAnsi="宋体"/>
                <w:sz w:val="21"/>
              </w:rPr>
              <w:t>见证生产劳动者的工作与生活，形成社会归属感及形成突出的工业企业文化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373" w:type="pct"/>
            <w:vMerge w:val="continue"/>
            <w:tcBorders>
              <w:left w:val="single" w:color="auto" w:sz="4" w:space="0"/>
              <w:right w:val="single" w:color="auto" w:sz="4" w:space="0"/>
            </w:tcBorders>
          </w:tcPr>
          <w:p>
            <w:pPr>
              <w:jc w:val="center"/>
              <w:rPr>
                <w:sz w:val="21"/>
              </w:rPr>
            </w:pPr>
          </w:p>
        </w:tc>
        <w:tc>
          <w:tcPr>
            <w:tcW w:w="1179" w:type="pct"/>
            <w:vMerge w:val="continue"/>
            <w:tcBorders>
              <w:left w:val="single" w:color="auto" w:sz="4" w:space="0"/>
              <w:bottom w:val="nil"/>
              <w:right w:val="single" w:color="auto" w:sz="4" w:space="0"/>
            </w:tcBorders>
            <w:vAlign w:val="center"/>
          </w:tcPr>
          <w:p>
            <w:pPr>
              <w:jc w:val="center"/>
              <w:rPr>
                <w:sz w:val="21"/>
              </w:rPr>
            </w:pPr>
          </w:p>
        </w:tc>
        <w:tc>
          <w:tcPr>
            <w:tcW w:w="3449"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21"/>
              </w:rPr>
            </w:pPr>
            <w:r>
              <w:rPr>
                <w:rFonts w:hint="eastAsia" w:ascii="宋体" w:hAnsi="宋体"/>
                <w:sz w:val="21"/>
              </w:rPr>
              <w:t>曾长期提供稳定的就业，形成突出的工业企业文化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373" w:type="pct"/>
            <w:vMerge w:val="continue"/>
            <w:tcBorders>
              <w:left w:val="single" w:color="auto" w:sz="4" w:space="0"/>
              <w:right w:val="single" w:color="auto" w:sz="4" w:space="0"/>
            </w:tcBorders>
          </w:tcPr>
          <w:p>
            <w:pPr>
              <w:jc w:val="center"/>
              <w:rPr>
                <w:sz w:val="21"/>
              </w:rPr>
            </w:pPr>
          </w:p>
        </w:tc>
        <w:tc>
          <w:tcPr>
            <w:tcW w:w="1179" w:type="pct"/>
            <w:vMerge w:val="continue"/>
            <w:tcBorders>
              <w:left w:val="single" w:color="auto" w:sz="4" w:space="0"/>
              <w:bottom w:val="nil"/>
              <w:right w:val="single" w:color="auto" w:sz="4" w:space="0"/>
            </w:tcBorders>
            <w:vAlign w:val="center"/>
          </w:tcPr>
          <w:p>
            <w:pPr>
              <w:jc w:val="center"/>
              <w:rPr>
                <w:sz w:val="21"/>
              </w:rPr>
            </w:pPr>
          </w:p>
        </w:tc>
        <w:tc>
          <w:tcPr>
            <w:tcW w:w="3449"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21"/>
              </w:rPr>
            </w:pPr>
            <w:r>
              <w:rPr>
                <w:rFonts w:hint="eastAsia" w:ascii="宋体" w:hAnsi="宋体"/>
                <w:sz w:val="21"/>
              </w:rPr>
              <w:t>曾产生巨大的经济效益，或在今后具有较大利用潜力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373" w:type="pct"/>
            <w:vMerge w:val="continue"/>
            <w:tcBorders>
              <w:left w:val="single" w:color="auto" w:sz="4" w:space="0"/>
              <w:right w:val="single" w:color="auto" w:sz="4" w:space="0"/>
            </w:tcBorders>
          </w:tcPr>
          <w:p>
            <w:pPr>
              <w:jc w:val="center"/>
              <w:rPr>
                <w:sz w:val="21"/>
              </w:rPr>
            </w:pPr>
          </w:p>
        </w:tc>
        <w:tc>
          <w:tcPr>
            <w:tcW w:w="1179" w:type="pct"/>
            <w:vMerge w:val="restart"/>
            <w:tcBorders>
              <w:left w:val="single" w:color="auto" w:sz="4" w:space="0"/>
              <w:right w:val="single" w:color="auto" w:sz="4" w:space="0"/>
            </w:tcBorders>
            <w:vAlign w:val="center"/>
          </w:tcPr>
          <w:p>
            <w:pPr>
              <w:jc w:val="center"/>
              <w:rPr>
                <w:bCs/>
                <w:sz w:val="21"/>
              </w:rPr>
            </w:pPr>
            <w:r>
              <w:rPr>
                <w:rFonts w:hint="eastAsia"/>
                <w:bCs/>
                <w:sz w:val="21"/>
              </w:rPr>
              <w:t>利用价值</w:t>
            </w:r>
          </w:p>
          <w:p>
            <w:pPr>
              <w:rPr>
                <w:sz w:val="21"/>
              </w:rPr>
            </w:pPr>
          </w:p>
        </w:tc>
        <w:tc>
          <w:tcPr>
            <w:tcW w:w="3449"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21"/>
              </w:rPr>
            </w:pPr>
            <w:r>
              <w:rPr>
                <w:rFonts w:hint="eastAsia" w:ascii="宋体" w:hAnsi="宋体"/>
                <w:sz w:val="21"/>
              </w:rPr>
              <w:t>区位良好，交通便捷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373" w:type="pct"/>
            <w:vMerge w:val="continue"/>
            <w:tcBorders>
              <w:left w:val="single" w:color="auto" w:sz="4" w:space="0"/>
              <w:right w:val="single" w:color="auto" w:sz="4" w:space="0"/>
            </w:tcBorders>
          </w:tcPr>
          <w:p>
            <w:pPr>
              <w:jc w:val="center"/>
              <w:rPr>
                <w:sz w:val="21"/>
              </w:rPr>
            </w:pPr>
          </w:p>
        </w:tc>
        <w:tc>
          <w:tcPr>
            <w:tcW w:w="1179" w:type="pct"/>
            <w:vMerge w:val="continue"/>
            <w:tcBorders>
              <w:left w:val="single" w:color="auto" w:sz="4" w:space="0"/>
              <w:right w:val="single" w:color="auto" w:sz="4" w:space="0"/>
            </w:tcBorders>
            <w:vAlign w:val="center"/>
          </w:tcPr>
          <w:p>
            <w:pPr>
              <w:ind w:firstLine="480" w:firstLineChars="200"/>
              <w:rPr>
                <w:i/>
              </w:rPr>
            </w:pPr>
          </w:p>
        </w:tc>
        <w:tc>
          <w:tcPr>
            <w:tcW w:w="3449"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21"/>
              </w:rPr>
            </w:pPr>
            <w:r>
              <w:rPr>
                <w:rFonts w:hint="eastAsia" w:ascii="宋体" w:hAnsi="宋体"/>
                <w:sz w:val="21"/>
              </w:rPr>
              <w:t>结构坚固，承载力强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373" w:type="pct"/>
            <w:vMerge w:val="continue"/>
            <w:tcBorders>
              <w:left w:val="single" w:color="auto" w:sz="4" w:space="0"/>
              <w:right w:val="single" w:color="auto" w:sz="4" w:space="0"/>
            </w:tcBorders>
          </w:tcPr>
          <w:p>
            <w:pPr>
              <w:jc w:val="center"/>
              <w:rPr>
                <w:sz w:val="21"/>
              </w:rPr>
            </w:pPr>
          </w:p>
        </w:tc>
        <w:tc>
          <w:tcPr>
            <w:tcW w:w="1179" w:type="pct"/>
            <w:vMerge w:val="continue"/>
            <w:tcBorders>
              <w:left w:val="single" w:color="auto" w:sz="4" w:space="0"/>
              <w:right w:val="single" w:color="auto" w:sz="4" w:space="0"/>
            </w:tcBorders>
            <w:vAlign w:val="center"/>
          </w:tcPr>
          <w:p>
            <w:pPr>
              <w:ind w:firstLine="480" w:firstLineChars="200"/>
              <w:rPr>
                <w:i/>
              </w:rPr>
            </w:pPr>
          </w:p>
        </w:tc>
        <w:tc>
          <w:tcPr>
            <w:tcW w:w="3449"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21"/>
              </w:rPr>
            </w:pPr>
            <w:r>
              <w:rPr>
                <w:rFonts w:hint="eastAsia" w:ascii="宋体" w:hAnsi="宋体"/>
                <w:sz w:val="21"/>
              </w:rPr>
              <w:t>质量较好，完整度高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373" w:type="pct"/>
            <w:vMerge w:val="continue"/>
            <w:tcBorders>
              <w:left w:val="single" w:color="auto" w:sz="4" w:space="0"/>
              <w:right w:val="single" w:color="auto" w:sz="4" w:space="0"/>
            </w:tcBorders>
          </w:tcPr>
          <w:p>
            <w:pPr>
              <w:jc w:val="center"/>
              <w:rPr>
                <w:sz w:val="21"/>
              </w:rPr>
            </w:pPr>
          </w:p>
        </w:tc>
        <w:tc>
          <w:tcPr>
            <w:tcW w:w="1179" w:type="pct"/>
            <w:vMerge w:val="continue"/>
            <w:tcBorders>
              <w:left w:val="single" w:color="auto" w:sz="4" w:space="0"/>
              <w:right w:val="single" w:color="auto" w:sz="4" w:space="0"/>
            </w:tcBorders>
            <w:vAlign w:val="center"/>
          </w:tcPr>
          <w:p>
            <w:pPr>
              <w:ind w:firstLine="480" w:firstLineChars="200"/>
              <w:rPr>
                <w:i/>
              </w:rPr>
            </w:pPr>
          </w:p>
        </w:tc>
        <w:tc>
          <w:tcPr>
            <w:tcW w:w="3449"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21"/>
              </w:rPr>
            </w:pPr>
            <w:r>
              <w:rPr>
                <w:rFonts w:hint="eastAsia" w:ascii="宋体" w:hAnsi="宋体"/>
                <w:sz w:val="21"/>
              </w:rPr>
              <w:t>空间高大，可塑性强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373" w:type="pct"/>
            <w:vMerge w:val="continue"/>
            <w:tcBorders>
              <w:left w:val="single" w:color="auto" w:sz="4" w:space="0"/>
              <w:right w:val="single" w:color="auto" w:sz="4" w:space="0"/>
            </w:tcBorders>
          </w:tcPr>
          <w:p>
            <w:pPr>
              <w:jc w:val="center"/>
              <w:rPr>
                <w:sz w:val="21"/>
              </w:rPr>
            </w:pPr>
          </w:p>
        </w:tc>
        <w:tc>
          <w:tcPr>
            <w:tcW w:w="1179" w:type="pct"/>
            <w:vMerge w:val="continue"/>
            <w:tcBorders>
              <w:left w:val="single" w:color="auto" w:sz="4" w:space="0"/>
              <w:right w:val="single" w:color="auto" w:sz="4" w:space="0"/>
            </w:tcBorders>
            <w:vAlign w:val="center"/>
          </w:tcPr>
          <w:p>
            <w:pPr>
              <w:ind w:firstLine="480" w:firstLineChars="200"/>
              <w:rPr>
                <w:i/>
              </w:rPr>
            </w:pPr>
          </w:p>
        </w:tc>
        <w:tc>
          <w:tcPr>
            <w:tcW w:w="3449"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21"/>
              </w:rPr>
            </w:pPr>
            <w:r>
              <w:rPr>
                <w:rFonts w:hint="eastAsia" w:ascii="宋体" w:hAnsi="宋体"/>
                <w:sz w:val="21"/>
              </w:rPr>
              <w:t>风貌独特，可形成特色景观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373" w:type="pct"/>
            <w:vMerge w:val="continue"/>
            <w:tcBorders>
              <w:left w:val="single" w:color="auto" w:sz="4" w:space="0"/>
              <w:right w:val="single" w:color="auto" w:sz="4" w:space="0"/>
            </w:tcBorders>
          </w:tcPr>
          <w:p>
            <w:pPr>
              <w:jc w:val="center"/>
              <w:rPr>
                <w:sz w:val="21"/>
              </w:rPr>
            </w:pPr>
          </w:p>
        </w:tc>
        <w:tc>
          <w:tcPr>
            <w:tcW w:w="1179" w:type="pct"/>
            <w:vMerge w:val="continue"/>
            <w:tcBorders>
              <w:left w:val="single" w:color="auto" w:sz="4" w:space="0"/>
              <w:bottom w:val="single" w:color="auto" w:sz="4" w:space="0"/>
              <w:right w:val="single" w:color="auto" w:sz="4" w:space="0"/>
            </w:tcBorders>
            <w:vAlign w:val="center"/>
          </w:tcPr>
          <w:p>
            <w:pPr>
              <w:ind w:firstLine="480" w:firstLineChars="200"/>
              <w:rPr>
                <w:i/>
              </w:rPr>
            </w:pPr>
          </w:p>
        </w:tc>
        <w:tc>
          <w:tcPr>
            <w:tcW w:w="3449"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21"/>
              </w:rPr>
            </w:pPr>
            <w:r>
              <w:rPr>
                <w:rFonts w:hint="eastAsia" w:ascii="宋体" w:hAnsi="宋体"/>
                <w:sz w:val="21"/>
              </w:rPr>
              <w:t>技术可行性强，经济性好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373" w:type="pct"/>
            <w:vMerge w:val="continue"/>
            <w:tcBorders>
              <w:left w:val="single" w:color="auto" w:sz="4" w:space="0"/>
              <w:bottom w:val="single" w:color="auto" w:sz="4" w:space="0"/>
              <w:right w:val="single" w:color="auto" w:sz="4" w:space="0"/>
            </w:tcBorders>
          </w:tcPr>
          <w:p>
            <w:pPr>
              <w:jc w:val="center"/>
              <w:rPr>
                <w:sz w:val="21"/>
              </w:rPr>
            </w:pPr>
          </w:p>
        </w:tc>
        <w:tc>
          <w:tcPr>
            <w:tcW w:w="4627" w:type="pct"/>
            <w:gridSpan w:val="2"/>
            <w:tcBorders>
              <w:left w:val="single" w:color="auto" w:sz="4" w:space="0"/>
              <w:bottom w:val="single" w:color="auto" w:sz="4" w:space="0"/>
              <w:right w:val="single" w:color="auto" w:sz="4" w:space="0"/>
            </w:tcBorders>
            <w:vAlign w:val="center"/>
          </w:tcPr>
          <w:p>
            <w:pPr>
              <w:spacing w:line="240" w:lineRule="auto"/>
              <w:rPr>
                <w:rFonts w:ascii="宋体" w:hAnsi="宋体"/>
                <w:sz w:val="21"/>
              </w:rPr>
            </w:pPr>
            <w:r>
              <w:rPr>
                <w:rFonts w:hint="eastAsia" w:ascii="宋体" w:hAnsi="宋体"/>
                <w:sz w:val="21"/>
              </w:rPr>
              <w:t>分值：每个一级指标分值为3</w:t>
            </w:r>
            <w:r>
              <w:rPr>
                <w:rFonts w:ascii="宋体" w:hAnsi="宋体"/>
                <w:sz w:val="21"/>
              </w:rPr>
              <w:t>0</w:t>
            </w:r>
            <w:r>
              <w:rPr>
                <w:rFonts w:hint="eastAsia" w:ascii="宋体" w:hAnsi="宋体"/>
                <w:sz w:val="21"/>
              </w:rPr>
              <w:t>分，合计总分满分1</w:t>
            </w:r>
            <w:r>
              <w:rPr>
                <w:rFonts w:ascii="宋体" w:hAnsi="宋体"/>
                <w:sz w:val="21"/>
              </w:rPr>
              <w:t>50</w:t>
            </w:r>
            <w:r>
              <w:rPr>
                <w:rFonts w:hint="eastAsia" w:ascii="宋体" w:hAnsi="宋体"/>
                <w:sz w:val="21"/>
              </w:rPr>
              <w:t>分</w:t>
            </w:r>
          </w:p>
        </w:tc>
      </w:tr>
    </w:tbl>
    <w:p>
      <w:pPr>
        <w:pStyle w:val="62"/>
        <w:snapToGrid w:val="0"/>
        <w:spacing w:line="360" w:lineRule="auto"/>
        <w:ind w:left="840" w:firstLine="0" w:firstLineChars="0"/>
        <w:rPr>
          <w:i/>
          <w:sz w:val="24"/>
          <w:szCs w:val="24"/>
        </w:rPr>
      </w:pPr>
    </w:p>
    <w:p/>
    <w:p>
      <w:r>
        <w:rPr>
          <w:rFonts w:hint="eastAsia"/>
          <w:b/>
          <w:szCs w:val="24"/>
        </w:rPr>
        <w:t>3</w:t>
      </w:r>
      <w:r>
        <w:rPr>
          <w:b/>
          <w:szCs w:val="24"/>
        </w:rPr>
        <w:t xml:space="preserve">.2.3     </w:t>
      </w:r>
      <w:r>
        <w:rPr>
          <w:rFonts w:hint="eastAsia"/>
        </w:rPr>
        <w:t>老旧厂房根据其价值分为下列四级：</w:t>
      </w:r>
    </w:p>
    <w:p>
      <w:pPr>
        <w:pStyle w:val="62"/>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工业遗产类老旧厂房：不可移动文物、历史建筑及其他法律、法规规定的保护对象；</w:t>
      </w:r>
    </w:p>
    <w:p>
      <w:pPr>
        <w:pStyle w:val="62"/>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具有较高价值的老旧厂房：价值分级为Ⅱ级及以上，未被列入各类保护名录，但具有较高历史价值、科学价值、艺术价值、社会文化价值的老旧厂房或具有较高综合价值的老旧厂房；</w:t>
      </w:r>
    </w:p>
    <w:p>
      <w:pPr>
        <w:pStyle w:val="62"/>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具有一定价值的老旧厂房：价值分级为Ⅲ级，工业风貌特色明显或空间再利用价值较高的老旧厂房；</w:t>
      </w:r>
    </w:p>
    <w:p>
      <w:pPr>
        <w:pStyle w:val="62"/>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一般性老旧厂房：价值分级为Ⅳ级，风貌特色一般，但具有空间再利用价值的老旧厂房。</w:t>
      </w:r>
    </w:p>
    <w:p>
      <w:pPr>
        <w:pStyle w:val="62"/>
        <w:spacing w:line="360" w:lineRule="auto"/>
        <w:ind w:left="840" w:firstLine="0" w:firstLineChars="0"/>
        <w:rPr>
          <w:rFonts w:ascii="宋体" w:hAnsi="宋体" w:eastAsia="宋体"/>
          <w:sz w:val="24"/>
          <w:szCs w:val="24"/>
        </w:rPr>
      </w:pPr>
    </w:p>
    <w:p>
      <w:pPr>
        <w:rPr>
          <w:rFonts w:ascii="宋体" w:hAnsi="宋体"/>
          <w:b/>
        </w:rPr>
      </w:pPr>
      <w:r>
        <w:rPr>
          <w:rFonts w:hint="eastAsia"/>
          <w:b/>
          <w:szCs w:val="24"/>
        </w:rPr>
        <w:t>3</w:t>
      </w:r>
      <w:r>
        <w:rPr>
          <w:b/>
          <w:szCs w:val="24"/>
        </w:rPr>
        <w:t>.2.4</w:t>
      </w:r>
      <w:r>
        <w:rPr>
          <w:b/>
        </w:rPr>
        <w:t xml:space="preserve"> </w:t>
      </w:r>
      <w:r>
        <w:t xml:space="preserve">    </w:t>
      </w:r>
      <w:r>
        <w:rPr>
          <w:rFonts w:hint="eastAsia"/>
        </w:rPr>
        <w:t>老旧厂房的具体价值分级指标宜按照如下标准判定：</w:t>
      </w:r>
    </w:p>
    <w:p>
      <w:pPr>
        <w:pStyle w:val="40"/>
        <w:numPr>
          <w:ilvl w:val="0"/>
          <w:numId w:val="4"/>
        </w:numPr>
        <w:ind w:firstLineChars="0"/>
        <w:rPr>
          <w:rFonts w:ascii="宋体" w:hAnsi="宋体"/>
          <w:bCs/>
          <w:szCs w:val="24"/>
        </w:rPr>
      </w:pPr>
      <w:r>
        <w:rPr>
          <w:rFonts w:hint="eastAsia" w:ascii="宋体" w:hAnsi="宋体"/>
          <w:bCs/>
          <w:szCs w:val="24"/>
        </w:rPr>
        <w:t>老旧厂房属于不可移动文物、历史建筑及其他法律、法规规定的保护对象时，不需要再次评估，应直接归入工业遗产类老旧厂房；</w:t>
      </w:r>
    </w:p>
    <w:p>
      <w:pPr>
        <w:pStyle w:val="40"/>
        <w:numPr>
          <w:ilvl w:val="0"/>
          <w:numId w:val="4"/>
        </w:numPr>
        <w:ind w:firstLineChars="0"/>
        <w:rPr>
          <w:rFonts w:ascii="宋体" w:hAnsi="宋体"/>
          <w:bCs/>
          <w:szCs w:val="24"/>
        </w:rPr>
      </w:pPr>
      <w:r>
        <w:rPr>
          <w:rFonts w:hint="eastAsia" w:ascii="宋体" w:hAnsi="宋体"/>
          <w:bCs/>
          <w:szCs w:val="24"/>
        </w:rPr>
        <w:t>历史价值、科学价值、艺术价值及社会文化价值单项指标较高或总指标达到</w:t>
      </w:r>
      <w:r>
        <w:rPr>
          <w:rFonts w:ascii="宋体" w:hAnsi="宋体"/>
          <w:bCs/>
          <w:szCs w:val="24"/>
        </w:rPr>
        <w:t>120</w:t>
      </w:r>
      <w:r>
        <w:rPr>
          <w:rFonts w:hint="eastAsia" w:ascii="宋体" w:hAnsi="宋体"/>
          <w:bCs/>
          <w:szCs w:val="24"/>
        </w:rPr>
        <w:t>分（含）以上，经专家评估具有整体保留价值的，为Ⅰ级。Ⅰ级老旧厂房除因安全等原因无法保留外，应予以保留，并可根据专家意见申报各类名录；</w:t>
      </w:r>
    </w:p>
    <w:p>
      <w:pPr>
        <w:pStyle w:val="40"/>
        <w:numPr>
          <w:ilvl w:val="0"/>
          <w:numId w:val="4"/>
        </w:numPr>
        <w:ind w:firstLineChars="0"/>
        <w:rPr>
          <w:rFonts w:ascii="宋体" w:hAnsi="宋体"/>
          <w:bCs/>
          <w:szCs w:val="24"/>
        </w:rPr>
      </w:pPr>
      <w:r>
        <w:rPr>
          <w:rFonts w:hint="eastAsia" w:ascii="宋体" w:hAnsi="宋体"/>
          <w:bCs/>
          <w:szCs w:val="24"/>
        </w:rPr>
        <w:t>总指标在</w:t>
      </w:r>
      <w:r>
        <w:rPr>
          <w:rFonts w:ascii="宋体" w:hAnsi="宋体"/>
          <w:bCs/>
          <w:szCs w:val="24"/>
        </w:rPr>
        <w:t>105</w:t>
      </w:r>
      <w:r>
        <w:rPr>
          <w:rFonts w:hint="eastAsia" w:ascii="宋体" w:hAnsi="宋体"/>
          <w:bCs/>
          <w:szCs w:val="24"/>
        </w:rPr>
        <w:t>分（含）及以上，为Ⅱ级，为具有较高价值的老旧厂房；</w:t>
      </w:r>
    </w:p>
    <w:p>
      <w:pPr>
        <w:pStyle w:val="40"/>
        <w:numPr>
          <w:ilvl w:val="0"/>
          <w:numId w:val="4"/>
        </w:numPr>
        <w:ind w:firstLineChars="0"/>
        <w:rPr>
          <w:rFonts w:ascii="宋体" w:hAnsi="宋体"/>
          <w:bCs/>
          <w:szCs w:val="24"/>
        </w:rPr>
      </w:pPr>
      <w:r>
        <w:rPr>
          <w:rFonts w:hint="eastAsia" w:ascii="宋体" w:hAnsi="宋体"/>
          <w:bCs/>
          <w:szCs w:val="24"/>
        </w:rPr>
        <w:t>总指标在</w:t>
      </w:r>
      <w:r>
        <w:rPr>
          <w:rFonts w:ascii="宋体" w:hAnsi="宋体"/>
          <w:bCs/>
          <w:szCs w:val="24"/>
        </w:rPr>
        <w:t>90</w:t>
      </w:r>
      <w:r>
        <w:rPr>
          <w:rFonts w:hint="eastAsia" w:ascii="宋体" w:hAnsi="宋体"/>
          <w:bCs/>
          <w:szCs w:val="24"/>
        </w:rPr>
        <w:t>分（含）~</w:t>
      </w:r>
      <w:r>
        <w:rPr>
          <w:rFonts w:ascii="宋体" w:hAnsi="宋体"/>
          <w:bCs/>
          <w:szCs w:val="24"/>
        </w:rPr>
        <w:t>105</w:t>
      </w:r>
      <w:r>
        <w:rPr>
          <w:rFonts w:hint="eastAsia" w:ascii="宋体" w:hAnsi="宋体"/>
          <w:bCs/>
          <w:szCs w:val="24"/>
        </w:rPr>
        <w:t>分，为Ⅲ级，为具有一定价值的老旧厂房；</w:t>
      </w:r>
    </w:p>
    <w:p>
      <w:pPr>
        <w:pStyle w:val="40"/>
        <w:numPr>
          <w:ilvl w:val="0"/>
          <w:numId w:val="4"/>
        </w:numPr>
        <w:ind w:firstLineChars="0"/>
        <w:rPr>
          <w:rFonts w:ascii="宋体" w:hAnsi="宋体"/>
          <w:bCs/>
          <w:szCs w:val="24"/>
        </w:rPr>
      </w:pPr>
      <w:r>
        <w:rPr>
          <w:rFonts w:hint="eastAsia" w:ascii="宋体" w:hAnsi="宋体"/>
          <w:bCs/>
          <w:szCs w:val="24"/>
        </w:rPr>
        <w:t>总指标在</w:t>
      </w:r>
      <w:r>
        <w:rPr>
          <w:rFonts w:ascii="宋体" w:hAnsi="宋体"/>
          <w:bCs/>
          <w:szCs w:val="24"/>
        </w:rPr>
        <w:t>90</w:t>
      </w:r>
      <w:r>
        <w:rPr>
          <w:rFonts w:hint="eastAsia" w:ascii="宋体" w:hAnsi="宋体"/>
          <w:bCs/>
          <w:szCs w:val="24"/>
        </w:rPr>
        <w:t>分以下，为Ⅳ级，为一般性老旧厂房。</w:t>
      </w:r>
    </w:p>
    <w:p>
      <w:pPr>
        <w:snapToGrid w:val="0"/>
      </w:pPr>
    </w:p>
    <w:p>
      <w:pPr>
        <w:pStyle w:val="3"/>
        <w:spacing w:after="156" w:afterLines="50" w:line="360" w:lineRule="auto"/>
        <w:rPr>
          <w:rFonts w:ascii="宋体" w:hAnsi="宋体"/>
          <w:b/>
          <w:sz w:val="28"/>
        </w:rPr>
      </w:pPr>
      <w:bookmarkStart w:id="57" w:name="_Toc149330717"/>
      <w:bookmarkStart w:id="58" w:name="_Toc149331205"/>
      <w:bookmarkStart w:id="59" w:name="_Toc149556982"/>
      <w:bookmarkStart w:id="60" w:name="_Toc149557041"/>
      <w:bookmarkStart w:id="61" w:name="_Toc149557689"/>
      <w:bookmarkStart w:id="62" w:name="_Toc150176295"/>
      <w:bookmarkStart w:id="63" w:name="_Toc150176849"/>
      <w:bookmarkStart w:id="64" w:name="_Toc150177015"/>
      <w:r>
        <w:rPr>
          <w:rFonts w:ascii="宋体" w:hAnsi="宋体"/>
          <w:b/>
          <w:sz w:val="28"/>
        </w:rPr>
        <w:t xml:space="preserve">3.3 </w:t>
      </w:r>
      <w:r>
        <w:rPr>
          <w:rFonts w:hint="eastAsia" w:ascii="宋体" w:hAnsi="宋体"/>
          <w:b/>
          <w:sz w:val="28"/>
        </w:rPr>
        <w:t>安全与经济</w:t>
      </w:r>
      <w:bookmarkEnd w:id="57"/>
      <w:bookmarkEnd w:id="58"/>
      <w:bookmarkEnd w:id="59"/>
      <w:bookmarkEnd w:id="60"/>
      <w:bookmarkEnd w:id="61"/>
      <w:bookmarkEnd w:id="62"/>
      <w:bookmarkEnd w:id="63"/>
      <w:bookmarkEnd w:id="64"/>
    </w:p>
    <w:p>
      <w:pPr>
        <w:snapToGrid w:val="0"/>
      </w:pPr>
      <w:r>
        <w:rPr>
          <w:b/>
        </w:rPr>
        <w:t>3.3.1</w:t>
      </w:r>
      <w:r>
        <w:t xml:space="preserve">    </w:t>
      </w:r>
      <w:r>
        <w:rPr>
          <w:rFonts w:hint="eastAsia"/>
        </w:rPr>
        <w:t>老旧厂房更新改造应根据价值分级，以保证安全为前提，综合考虑经济、社会、文化、环境等因素，进行综合效益分析，确定更新改造技术方案，落实场地安全、结构安全、施工安全、消防安全及环境安全。</w:t>
      </w:r>
    </w:p>
    <w:p>
      <w:pPr>
        <w:snapToGrid w:val="0"/>
        <w:rPr>
          <w:szCs w:val="24"/>
        </w:rPr>
      </w:pPr>
    </w:p>
    <w:p>
      <w:r>
        <w:rPr>
          <w:b/>
        </w:rPr>
        <w:t xml:space="preserve">3.3.2 </w:t>
      </w:r>
      <w:r>
        <w:t xml:space="preserve"> </w:t>
      </w:r>
      <w:r>
        <w:tab/>
      </w:r>
      <w:r>
        <w:t>位于地质灾害、洪涝灾害</w:t>
      </w:r>
      <w:r>
        <w:rPr>
          <w:rFonts w:hint="eastAsia"/>
        </w:rPr>
        <w:t>易发</w:t>
      </w:r>
      <w:r>
        <w:t>地区的老旧厂房，除必须保留的工业遗产</w:t>
      </w:r>
      <w:r>
        <w:rPr>
          <w:rFonts w:hint="eastAsia"/>
        </w:rPr>
        <w:t>类老旧厂房</w:t>
      </w:r>
      <w:r>
        <w:t>外，不宜继续使用；保留的老旧厂房，应采取</w:t>
      </w:r>
      <w:r>
        <w:rPr>
          <w:rFonts w:hint="eastAsia"/>
        </w:rPr>
        <w:t>相应的防灾减灾措施。</w:t>
      </w:r>
    </w:p>
    <w:p>
      <w:pPr>
        <w:snapToGrid w:val="0"/>
      </w:pPr>
    </w:p>
    <w:p>
      <w:pPr>
        <w:snapToGrid w:val="0"/>
      </w:pPr>
      <w:r>
        <w:rPr>
          <w:b/>
        </w:rPr>
        <w:t>3.3.3</w:t>
      </w:r>
      <w:r>
        <w:rPr>
          <w:rFonts w:ascii="宋体" w:hAnsi="宋体"/>
        </w:rPr>
        <w:t xml:space="preserve"> </w:t>
      </w:r>
      <w:r>
        <w:rPr>
          <w:rFonts w:ascii="宋体" w:hAnsi="宋体"/>
        </w:rPr>
        <w:tab/>
      </w:r>
      <w:r>
        <w:rPr>
          <w:rFonts w:hint="eastAsia"/>
        </w:rPr>
        <w:t>应根据环境评估结论对老旧厂房残留的污染物进行全面治理，使其满足安全健康的使用要求。</w:t>
      </w:r>
    </w:p>
    <w:p>
      <w:pPr>
        <w:snapToGrid w:val="0"/>
        <w:rPr>
          <w:i/>
          <w:szCs w:val="24"/>
        </w:rPr>
      </w:pPr>
    </w:p>
    <w:p>
      <w:r>
        <w:rPr>
          <w:rFonts w:hint="eastAsia"/>
          <w:b/>
        </w:rPr>
        <w:t>3</w:t>
      </w:r>
      <w:r>
        <w:rPr>
          <w:b/>
        </w:rPr>
        <w:t>.3.4</w:t>
      </w:r>
      <w:r>
        <w:tab/>
      </w:r>
      <w:r>
        <w:rPr>
          <w:rFonts w:hint="eastAsia"/>
        </w:rPr>
        <w:t>对于规模较大、分期开发的老旧厂房，应制定分期开发计划。对暂时不更新改造的部分应制定临时综合保护措施；对确定不更新改造，但作为展示的建筑物、构筑物及工业设施等应制定消除安全隐患措施。</w:t>
      </w:r>
    </w:p>
    <w:p/>
    <w:p>
      <w:pPr>
        <w:rPr>
          <w:rFonts w:ascii="宋体" w:hAnsi="宋体"/>
        </w:rPr>
      </w:pPr>
      <w:r>
        <w:rPr>
          <w:rFonts w:hint="eastAsia"/>
          <w:b/>
        </w:rPr>
        <w:t>3</w:t>
      </w:r>
      <w:r>
        <w:rPr>
          <w:b/>
        </w:rPr>
        <w:t>.3.5</w:t>
      </w:r>
      <w:r>
        <w:tab/>
      </w:r>
      <w:r>
        <w:rPr>
          <w:rFonts w:hint="eastAsia" w:ascii="宋体" w:hAnsi="宋体"/>
        </w:rPr>
        <w:t>除</w:t>
      </w:r>
      <w:r>
        <w:rPr>
          <w:rFonts w:ascii="宋体" w:hAnsi="宋体"/>
        </w:rPr>
        <w:t>工业遗产类老旧厂房</w:t>
      </w:r>
      <w:r>
        <w:rPr>
          <w:rFonts w:hint="eastAsia" w:ascii="宋体" w:hAnsi="宋体"/>
        </w:rPr>
        <w:t>及价值指标为I级的老旧厂房外，</w:t>
      </w:r>
      <w:r>
        <w:rPr>
          <w:rFonts w:ascii="宋体" w:hAnsi="宋体"/>
        </w:rPr>
        <w:t>经鉴定结构安全等级较差的老旧厂房，</w:t>
      </w:r>
      <w:r>
        <w:rPr>
          <w:rFonts w:hint="eastAsia" w:ascii="宋体" w:hAnsi="宋体"/>
        </w:rPr>
        <w:t>可</w:t>
      </w:r>
      <w:r>
        <w:rPr>
          <w:rFonts w:ascii="宋体" w:hAnsi="宋体"/>
        </w:rPr>
        <w:t>按下列规定处置：</w:t>
      </w:r>
    </w:p>
    <w:p>
      <w:pPr>
        <w:pStyle w:val="62"/>
        <w:numPr>
          <w:ilvl w:val="2"/>
          <w:numId w:val="5"/>
        </w:numPr>
        <w:spacing w:line="360" w:lineRule="auto"/>
        <w:ind w:left="840" w:firstLineChars="0"/>
        <w:rPr>
          <w:rFonts w:ascii="宋体" w:hAnsi="宋体" w:eastAsia="宋体"/>
          <w:sz w:val="24"/>
          <w:szCs w:val="24"/>
        </w:rPr>
      </w:pPr>
      <w:r>
        <w:rPr>
          <w:rFonts w:ascii="宋体" w:hAnsi="宋体" w:eastAsia="宋体"/>
          <w:sz w:val="24"/>
          <w:szCs w:val="24"/>
        </w:rPr>
        <w:t>自然灾害破坏严重且无修复价值的，</w:t>
      </w:r>
      <w:r>
        <w:rPr>
          <w:rFonts w:hint="eastAsia" w:ascii="宋体" w:hAnsi="宋体" w:eastAsia="宋体"/>
          <w:sz w:val="24"/>
          <w:szCs w:val="24"/>
        </w:rPr>
        <w:t>可</w:t>
      </w:r>
      <w:r>
        <w:rPr>
          <w:rFonts w:ascii="宋体" w:hAnsi="宋体" w:eastAsia="宋体"/>
          <w:sz w:val="24"/>
          <w:szCs w:val="24"/>
        </w:rPr>
        <w:t>予</w:t>
      </w:r>
      <w:r>
        <w:rPr>
          <w:rFonts w:hint="eastAsia" w:ascii="宋体" w:hAnsi="宋体" w:eastAsia="宋体"/>
          <w:sz w:val="24"/>
          <w:szCs w:val="24"/>
        </w:rPr>
        <w:t>以</w:t>
      </w:r>
      <w:r>
        <w:rPr>
          <w:rFonts w:ascii="宋体" w:hAnsi="宋体" w:eastAsia="宋体"/>
          <w:sz w:val="24"/>
          <w:szCs w:val="24"/>
        </w:rPr>
        <w:t>拆除；</w:t>
      </w:r>
    </w:p>
    <w:p>
      <w:pPr>
        <w:pStyle w:val="62"/>
        <w:numPr>
          <w:ilvl w:val="2"/>
          <w:numId w:val="5"/>
        </w:numPr>
        <w:spacing w:line="360" w:lineRule="auto"/>
        <w:ind w:left="840" w:firstLineChars="0"/>
        <w:rPr>
          <w:rFonts w:ascii="宋体" w:hAnsi="宋体" w:eastAsia="宋体"/>
          <w:sz w:val="24"/>
          <w:szCs w:val="24"/>
        </w:rPr>
      </w:pPr>
      <w:r>
        <w:rPr>
          <w:rFonts w:ascii="宋体" w:hAnsi="宋体" w:eastAsia="宋体"/>
          <w:sz w:val="24"/>
          <w:szCs w:val="24"/>
        </w:rPr>
        <w:t>结构改造</w:t>
      </w:r>
      <w:r>
        <w:rPr>
          <w:rFonts w:hint="eastAsia" w:ascii="宋体" w:hAnsi="宋体" w:eastAsia="宋体"/>
          <w:sz w:val="24"/>
          <w:szCs w:val="24"/>
        </w:rPr>
        <w:t>、</w:t>
      </w:r>
      <w:r>
        <w:rPr>
          <w:rFonts w:ascii="宋体" w:hAnsi="宋体" w:eastAsia="宋体"/>
          <w:sz w:val="24"/>
          <w:szCs w:val="24"/>
        </w:rPr>
        <w:t>加固</w:t>
      </w:r>
      <w:r>
        <w:rPr>
          <w:rFonts w:hint="eastAsia" w:ascii="宋体" w:hAnsi="宋体" w:eastAsia="宋体"/>
          <w:sz w:val="24"/>
          <w:szCs w:val="24"/>
        </w:rPr>
        <w:t>的</w:t>
      </w:r>
      <w:r>
        <w:rPr>
          <w:rFonts w:ascii="宋体" w:hAnsi="宋体" w:eastAsia="宋体"/>
          <w:sz w:val="24"/>
          <w:szCs w:val="24"/>
        </w:rPr>
        <w:t>总费用达</w:t>
      </w:r>
      <w:r>
        <w:rPr>
          <w:rFonts w:hint="eastAsia" w:ascii="宋体" w:hAnsi="宋体" w:eastAsia="宋体"/>
          <w:sz w:val="24"/>
          <w:szCs w:val="24"/>
        </w:rPr>
        <w:t>到</w:t>
      </w:r>
      <w:r>
        <w:rPr>
          <w:rFonts w:ascii="宋体" w:hAnsi="宋体" w:eastAsia="宋体"/>
          <w:sz w:val="24"/>
          <w:szCs w:val="24"/>
        </w:rPr>
        <w:t>新建同类建筑工程造价70%或以上的，</w:t>
      </w:r>
      <w:r>
        <w:rPr>
          <w:rFonts w:hint="eastAsia" w:ascii="宋体" w:hAnsi="宋体" w:eastAsia="宋体"/>
          <w:sz w:val="24"/>
          <w:szCs w:val="24"/>
        </w:rPr>
        <w:t>可</w:t>
      </w:r>
      <w:r>
        <w:rPr>
          <w:rFonts w:ascii="宋体" w:hAnsi="宋体" w:eastAsia="宋体"/>
          <w:sz w:val="24"/>
          <w:szCs w:val="24"/>
        </w:rPr>
        <w:t>采取拆除重建的方案；</w:t>
      </w:r>
    </w:p>
    <w:p>
      <w:pPr>
        <w:snapToGrid w:val="0"/>
      </w:pPr>
    </w:p>
    <w:p>
      <w:pPr>
        <w:snapToGrid w:val="0"/>
      </w:pPr>
      <w:r>
        <w:rPr>
          <w:rFonts w:hint="eastAsia"/>
          <w:b/>
        </w:rPr>
        <w:t>3</w:t>
      </w:r>
      <w:r>
        <w:rPr>
          <w:b/>
        </w:rPr>
        <w:t>.3.6</w:t>
      </w:r>
      <w:r>
        <w:t xml:space="preserve"> </w:t>
      </w:r>
      <w:r>
        <w:tab/>
      </w:r>
      <w:r>
        <w:rPr>
          <w:rFonts w:hint="eastAsia"/>
        </w:rPr>
        <w:t>老旧厂房更新改造应根据改造后建筑物的使用功能、外部空间条件、内部平面布置和相关人员特点，提升建筑本身的消防安全性能，提高消防设施的可靠性和有效性。</w:t>
      </w:r>
    </w:p>
    <w:p>
      <w:pPr>
        <w:rPr>
          <w:i/>
          <w:szCs w:val="24"/>
        </w:rPr>
      </w:pPr>
    </w:p>
    <w:p>
      <w:pPr>
        <w:rPr>
          <w:szCs w:val="24"/>
        </w:rPr>
      </w:pPr>
      <w:r>
        <w:rPr>
          <w:b/>
          <w:bCs/>
        </w:rPr>
        <w:t>3.3.7</w:t>
      </w:r>
      <w:r>
        <w:rPr>
          <w:bCs/>
        </w:rPr>
        <w:tab/>
      </w:r>
      <w:r>
        <w:rPr>
          <w:rFonts w:hint="eastAsia"/>
          <w:szCs w:val="24"/>
        </w:rPr>
        <w:t>老旧厂房更新改造中人防配建宜按照规定设置；因保留厂房而无法达到现行标准和规定的，改造后应不低于现状人防配建指标。</w:t>
      </w:r>
    </w:p>
    <w:p/>
    <w:p>
      <w:pPr>
        <w:pStyle w:val="2"/>
        <w:pageBreakBefore/>
        <w:spacing w:before="156" w:beforeLines="50" w:after="156" w:afterLines="50" w:line="360" w:lineRule="auto"/>
        <w:jc w:val="center"/>
        <w:rPr>
          <w:rFonts w:ascii="宋体" w:hAnsi="宋体"/>
          <w:sz w:val="32"/>
        </w:rPr>
      </w:pPr>
      <w:bookmarkStart w:id="65" w:name="_Toc149330718"/>
      <w:bookmarkStart w:id="66" w:name="_Toc149331206"/>
      <w:bookmarkStart w:id="67" w:name="_Toc149556983"/>
      <w:bookmarkStart w:id="68" w:name="_Toc149557042"/>
      <w:bookmarkStart w:id="69" w:name="_Toc149557690"/>
      <w:bookmarkStart w:id="70" w:name="_Toc150176296"/>
      <w:bookmarkStart w:id="71" w:name="_Toc150176850"/>
      <w:bookmarkStart w:id="72" w:name="_Toc150177016"/>
      <w:bookmarkStart w:id="73" w:name="_Toc35023284"/>
      <w:bookmarkStart w:id="74" w:name="_Toc35162941"/>
      <w:r>
        <w:rPr>
          <w:rFonts w:ascii="宋体" w:hAnsi="宋体"/>
          <w:sz w:val="32"/>
        </w:rPr>
        <w:t xml:space="preserve">4  </w:t>
      </w:r>
      <w:r>
        <w:rPr>
          <w:rFonts w:hint="eastAsia" w:ascii="宋体" w:hAnsi="宋体"/>
          <w:sz w:val="32"/>
        </w:rPr>
        <w:t>评估与策划</w:t>
      </w:r>
      <w:bookmarkEnd w:id="65"/>
      <w:bookmarkEnd w:id="66"/>
      <w:bookmarkEnd w:id="67"/>
      <w:bookmarkEnd w:id="68"/>
      <w:bookmarkEnd w:id="69"/>
      <w:bookmarkEnd w:id="70"/>
      <w:bookmarkEnd w:id="71"/>
      <w:bookmarkEnd w:id="72"/>
    </w:p>
    <w:p>
      <w:pPr>
        <w:pStyle w:val="3"/>
        <w:spacing w:after="156" w:afterLines="50" w:line="360" w:lineRule="auto"/>
        <w:rPr>
          <w:rFonts w:ascii="宋体" w:hAnsi="宋体"/>
          <w:b/>
          <w:sz w:val="28"/>
        </w:rPr>
      </w:pPr>
      <w:bookmarkStart w:id="75" w:name="_Toc149330719"/>
      <w:bookmarkStart w:id="76" w:name="_Toc149331207"/>
      <w:bookmarkStart w:id="77" w:name="_Toc149556984"/>
      <w:bookmarkStart w:id="78" w:name="_Toc149557043"/>
      <w:bookmarkStart w:id="79" w:name="_Toc149557691"/>
      <w:bookmarkStart w:id="80" w:name="_Toc150176297"/>
      <w:bookmarkStart w:id="81" w:name="_Toc150176851"/>
      <w:bookmarkStart w:id="82" w:name="_Toc150177017"/>
      <w:r>
        <w:rPr>
          <w:rFonts w:ascii="宋体" w:hAnsi="宋体"/>
          <w:b/>
          <w:sz w:val="28"/>
        </w:rPr>
        <w:t xml:space="preserve">4.1 </w:t>
      </w:r>
      <w:bookmarkEnd w:id="75"/>
      <w:bookmarkEnd w:id="76"/>
      <w:bookmarkEnd w:id="77"/>
      <w:bookmarkEnd w:id="78"/>
      <w:bookmarkEnd w:id="79"/>
      <w:r>
        <w:rPr>
          <w:rFonts w:hint="eastAsia" w:ascii="宋体" w:hAnsi="宋体"/>
          <w:b/>
          <w:sz w:val="28"/>
        </w:rPr>
        <w:t>评估</w:t>
      </w:r>
      <w:bookmarkEnd w:id="80"/>
      <w:bookmarkEnd w:id="81"/>
      <w:bookmarkEnd w:id="82"/>
    </w:p>
    <w:p>
      <w:r>
        <w:rPr>
          <w:b/>
          <w:bCs/>
        </w:rPr>
        <w:t>4.1.1</w:t>
      </w:r>
      <w:r>
        <w:rPr>
          <w:bCs/>
        </w:rPr>
        <w:tab/>
      </w:r>
      <w:r>
        <w:rPr>
          <w:rFonts w:hint="eastAsia"/>
        </w:rPr>
        <w:t>老旧厂房更新改造的</w:t>
      </w:r>
      <w:r>
        <w:rPr>
          <w:rFonts w:hint="eastAsia"/>
          <w:szCs w:val="24"/>
        </w:rPr>
        <w:t>评估工作应包含</w:t>
      </w:r>
      <w:r>
        <w:rPr>
          <w:rFonts w:hint="eastAsia"/>
        </w:rPr>
        <w:t>现状评估、资源评估、房屋性能评估、场地环境评估、地下空间评估、消防安全评估等内容；宜包含可再生能源利用潜力评估、区域交通承载力评估等内容。具体评估内容宜按本标准附录A执行。</w:t>
      </w:r>
    </w:p>
    <w:p>
      <w:pPr>
        <w:rPr>
          <w:i/>
        </w:rPr>
      </w:pPr>
    </w:p>
    <w:p>
      <w:pPr>
        <w:snapToGrid w:val="0"/>
      </w:pPr>
      <w:r>
        <w:rPr>
          <w:rFonts w:hint="eastAsia"/>
          <w:b/>
        </w:rPr>
        <w:t>4</w:t>
      </w:r>
      <w:r>
        <w:rPr>
          <w:b/>
        </w:rPr>
        <w:t>.1.2</w:t>
      </w:r>
      <w:r>
        <w:tab/>
      </w:r>
      <w:r>
        <w:rPr>
          <w:rFonts w:hint="eastAsia"/>
        </w:rPr>
        <w:t>现状评估应包含现状建筑使用情况、周边环境、现状交通、现状资源等内容。</w:t>
      </w:r>
    </w:p>
    <w:p>
      <w:pPr>
        <w:snapToGrid w:val="0"/>
      </w:pPr>
    </w:p>
    <w:p>
      <w:r>
        <w:rPr>
          <w:rFonts w:hint="eastAsia"/>
          <w:b/>
        </w:rPr>
        <w:t>4</w:t>
      </w:r>
      <w:r>
        <w:rPr>
          <w:b/>
        </w:rPr>
        <w:t>.1.3</w:t>
      </w:r>
      <w:r>
        <w:tab/>
      </w:r>
      <w:r>
        <w:rPr>
          <w:rFonts w:hint="eastAsia"/>
        </w:rPr>
        <w:t>资源评估应包含区位资源、景观资源、交通资源、政策支持等内容。</w:t>
      </w:r>
    </w:p>
    <w:p>
      <w:pPr>
        <w:rPr>
          <w:i/>
        </w:rPr>
      </w:pPr>
    </w:p>
    <w:p>
      <w:r>
        <w:rPr>
          <w:b/>
          <w:bCs/>
        </w:rPr>
        <w:t xml:space="preserve">4.1.4 </w:t>
      </w:r>
      <w:r>
        <w:rPr>
          <w:bCs/>
        </w:rPr>
        <w:tab/>
      </w:r>
      <w:r>
        <w:rPr>
          <w:rFonts w:hint="eastAsia"/>
        </w:rPr>
        <w:t>房屋性能评估应包含结构安全、围护结构性能、室内环境、机电系统与设备及市政资源与小市政等内容。</w:t>
      </w:r>
    </w:p>
    <w:p/>
    <w:p>
      <w:r>
        <w:rPr>
          <w:b/>
          <w:bCs/>
        </w:rPr>
        <w:t xml:space="preserve">4.1.5 </w:t>
      </w:r>
      <w:r>
        <w:rPr>
          <w:bCs/>
        </w:rPr>
        <w:tab/>
      </w:r>
      <w:r>
        <w:rPr>
          <w:bCs/>
        </w:rPr>
        <w:t xml:space="preserve"> </w:t>
      </w:r>
      <w:r>
        <w:rPr>
          <w:rFonts w:hint="eastAsia"/>
        </w:rPr>
        <w:t>场地环境评估应包含场地安全性、污染源、景观水体水质、场地下垫面、日照环境、风环境、声环境等内容。</w:t>
      </w:r>
    </w:p>
    <w:p>
      <w:pPr>
        <w:snapToGrid w:val="0"/>
        <w:ind w:firstLine="420"/>
        <w:rPr>
          <w:i/>
          <w:szCs w:val="24"/>
        </w:rPr>
      </w:pPr>
    </w:p>
    <w:p>
      <w:pPr>
        <w:rPr>
          <w:szCs w:val="24"/>
        </w:rPr>
      </w:pPr>
      <w:r>
        <w:rPr>
          <w:b/>
          <w:bCs/>
        </w:rPr>
        <w:t>4.1.6</w:t>
      </w:r>
      <w:r>
        <w:rPr>
          <w:bCs/>
        </w:rPr>
        <w:tab/>
      </w:r>
      <w:r>
        <w:rPr>
          <w:bCs/>
        </w:rPr>
        <w:t xml:space="preserve"> </w:t>
      </w:r>
      <w:r>
        <w:rPr>
          <w:rFonts w:hint="eastAsia"/>
          <w:bCs/>
        </w:rPr>
        <w:t>消防安全评估内容应按照地方现行标准</w:t>
      </w:r>
      <w:r>
        <w:rPr>
          <w:rFonts w:hint="eastAsia"/>
          <w:szCs w:val="24"/>
        </w:rPr>
        <w:t>《北京市既有建筑防火设计标准》执行。</w:t>
      </w:r>
    </w:p>
    <w:p>
      <w:pPr>
        <w:rPr>
          <w:b/>
          <w:bCs/>
        </w:rPr>
      </w:pPr>
    </w:p>
    <w:p>
      <w:r>
        <w:rPr>
          <w:b/>
          <w:bCs/>
        </w:rPr>
        <w:t>4.1.7</w:t>
      </w:r>
      <w:r>
        <w:rPr>
          <w:b/>
          <w:bCs/>
        </w:rPr>
        <w:tab/>
      </w:r>
      <w:r>
        <w:rPr>
          <w:bCs/>
        </w:rPr>
        <w:t xml:space="preserve"> </w:t>
      </w:r>
      <w:r>
        <w:rPr>
          <w:rFonts w:hint="eastAsia"/>
        </w:rPr>
        <w:t>地下空间评估应包含现状地下空间资源、现状人防设施、可开发建设的区域及深度、地下污染物、现状管线、地下联通性、地下开发安全性和地下开发经济性等内容。</w:t>
      </w:r>
    </w:p>
    <w:p/>
    <w:p>
      <w:pPr>
        <w:rPr>
          <w:bCs/>
        </w:rPr>
      </w:pPr>
      <w:r>
        <w:rPr>
          <w:b/>
          <w:bCs/>
        </w:rPr>
        <w:t>4.1.8</w:t>
      </w:r>
      <w:r>
        <w:rPr>
          <w:bCs/>
        </w:rPr>
        <w:tab/>
      </w:r>
      <w:r>
        <w:rPr>
          <w:rFonts w:hint="eastAsia"/>
        </w:rPr>
        <w:t>可再生能源利用潜力评估包含浅层地热能、太阳能、风能等</w:t>
      </w:r>
      <w:r>
        <w:rPr>
          <w:rFonts w:hint="eastAsia"/>
          <w:bCs/>
        </w:rPr>
        <w:t>。</w:t>
      </w:r>
    </w:p>
    <w:p>
      <w:pPr>
        <w:rPr>
          <w:bCs/>
        </w:rPr>
      </w:pPr>
    </w:p>
    <w:p>
      <w:pPr>
        <w:rPr>
          <w:bCs/>
        </w:rPr>
      </w:pPr>
      <w:r>
        <w:rPr>
          <w:b/>
          <w:bCs/>
        </w:rPr>
        <w:t>4.1.9</w:t>
      </w:r>
      <w:r>
        <w:rPr>
          <w:bCs/>
        </w:rPr>
        <w:tab/>
      </w:r>
      <w:r>
        <w:rPr>
          <w:bCs/>
        </w:rPr>
        <w:t xml:space="preserve">    </w:t>
      </w:r>
      <w:r>
        <w:rPr>
          <w:rFonts w:hint="eastAsia"/>
        </w:rPr>
        <w:t>区域交通承载力评估应包含周边区域交通分析及场地停车分析等内容</w:t>
      </w:r>
      <w:r>
        <w:rPr>
          <w:rFonts w:hint="eastAsia"/>
          <w:bCs/>
        </w:rPr>
        <w:t>。</w:t>
      </w:r>
    </w:p>
    <w:p>
      <w:pPr>
        <w:rPr>
          <w:bCs/>
        </w:rPr>
      </w:pPr>
    </w:p>
    <w:p>
      <w:pPr>
        <w:pStyle w:val="3"/>
        <w:spacing w:after="156" w:afterLines="50" w:line="360" w:lineRule="auto"/>
        <w:rPr>
          <w:rFonts w:ascii="宋体" w:hAnsi="宋体"/>
          <w:b/>
          <w:sz w:val="28"/>
        </w:rPr>
      </w:pPr>
      <w:bookmarkStart w:id="83" w:name="_Toc149330721"/>
      <w:bookmarkStart w:id="84" w:name="_Toc149331209"/>
      <w:bookmarkStart w:id="85" w:name="_Toc149556986"/>
      <w:bookmarkStart w:id="86" w:name="_Toc149557045"/>
      <w:bookmarkStart w:id="87" w:name="_Toc149557693"/>
      <w:bookmarkStart w:id="88" w:name="_Toc150176298"/>
      <w:bookmarkStart w:id="89" w:name="_Toc150176852"/>
      <w:bookmarkStart w:id="90" w:name="_Toc150177018"/>
      <w:r>
        <w:rPr>
          <w:rFonts w:ascii="宋体" w:hAnsi="宋体"/>
          <w:b/>
          <w:sz w:val="28"/>
        </w:rPr>
        <w:t xml:space="preserve">4.2 </w:t>
      </w:r>
      <w:r>
        <w:rPr>
          <w:rFonts w:hint="eastAsia" w:ascii="宋体" w:hAnsi="宋体"/>
          <w:b/>
          <w:sz w:val="28"/>
        </w:rPr>
        <w:t>策划</w:t>
      </w:r>
      <w:bookmarkEnd w:id="83"/>
      <w:bookmarkEnd w:id="84"/>
      <w:bookmarkEnd w:id="85"/>
      <w:bookmarkEnd w:id="86"/>
      <w:bookmarkEnd w:id="87"/>
      <w:bookmarkEnd w:id="88"/>
      <w:bookmarkEnd w:id="89"/>
      <w:bookmarkEnd w:id="90"/>
    </w:p>
    <w:p>
      <w:r>
        <w:rPr>
          <w:b/>
          <w:bCs/>
        </w:rPr>
        <w:t>4.2.1</w:t>
      </w:r>
      <w:r>
        <w:rPr>
          <w:bCs/>
        </w:rPr>
        <w:tab/>
      </w:r>
      <w:r>
        <w:rPr>
          <w:rFonts w:hint="eastAsia"/>
        </w:rPr>
        <w:t>老旧厂房更新改造的策划应包含功能策划及技术策划，并应符合上位规划、产业指引和项目自身特点。</w:t>
      </w:r>
    </w:p>
    <w:p>
      <w:pPr>
        <w:rPr>
          <w:b/>
          <w:bCs/>
        </w:rPr>
      </w:pPr>
    </w:p>
    <w:p>
      <w:pPr>
        <w:rPr>
          <w:rFonts w:ascii="宋体" w:hAnsi="宋体"/>
          <w:bCs/>
          <w:szCs w:val="24"/>
        </w:rPr>
      </w:pPr>
      <w:r>
        <w:rPr>
          <w:b/>
          <w:bCs/>
        </w:rPr>
        <w:t>4.2.2</w:t>
      </w:r>
      <w:r>
        <w:rPr>
          <w:rFonts w:ascii="宋体" w:hAnsi="宋体"/>
          <w:b/>
          <w:bCs/>
          <w:szCs w:val="24"/>
        </w:rPr>
        <w:t xml:space="preserve"> </w:t>
      </w:r>
      <w:r>
        <w:rPr>
          <w:rFonts w:ascii="宋体" w:hAnsi="宋体"/>
          <w:bCs/>
          <w:szCs w:val="24"/>
        </w:rPr>
        <w:tab/>
      </w:r>
      <w:r>
        <w:rPr>
          <w:rFonts w:hint="eastAsia" w:ascii="宋体" w:hAnsi="宋体"/>
          <w:bCs/>
          <w:szCs w:val="24"/>
        </w:rPr>
        <w:t>功能策划应优先选择与厂房空间形态相协调的功能。</w:t>
      </w:r>
    </w:p>
    <w:p>
      <w:pPr>
        <w:rPr>
          <w:b/>
          <w:bCs/>
        </w:rPr>
      </w:pPr>
    </w:p>
    <w:p>
      <w:r>
        <w:rPr>
          <w:rFonts w:hint="eastAsia"/>
          <w:b/>
          <w:bCs/>
        </w:rPr>
        <w:t>4</w:t>
      </w:r>
      <w:r>
        <w:rPr>
          <w:b/>
          <w:bCs/>
        </w:rPr>
        <w:t>.2.3</w:t>
      </w:r>
      <w:r>
        <w:rPr>
          <w:bCs/>
        </w:rPr>
        <w:tab/>
      </w:r>
      <w:r>
        <w:rPr>
          <w:rFonts w:hint="eastAsia"/>
          <w:bCs/>
        </w:rPr>
        <w:t>技术</w:t>
      </w:r>
      <w:r>
        <w:rPr>
          <w:rFonts w:hint="eastAsia"/>
        </w:rPr>
        <w:t>策划应在经济合理的前提下制定建筑综合性能提升目标。应包含建筑风貌、结构后续工作年限、安全防灾、绿色建筑、减碳节能、海绵城市、无障碍设计、全龄友好、超低能耗及装配式建筑等技术策划目标。技术策划目标与现行规定不一致时，应经过专家论证及相关部门批准。</w:t>
      </w:r>
    </w:p>
    <w:p/>
    <w:p>
      <w:r>
        <w:rPr>
          <w:b/>
          <w:bCs/>
        </w:rPr>
        <w:t>4.2.4</w:t>
      </w:r>
      <w:r>
        <w:rPr>
          <w:bCs/>
        </w:rPr>
        <w:tab/>
      </w:r>
      <w:r>
        <w:rPr>
          <w:rFonts w:hint="eastAsia"/>
        </w:rPr>
        <w:t>经评估后整体保留的工业遗产类老旧厂房、具有较高价值的老旧厂房及具有一定价值的老旧厂房周边道路规划设计应综合考虑更新改造需求，在满足交通安全、通行能力、管线敷设等需求前提下，可采取局部道路优化设计措施。</w:t>
      </w:r>
    </w:p>
    <w:p/>
    <w:p>
      <w:pPr>
        <w:rPr>
          <w:bCs/>
          <w:szCs w:val="24"/>
        </w:rPr>
      </w:pPr>
      <w:r>
        <w:rPr>
          <w:b/>
          <w:bCs/>
        </w:rPr>
        <w:t>4.2.5</w:t>
      </w:r>
      <w:r>
        <w:rPr>
          <w:bCs/>
        </w:rPr>
        <w:tab/>
      </w:r>
      <w:r>
        <w:rPr>
          <w:rFonts w:hint="eastAsia"/>
        </w:rPr>
        <w:t>经评估后保留的老旧厂房在保证自身用地功能的前提下，</w:t>
      </w:r>
      <w:r>
        <w:rPr>
          <w:rFonts w:hint="eastAsia"/>
          <w:bCs/>
          <w:szCs w:val="24"/>
        </w:rPr>
        <w:t>可不退用地红线；突入道路红线、蓝线及绿线的保留老旧厂房，在保障安全的前提下，经依法批准后可保留。</w:t>
      </w:r>
    </w:p>
    <w:p>
      <w:pPr>
        <w:pStyle w:val="40"/>
        <w:ind w:firstLine="0" w:firstLineChars="0"/>
        <w:rPr>
          <w:bCs/>
          <w:i/>
          <w:szCs w:val="24"/>
        </w:rPr>
      </w:pPr>
    </w:p>
    <w:p>
      <w:r>
        <w:rPr>
          <w:b/>
          <w:bCs/>
          <w:szCs w:val="24"/>
        </w:rPr>
        <w:t>4.2.6</w:t>
      </w:r>
      <w:r>
        <w:rPr>
          <w:b/>
          <w:szCs w:val="24"/>
        </w:rPr>
        <w:t xml:space="preserve">  </w:t>
      </w:r>
      <w:r>
        <w:rPr>
          <w:szCs w:val="24"/>
        </w:rPr>
        <w:tab/>
      </w:r>
      <w:r>
        <w:rPr>
          <w:rFonts w:hint="eastAsia"/>
          <w:bCs/>
          <w:szCs w:val="24"/>
        </w:rPr>
        <w:t>应根据老旧厂房的分级及具体功能对应采用以下</w:t>
      </w:r>
      <w:r>
        <w:rPr>
          <w:bCs/>
          <w:szCs w:val="24"/>
        </w:rPr>
        <w:t>4</w:t>
      </w:r>
      <w:r>
        <w:rPr>
          <w:rFonts w:hint="eastAsia"/>
          <w:bCs/>
          <w:szCs w:val="24"/>
        </w:rPr>
        <w:t>种更新改造措施：</w:t>
      </w:r>
      <w:r>
        <w:rPr>
          <w:rFonts w:hint="eastAsia"/>
        </w:rPr>
        <w:t>保留、重建、改扩建、风貌重现。</w:t>
      </w:r>
    </w:p>
    <w:p>
      <w:pPr>
        <w:rPr>
          <w:i/>
        </w:rPr>
      </w:pPr>
    </w:p>
    <w:p>
      <w:r>
        <w:rPr>
          <w:b/>
          <w:bCs/>
          <w:szCs w:val="24"/>
        </w:rPr>
        <w:t>4.2.7</w:t>
      </w:r>
      <w:r>
        <w:rPr>
          <w:b/>
        </w:rPr>
        <w:t xml:space="preserve"> </w:t>
      </w:r>
      <w:r>
        <w:tab/>
      </w:r>
      <w:r>
        <w:rPr>
          <w:rFonts w:hint="eastAsia"/>
        </w:rPr>
        <w:t>具有较高价值的老旧厂房如无特殊原因，应整体保留；具有一定价值的老旧厂房及一般性老旧厂房宜优先选择整体保留，当无法整体保留时，可采用局部保留；工业遗产类老旧厂房应按照相关规定执行。</w:t>
      </w:r>
    </w:p>
    <w:p/>
    <w:p>
      <w:r>
        <w:rPr>
          <w:b/>
          <w:bCs/>
          <w:szCs w:val="24"/>
        </w:rPr>
        <w:t>4.2.8</w:t>
      </w:r>
      <w:r>
        <w:t xml:space="preserve">  </w:t>
      </w:r>
      <w:r>
        <w:tab/>
      </w:r>
      <w:r>
        <w:rPr>
          <w:rFonts w:hint="eastAsia"/>
        </w:rPr>
        <w:t>具有一定价值的老旧厂房，当满足</w:t>
      </w:r>
      <w:r>
        <w:rPr>
          <w:rFonts w:hint="eastAsia"/>
          <w:b/>
        </w:rPr>
        <w:t>3</w:t>
      </w:r>
      <w:r>
        <w:rPr>
          <w:b/>
        </w:rPr>
        <w:t>.3.5</w:t>
      </w:r>
      <w:r>
        <w:rPr>
          <w:rFonts w:hint="eastAsia"/>
        </w:rPr>
        <w:t>第二款情况或保留原建筑对拟更新改造的使用功能产生较大影响，且使用功能无法变更时，经评估论证允许重建。</w:t>
      </w:r>
    </w:p>
    <w:p/>
    <w:p>
      <w:r>
        <w:rPr>
          <w:b/>
          <w:bCs/>
          <w:szCs w:val="24"/>
        </w:rPr>
        <w:t>4.2.9</w:t>
      </w:r>
      <w:r>
        <w:rPr>
          <w:b/>
        </w:rPr>
        <w:t xml:space="preserve"> </w:t>
      </w:r>
      <w:r>
        <w:t xml:space="preserve"> </w:t>
      </w:r>
      <w:r>
        <w:tab/>
      </w:r>
      <w:r>
        <w:rPr>
          <w:rFonts w:hint="eastAsia"/>
        </w:rPr>
        <w:t>一般性老旧厂房可通过分析老旧厂房风貌特征，以风貌重现的方式保留原有工业建筑风貌。</w:t>
      </w:r>
    </w:p>
    <w:p/>
    <w:p>
      <w:r>
        <w:rPr>
          <w:b/>
          <w:bCs/>
          <w:szCs w:val="24"/>
        </w:rPr>
        <w:t>4.2.10</w:t>
      </w:r>
      <w:r>
        <w:rPr>
          <w:bCs/>
          <w:szCs w:val="24"/>
        </w:rPr>
        <w:tab/>
      </w:r>
      <w:r>
        <w:t xml:space="preserve"> </w:t>
      </w:r>
      <w:r>
        <w:rPr>
          <w:rFonts w:hint="eastAsia"/>
        </w:rPr>
        <w:t>除工业遗产类老旧厂房外，其他老旧厂房均可改建、扩建、重建，以适应新功能的需求。</w:t>
      </w:r>
    </w:p>
    <w:p>
      <w:pPr>
        <w:rPr>
          <w:i/>
        </w:rPr>
      </w:pPr>
    </w:p>
    <w:p>
      <w:pPr>
        <w:rPr>
          <w:bCs/>
          <w:szCs w:val="24"/>
        </w:rPr>
      </w:pPr>
      <w:r>
        <w:rPr>
          <w:b/>
          <w:bCs/>
          <w:szCs w:val="24"/>
        </w:rPr>
        <w:t>4.2.11</w:t>
      </w:r>
      <w:r>
        <w:rPr>
          <w:b/>
          <w:bCs/>
          <w:szCs w:val="24"/>
        </w:rPr>
        <w:tab/>
      </w:r>
      <w:r>
        <w:rPr>
          <w:rFonts w:hint="eastAsia"/>
          <w:bCs/>
          <w:szCs w:val="24"/>
        </w:rPr>
        <w:t>保留的老旧厂房在更新改造时宜采用改造可逆及最小干预的方案。</w:t>
      </w:r>
    </w:p>
    <w:p>
      <w:pPr>
        <w:rPr>
          <w:bCs/>
        </w:rPr>
      </w:pPr>
    </w:p>
    <w:bookmarkEnd w:id="73"/>
    <w:bookmarkEnd w:id="74"/>
    <w:p>
      <w:pPr>
        <w:pStyle w:val="2"/>
        <w:pageBreakBefore/>
        <w:spacing w:before="156" w:beforeLines="50" w:after="156" w:afterLines="50" w:line="360" w:lineRule="auto"/>
        <w:jc w:val="center"/>
        <w:rPr>
          <w:rFonts w:ascii="宋体" w:hAnsi="宋体"/>
          <w:sz w:val="32"/>
        </w:rPr>
      </w:pPr>
      <w:bookmarkStart w:id="91" w:name="_Toc149330722"/>
      <w:bookmarkStart w:id="92" w:name="_Toc149331210"/>
      <w:bookmarkStart w:id="93" w:name="_Toc149556987"/>
      <w:bookmarkStart w:id="94" w:name="_Toc149557046"/>
      <w:bookmarkStart w:id="95" w:name="_Toc149557694"/>
      <w:bookmarkStart w:id="96" w:name="_Toc150176299"/>
      <w:bookmarkStart w:id="97" w:name="_Toc150176853"/>
      <w:bookmarkStart w:id="98" w:name="_Toc150177019"/>
      <w:r>
        <w:rPr>
          <w:rFonts w:ascii="宋体" w:hAnsi="宋体"/>
          <w:sz w:val="32"/>
        </w:rPr>
        <w:t xml:space="preserve">5  </w:t>
      </w:r>
      <w:r>
        <w:rPr>
          <w:rFonts w:hint="eastAsia" w:ascii="宋体" w:hAnsi="宋体"/>
          <w:sz w:val="32"/>
        </w:rPr>
        <w:t>建筑设计</w:t>
      </w:r>
      <w:bookmarkEnd w:id="91"/>
      <w:bookmarkEnd w:id="92"/>
      <w:bookmarkEnd w:id="93"/>
      <w:bookmarkEnd w:id="94"/>
      <w:bookmarkEnd w:id="95"/>
      <w:bookmarkEnd w:id="96"/>
      <w:bookmarkEnd w:id="97"/>
      <w:bookmarkEnd w:id="98"/>
    </w:p>
    <w:p>
      <w:pPr>
        <w:pStyle w:val="3"/>
        <w:spacing w:after="156" w:afterLines="50" w:line="360" w:lineRule="auto"/>
        <w:rPr>
          <w:rFonts w:ascii="宋体" w:hAnsi="宋体"/>
          <w:b/>
          <w:sz w:val="28"/>
        </w:rPr>
      </w:pPr>
      <w:bookmarkStart w:id="99" w:name="_Toc149330723"/>
      <w:bookmarkStart w:id="100" w:name="_Toc149331211"/>
      <w:bookmarkStart w:id="101" w:name="_Toc149556988"/>
      <w:bookmarkStart w:id="102" w:name="_Toc149557047"/>
      <w:bookmarkStart w:id="103" w:name="_Toc149557695"/>
      <w:bookmarkStart w:id="104" w:name="_Toc150176300"/>
      <w:bookmarkStart w:id="105" w:name="_Toc150176854"/>
      <w:bookmarkStart w:id="106" w:name="_Toc150177020"/>
      <w:r>
        <w:rPr>
          <w:rFonts w:ascii="宋体" w:hAnsi="宋体"/>
          <w:b/>
          <w:sz w:val="28"/>
        </w:rPr>
        <w:t xml:space="preserve">5.1 </w:t>
      </w:r>
      <w:r>
        <w:rPr>
          <w:rFonts w:hint="eastAsia" w:ascii="宋体" w:hAnsi="宋体"/>
          <w:b/>
          <w:sz w:val="28"/>
        </w:rPr>
        <w:t>一般规定</w:t>
      </w:r>
      <w:bookmarkEnd w:id="99"/>
      <w:bookmarkEnd w:id="100"/>
      <w:bookmarkEnd w:id="101"/>
      <w:bookmarkEnd w:id="102"/>
      <w:bookmarkEnd w:id="103"/>
      <w:bookmarkEnd w:id="104"/>
      <w:bookmarkEnd w:id="105"/>
      <w:bookmarkEnd w:id="106"/>
      <w:r>
        <w:rPr>
          <w:rFonts w:ascii="宋体" w:hAnsi="宋体"/>
          <w:b/>
          <w:sz w:val="28"/>
        </w:rPr>
        <w:t xml:space="preserve"> </w:t>
      </w:r>
    </w:p>
    <w:p>
      <w:pPr>
        <w:snapToGrid w:val="0"/>
        <w:rPr>
          <w:rFonts w:ascii="宋体" w:hAnsi="宋体"/>
          <w:bCs/>
          <w:szCs w:val="24"/>
        </w:rPr>
      </w:pPr>
      <w:r>
        <w:rPr>
          <w:b/>
          <w:bCs/>
          <w:szCs w:val="24"/>
        </w:rPr>
        <w:t>5.1.1</w:t>
      </w:r>
      <w:r>
        <w:rPr>
          <w:bCs/>
          <w:szCs w:val="24"/>
        </w:rPr>
        <w:tab/>
      </w:r>
      <w:r>
        <w:rPr>
          <w:rFonts w:hint="eastAsia" w:ascii="宋体" w:hAnsi="宋体"/>
          <w:bCs/>
          <w:szCs w:val="24"/>
        </w:rPr>
        <w:t>老旧厂房更新改造应在落实分级保护的同时满足新的使用功能需求。</w:t>
      </w:r>
    </w:p>
    <w:p>
      <w:pPr>
        <w:rPr>
          <w:i/>
        </w:rPr>
      </w:pPr>
    </w:p>
    <w:p>
      <w:r>
        <w:rPr>
          <w:b/>
          <w:bCs/>
          <w:szCs w:val="24"/>
        </w:rPr>
        <w:t xml:space="preserve">5.1.2 </w:t>
      </w:r>
      <w:r>
        <w:rPr>
          <w:bCs/>
          <w:szCs w:val="24"/>
        </w:rPr>
        <w:tab/>
      </w:r>
      <w:r>
        <w:rPr>
          <w:rFonts w:hint="eastAsia"/>
        </w:rPr>
        <w:t>在经济合理、安全可靠的前提下宜有效利用厂房原有地下空间，新建地下空间不应破坏保留厂房的结构基础。</w:t>
      </w:r>
    </w:p>
    <w:p>
      <w:pPr>
        <w:rPr>
          <w:i/>
        </w:rPr>
      </w:pPr>
    </w:p>
    <w:p>
      <w:r>
        <w:rPr>
          <w:b/>
          <w:bCs/>
          <w:szCs w:val="24"/>
        </w:rPr>
        <w:t>5.1.3</w:t>
      </w:r>
      <w:r>
        <w:rPr>
          <w:bCs/>
          <w:szCs w:val="24"/>
        </w:rPr>
        <w:tab/>
      </w:r>
      <w:r>
        <w:rPr>
          <w:bCs/>
          <w:szCs w:val="24"/>
        </w:rPr>
        <w:t xml:space="preserve"> </w:t>
      </w:r>
      <w:r>
        <w:rPr>
          <w:rFonts w:hint="eastAsia"/>
        </w:rPr>
        <w:t>具有代表性的工艺流程及其对应的设备设施宜保留，并应考虑对工艺流程的展示。</w:t>
      </w:r>
    </w:p>
    <w:p>
      <w:pPr>
        <w:rPr>
          <w:i/>
        </w:rPr>
      </w:pPr>
    </w:p>
    <w:p>
      <w:pPr>
        <w:rPr>
          <w:bCs/>
          <w:szCs w:val="24"/>
        </w:rPr>
      </w:pPr>
      <w:r>
        <w:rPr>
          <w:b/>
          <w:bCs/>
          <w:szCs w:val="24"/>
        </w:rPr>
        <w:t xml:space="preserve">5.1.4 </w:t>
      </w:r>
      <w:r>
        <w:rPr>
          <w:bCs/>
          <w:szCs w:val="24"/>
        </w:rPr>
        <w:tab/>
      </w:r>
      <w:r>
        <w:rPr>
          <w:rFonts w:hint="eastAsia"/>
          <w:bCs/>
          <w:szCs w:val="24"/>
        </w:rPr>
        <w:t>老旧厂房更新改造应增加无障碍设施，工业遗产类老旧厂房无法加设无障碍设施的，</w:t>
      </w:r>
      <w:r>
        <w:rPr>
          <w:rFonts w:hint="eastAsia"/>
        </w:rPr>
        <w:t>经评估论证后方可实施。</w:t>
      </w:r>
      <w:r>
        <w:rPr>
          <w:rFonts w:hint="eastAsia"/>
          <w:bCs/>
          <w:szCs w:val="24"/>
        </w:rPr>
        <w:t>对公众开放的公共建筑宜采取措施实现全龄友好。</w:t>
      </w:r>
    </w:p>
    <w:p>
      <w:pPr>
        <w:rPr>
          <w:i/>
        </w:rPr>
      </w:pPr>
    </w:p>
    <w:p>
      <w:pPr>
        <w:rPr>
          <w:bCs/>
          <w:szCs w:val="24"/>
        </w:rPr>
      </w:pPr>
      <w:r>
        <w:rPr>
          <w:b/>
          <w:bCs/>
          <w:szCs w:val="24"/>
        </w:rPr>
        <w:t>5.1.5</w:t>
      </w:r>
      <w:r>
        <w:rPr>
          <w:bCs/>
          <w:szCs w:val="24"/>
        </w:rPr>
        <w:tab/>
      </w:r>
      <w:r>
        <w:rPr>
          <w:rFonts w:hint="eastAsia"/>
          <w:bCs/>
          <w:szCs w:val="24"/>
        </w:rPr>
        <w:t>老旧厂房应对保留的建筑构件制定保温、防水、隔声等关键性能的加强措施。</w:t>
      </w:r>
    </w:p>
    <w:p>
      <w:pPr>
        <w:rPr>
          <w:b/>
          <w:i/>
        </w:rPr>
      </w:pPr>
    </w:p>
    <w:p>
      <w:pPr>
        <w:rPr>
          <w:bCs/>
          <w:szCs w:val="24"/>
        </w:rPr>
      </w:pPr>
      <w:r>
        <w:rPr>
          <w:b/>
          <w:bCs/>
          <w:szCs w:val="24"/>
        </w:rPr>
        <w:t>5.1.6</w:t>
      </w:r>
      <w:r>
        <w:rPr>
          <w:bCs/>
          <w:szCs w:val="24"/>
        </w:rPr>
        <w:tab/>
      </w:r>
      <w:r>
        <w:rPr>
          <w:rFonts w:hint="eastAsia"/>
          <w:bCs/>
          <w:szCs w:val="24"/>
        </w:rPr>
        <w:t>老旧厂房更新改造应进行建筑的节能设计。</w:t>
      </w:r>
    </w:p>
    <w:p>
      <w:pPr>
        <w:rPr>
          <w:bCs/>
          <w:szCs w:val="24"/>
        </w:rPr>
      </w:pPr>
    </w:p>
    <w:p>
      <w:pPr>
        <w:pStyle w:val="3"/>
        <w:spacing w:after="156" w:afterLines="50" w:line="360" w:lineRule="auto"/>
        <w:rPr>
          <w:rFonts w:ascii="宋体" w:hAnsi="宋体"/>
          <w:b/>
          <w:sz w:val="28"/>
        </w:rPr>
      </w:pPr>
      <w:bookmarkStart w:id="107" w:name="_Toc149330724"/>
      <w:bookmarkStart w:id="108" w:name="_Toc149331212"/>
      <w:bookmarkStart w:id="109" w:name="_Toc149556989"/>
      <w:bookmarkStart w:id="110" w:name="_Toc149557048"/>
      <w:bookmarkStart w:id="111" w:name="_Toc149557696"/>
      <w:bookmarkStart w:id="112" w:name="_Toc150176301"/>
      <w:bookmarkStart w:id="113" w:name="_Toc150176855"/>
      <w:bookmarkStart w:id="114" w:name="_Toc150177021"/>
      <w:r>
        <w:rPr>
          <w:rFonts w:ascii="宋体" w:hAnsi="宋体"/>
          <w:b/>
          <w:sz w:val="28"/>
        </w:rPr>
        <w:t xml:space="preserve">5.2 </w:t>
      </w:r>
      <w:r>
        <w:rPr>
          <w:rFonts w:hint="eastAsia" w:ascii="宋体" w:hAnsi="宋体"/>
          <w:b/>
          <w:sz w:val="28"/>
        </w:rPr>
        <w:t>规模及指标</w:t>
      </w:r>
      <w:bookmarkEnd w:id="107"/>
      <w:bookmarkEnd w:id="108"/>
      <w:bookmarkEnd w:id="109"/>
      <w:bookmarkEnd w:id="110"/>
      <w:bookmarkEnd w:id="111"/>
      <w:bookmarkEnd w:id="112"/>
      <w:bookmarkEnd w:id="113"/>
      <w:bookmarkEnd w:id="114"/>
    </w:p>
    <w:p>
      <w:pPr>
        <w:rPr>
          <w:szCs w:val="24"/>
        </w:rPr>
      </w:pPr>
      <w:r>
        <w:rPr>
          <w:b/>
          <w:szCs w:val="24"/>
        </w:rPr>
        <w:t xml:space="preserve">5.2.1 </w:t>
      </w:r>
      <w:r>
        <w:rPr>
          <w:szCs w:val="24"/>
        </w:rPr>
        <w:tab/>
      </w:r>
      <w:r>
        <w:rPr>
          <w:szCs w:val="24"/>
        </w:rPr>
        <w:t xml:space="preserve"> </w:t>
      </w:r>
      <w:r>
        <w:rPr>
          <w:rFonts w:hint="eastAsia"/>
          <w:szCs w:val="24"/>
        </w:rPr>
        <w:t>老旧厂房更新改造应依据批准功能，按照现行地方标准《</w:t>
      </w:r>
      <w:r>
        <w:rPr>
          <w:rFonts w:hint="eastAsia"/>
        </w:rPr>
        <w:t>公共建筑机动车停车配建指标</w:t>
      </w:r>
      <w:r>
        <w:rPr>
          <w:rFonts w:hint="eastAsia"/>
          <w:szCs w:val="24"/>
        </w:rPr>
        <w:t>》</w:t>
      </w:r>
      <w:r>
        <w:rPr>
          <w:szCs w:val="24"/>
        </w:rPr>
        <w:t>DB11/T 1813</w:t>
      </w:r>
      <w:r>
        <w:rPr>
          <w:rFonts w:hint="eastAsia"/>
          <w:szCs w:val="24"/>
        </w:rPr>
        <w:t>配置停车设施。因保留建筑限制无法满足停车配建指标的，</w:t>
      </w:r>
      <w:r>
        <w:rPr>
          <w:rFonts w:hint="eastAsia"/>
        </w:rPr>
        <w:t>可按照区域统筹核算</w:t>
      </w:r>
      <w:r>
        <w:rPr>
          <w:rFonts w:hint="eastAsia"/>
          <w:szCs w:val="24"/>
        </w:rPr>
        <w:t>或通过交通承载力评估提出项目折减系数。</w:t>
      </w:r>
    </w:p>
    <w:p>
      <w:pPr>
        <w:rPr>
          <w:szCs w:val="24"/>
        </w:rPr>
      </w:pPr>
    </w:p>
    <w:p>
      <w:pPr>
        <w:rPr>
          <w:szCs w:val="24"/>
        </w:rPr>
      </w:pPr>
      <w:r>
        <w:rPr>
          <w:b/>
          <w:bCs/>
        </w:rPr>
        <w:t>5.2.2</w:t>
      </w:r>
      <w:r>
        <w:rPr>
          <w:b/>
          <w:bCs/>
          <w:szCs w:val="24"/>
        </w:rPr>
        <w:t xml:space="preserve"> </w:t>
      </w:r>
      <w:r>
        <w:rPr>
          <w:bCs/>
          <w:szCs w:val="24"/>
        </w:rPr>
        <w:tab/>
      </w:r>
      <w:r>
        <w:rPr>
          <w:bCs/>
          <w:szCs w:val="24"/>
        </w:rPr>
        <w:t xml:space="preserve"> </w:t>
      </w:r>
      <w:r>
        <w:rPr>
          <w:rFonts w:hint="eastAsia"/>
          <w:szCs w:val="24"/>
        </w:rPr>
        <w:t>老旧厂房更新改造的海绵城市建设标准应符合现行地方标准《海绵城市建设设计标准》D</w:t>
      </w:r>
      <w:r>
        <w:rPr>
          <w:szCs w:val="24"/>
        </w:rPr>
        <w:t>B11/T 1743</w:t>
      </w:r>
      <w:r>
        <w:rPr>
          <w:rFonts w:hint="eastAsia"/>
          <w:szCs w:val="24"/>
        </w:rPr>
        <w:t>的规定。</w:t>
      </w:r>
      <w:r>
        <w:rPr>
          <w:rFonts w:hint="eastAsia"/>
        </w:rPr>
        <w:t>工业遗产类老旧厂房及具有较高价值的老旧厂房限于自身因素不能满足现行标准时</w:t>
      </w:r>
      <w:r>
        <w:rPr>
          <w:rFonts w:hint="eastAsia"/>
          <w:szCs w:val="24"/>
        </w:rPr>
        <w:t>，可采取优化径流系数或区域统筹的技术方案。</w:t>
      </w:r>
    </w:p>
    <w:p/>
    <w:p>
      <w:r>
        <w:rPr>
          <w:b/>
          <w:bCs/>
        </w:rPr>
        <w:t>5.2.3</w:t>
      </w:r>
      <w:r>
        <w:rPr>
          <w:bCs/>
        </w:rPr>
        <w:tab/>
      </w:r>
      <w:r>
        <w:rPr>
          <w:rFonts w:hint="eastAsia"/>
        </w:rPr>
        <w:t>涉及保留老旧厂房原有建筑的地块，</w:t>
      </w:r>
      <w:r>
        <w:t>在保障公共安全的前提下，</w:t>
      </w:r>
      <w:r>
        <w:rPr>
          <w:rFonts w:hint="eastAsia"/>
        </w:rPr>
        <w:t>绿地率计算可采用如下原则：</w:t>
      </w:r>
    </w:p>
    <w:p>
      <w:pPr>
        <w:pStyle w:val="62"/>
        <w:numPr>
          <w:ilvl w:val="0"/>
          <w:numId w:val="6"/>
        </w:numPr>
        <w:spacing w:line="360" w:lineRule="auto"/>
        <w:ind w:left="840" w:firstLineChars="0"/>
        <w:rPr>
          <w:rFonts w:ascii="宋体" w:hAnsi="宋体" w:eastAsia="宋体"/>
          <w:sz w:val="24"/>
          <w:szCs w:val="24"/>
        </w:rPr>
      </w:pPr>
      <w:r>
        <w:rPr>
          <w:rFonts w:hint="eastAsia" w:ascii="宋体" w:hAnsi="宋体" w:eastAsia="宋体"/>
          <w:sz w:val="24"/>
          <w:szCs w:val="24"/>
        </w:rPr>
        <w:t>保留老旧厂房后，确实无法满足绿地率规定指标的，改造后绿地率不应低于现状；</w:t>
      </w:r>
    </w:p>
    <w:p>
      <w:pPr>
        <w:pStyle w:val="62"/>
        <w:numPr>
          <w:ilvl w:val="0"/>
          <w:numId w:val="6"/>
        </w:numPr>
        <w:spacing w:line="360" w:lineRule="auto"/>
        <w:ind w:left="840" w:firstLineChars="0"/>
        <w:rPr>
          <w:rFonts w:ascii="宋体" w:hAnsi="宋体" w:eastAsia="宋体"/>
          <w:sz w:val="24"/>
          <w:szCs w:val="24"/>
        </w:rPr>
      </w:pPr>
      <w:r>
        <w:rPr>
          <w:rFonts w:hint="eastAsia" w:ascii="宋体" w:hAnsi="宋体" w:eastAsia="宋体"/>
          <w:sz w:val="24"/>
          <w:szCs w:val="24"/>
        </w:rPr>
        <w:t>净空距离地面</w:t>
      </w:r>
      <w:r>
        <w:rPr>
          <w:rFonts w:ascii="宋体" w:hAnsi="宋体" w:eastAsia="宋体"/>
          <w:sz w:val="24"/>
          <w:szCs w:val="24"/>
        </w:rPr>
        <w:t>3</w:t>
      </w:r>
      <w:r>
        <w:rPr>
          <w:rFonts w:hint="eastAsia" w:ascii="宋体" w:hAnsi="宋体" w:eastAsia="宋体"/>
          <w:sz w:val="24"/>
          <w:szCs w:val="24"/>
        </w:rPr>
        <w:t>m以上的景观栈道、传送带等构筑物下的绿地空间，可按比例折算计入绿地面积；</w:t>
      </w:r>
    </w:p>
    <w:p>
      <w:pPr>
        <w:pStyle w:val="62"/>
        <w:numPr>
          <w:ilvl w:val="0"/>
          <w:numId w:val="6"/>
        </w:numPr>
        <w:spacing w:line="360" w:lineRule="auto"/>
        <w:ind w:left="840" w:firstLineChars="0"/>
        <w:rPr>
          <w:rFonts w:ascii="宋体" w:hAnsi="宋体" w:eastAsia="宋体"/>
          <w:sz w:val="24"/>
          <w:szCs w:val="24"/>
        </w:rPr>
      </w:pPr>
      <w:r>
        <w:rPr>
          <w:rFonts w:hint="eastAsia" w:ascii="宋体" w:hAnsi="宋体" w:eastAsia="宋体"/>
          <w:sz w:val="24"/>
          <w:szCs w:val="24"/>
        </w:rPr>
        <w:t>老旧厂房更新改造项目绿地率可在项目实施范围内区域统筹。</w:t>
      </w:r>
    </w:p>
    <w:p>
      <w:pPr>
        <w:tabs>
          <w:tab w:val="left" w:pos="567"/>
        </w:tabs>
        <w:rPr>
          <w:bCs/>
        </w:rPr>
      </w:pPr>
    </w:p>
    <w:p>
      <w:pPr>
        <w:rPr>
          <w:bCs/>
          <w:szCs w:val="24"/>
        </w:rPr>
      </w:pPr>
      <w:r>
        <w:rPr>
          <w:b/>
          <w:bCs/>
        </w:rPr>
        <w:t>5.2.4</w:t>
      </w:r>
      <w:r>
        <w:rPr>
          <w:bCs/>
        </w:rPr>
        <w:tab/>
      </w:r>
      <w:r>
        <w:rPr>
          <w:rFonts w:hint="eastAsia"/>
          <w:bCs/>
        </w:rPr>
        <w:t>当</w:t>
      </w:r>
      <w:r>
        <w:rPr>
          <w:rFonts w:hint="eastAsia"/>
        </w:rPr>
        <w:t>老旧厂房更新改造</w:t>
      </w:r>
      <w:r>
        <w:rPr>
          <w:rFonts w:hint="eastAsia"/>
          <w:bCs/>
          <w:szCs w:val="24"/>
        </w:rPr>
        <w:t>为满足安全、环保、无障碍标准等要求</w:t>
      </w:r>
      <w:r>
        <w:rPr>
          <w:rFonts w:hint="eastAsia"/>
        </w:rPr>
        <w:t>，必须在</w:t>
      </w:r>
      <w:r>
        <w:rPr>
          <w:rFonts w:hint="eastAsia"/>
          <w:bCs/>
          <w:szCs w:val="24"/>
        </w:rPr>
        <w:t>保留老旧厂房中增设的、附属于建筑外侧的楼梯、风道、无障碍设施、电梯、外墙外保温、消防水箱间等附属设施和室外开敞性公共空间，</w:t>
      </w:r>
      <w:r>
        <w:rPr>
          <w:rFonts w:hint="eastAsia"/>
        </w:rPr>
        <w:t>可在指标表中明确列出建筑面积，不计入容积率指标</w:t>
      </w:r>
      <w:r>
        <w:rPr>
          <w:rFonts w:hint="eastAsia"/>
          <w:bCs/>
          <w:szCs w:val="24"/>
        </w:rPr>
        <w:t>。</w:t>
      </w:r>
    </w:p>
    <w:p>
      <w:pPr>
        <w:pStyle w:val="40"/>
        <w:ind w:firstLine="0" w:firstLineChars="0"/>
        <w:rPr>
          <w:bCs/>
          <w:i/>
          <w:szCs w:val="24"/>
        </w:rPr>
      </w:pPr>
    </w:p>
    <w:p>
      <w:r>
        <w:rPr>
          <w:b/>
          <w:bCs/>
        </w:rPr>
        <w:t>5.2.5</w:t>
      </w:r>
      <w:r>
        <w:rPr>
          <w:rFonts w:hint="eastAsia"/>
        </w:rPr>
        <w:t xml:space="preserve"> </w:t>
      </w:r>
      <w:r>
        <w:tab/>
      </w:r>
      <w:r>
        <w:rPr>
          <w:rFonts w:hint="eastAsia"/>
          <w:bCs/>
          <w:szCs w:val="24"/>
        </w:rPr>
        <w:t>保留的室外管道、廊架、传送带、转运站等确无实际功能的构筑物，仅作为室外景观构筑物使用的</w:t>
      </w:r>
      <w:r>
        <w:rPr>
          <w:rFonts w:hint="eastAsia"/>
        </w:rPr>
        <w:t>，可不计建筑面积。</w:t>
      </w:r>
    </w:p>
    <w:p>
      <w:pPr>
        <w:rPr>
          <w:i/>
        </w:rPr>
      </w:pPr>
    </w:p>
    <w:p>
      <w:pPr>
        <w:pStyle w:val="40"/>
        <w:ind w:firstLine="0" w:firstLineChars="0"/>
        <w:rPr>
          <w:bCs/>
          <w:szCs w:val="24"/>
        </w:rPr>
      </w:pPr>
      <w:r>
        <w:rPr>
          <w:b/>
          <w:bCs/>
        </w:rPr>
        <w:t>5.2.6</w:t>
      </w:r>
      <w:r>
        <w:rPr>
          <w:bCs/>
        </w:rPr>
        <w:tab/>
      </w:r>
      <w:r>
        <w:rPr>
          <w:rFonts w:hint="eastAsia"/>
          <w:bCs/>
          <w:szCs w:val="24"/>
        </w:rPr>
        <w:t>因保留原有厂房形态、原有设备设施而形成的高大空间，可按照实际外围护结构围合的自然层计算建筑面积。</w:t>
      </w:r>
    </w:p>
    <w:p>
      <w:pPr>
        <w:pStyle w:val="40"/>
        <w:ind w:firstLine="0" w:firstLineChars="0"/>
      </w:pPr>
    </w:p>
    <w:p>
      <w:r>
        <w:rPr>
          <w:b/>
          <w:bCs/>
        </w:rPr>
        <w:t>5.2.7</w:t>
      </w:r>
      <w:r>
        <w:rPr>
          <w:bCs/>
        </w:rPr>
        <w:tab/>
      </w:r>
      <w:r>
        <w:rPr>
          <w:rFonts w:hint="eastAsia"/>
        </w:rPr>
        <w:t>老旧厂房的更新改造经批准可合理利用厂房内部空间进行加层改造。</w:t>
      </w:r>
    </w:p>
    <w:p>
      <w:pPr>
        <w:rPr>
          <w:rFonts w:eastAsia="楷体_GB2312"/>
        </w:rPr>
      </w:pPr>
    </w:p>
    <w:p>
      <w:pPr>
        <w:pStyle w:val="3"/>
        <w:spacing w:after="156" w:afterLines="50" w:line="360" w:lineRule="auto"/>
        <w:rPr>
          <w:rFonts w:ascii="宋体" w:hAnsi="宋体"/>
          <w:b/>
          <w:sz w:val="28"/>
        </w:rPr>
      </w:pPr>
      <w:bookmarkStart w:id="115" w:name="_Toc149330725"/>
      <w:bookmarkStart w:id="116" w:name="_Toc149331213"/>
      <w:bookmarkStart w:id="117" w:name="_Toc149556990"/>
      <w:bookmarkStart w:id="118" w:name="_Toc149557049"/>
      <w:bookmarkStart w:id="119" w:name="_Toc149557697"/>
      <w:bookmarkStart w:id="120" w:name="_Toc150176302"/>
      <w:bookmarkStart w:id="121" w:name="_Toc150176856"/>
      <w:bookmarkStart w:id="122" w:name="_Toc150177022"/>
      <w:r>
        <w:rPr>
          <w:rFonts w:ascii="宋体" w:hAnsi="宋体"/>
          <w:b/>
          <w:sz w:val="28"/>
        </w:rPr>
        <w:t xml:space="preserve">5.3 </w:t>
      </w:r>
      <w:r>
        <w:rPr>
          <w:rFonts w:hint="eastAsia" w:ascii="宋体" w:hAnsi="宋体"/>
          <w:b/>
          <w:sz w:val="28"/>
        </w:rPr>
        <w:t>场地与总平面</w:t>
      </w:r>
      <w:bookmarkEnd w:id="115"/>
      <w:bookmarkEnd w:id="116"/>
      <w:bookmarkEnd w:id="117"/>
      <w:bookmarkEnd w:id="118"/>
      <w:bookmarkEnd w:id="119"/>
      <w:bookmarkEnd w:id="120"/>
      <w:bookmarkEnd w:id="121"/>
      <w:bookmarkEnd w:id="122"/>
    </w:p>
    <w:p>
      <w:r>
        <w:rPr>
          <w:b/>
          <w:szCs w:val="24"/>
        </w:rPr>
        <w:t xml:space="preserve">5.3.1 </w:t>
      </w:r>
      <w:r>
        <w:rPr>
          <w:szCs w:val="24"/>
        </w:rPr>
        <w:tab/>
      </w:r>
      <w:r>
        <w:rPr>
          <w:szCs w:val="24"/>
        </w:rPr>
        <w:t xml:space="preserve"> </w:t>
      </w:r>
      <w:r>
        <w:rPr>
          <w:rFonts w:hint="eastAsia"/>
          <w:szCs w:val="24"/>
        </w:rPr>
        <w:t>老旧厂房更新改造应根据更新改造实际功能需求，合理设计人流、车流；宜结合人行流线设置适宜的室外空间</w:t>
      </w:r>
      <w:r>
        <w:rPr>
          <w:rFonts w:hint="eastAsia"/>
        </w:rPr>
        <w:t>。</w:t>
      </w:r>
    </w:p>
    <w:p>
      <w:pPr>
        <w:rPr>
          <w:i/>
          <w:sz w:val="30"/>
          <w:szCs w:val="20"/>
        </w:rPr>
      </w:pPr>
    </w:p>
    <w:p>
      <w:r>
        <w:rPr>
          <w:b/>
          <w:szCs w:val="24"/>
        </w:rPr>
        <w:t xml:space="preserve">5.3.2 </w:t>
      </w:r>
      <w:r>
        <w:rPr>
          <w:szCs w:val="24"/>
        </w:rPr>
        <w:t xml:space="preserve"> </w:t>
      </w:r>
      <w:r>
        <w:rPr>
          <w:szCs w:val="24"/>
        </w:rPr>
        <w:tab/>
      </w:r>
      <w:r>
        <w:rPr>
          <w:szCs w:val="24"/>
        </w:rPr>
        <w:t xml:space="preserve">    </w:t>
      </w:r>
      <w:r>
        <w:rPr>
          <w:rFonts w:hint="eastAsia"/>
        </w:rPr>
        <w:t>场地竖向应结合周边用地、市政道路等统一规划设计，避免场地积水，做好防洪排涝措施。</w:t>
      </w:r>
    </w:p>
    <w:p>
      <w:pPr>
        <w:rPr>
          <w:i/>
        </w:rPr>
      </w:pPr>
    </w:p>
    <w:p>
      <w:r>
        <w:rPr>
          <w:b/>
          <w:szCs w:val="24"/>
        </w:rPr>
        <w:t>5.</w:t>
      </w:r>
      <w:r>
        <w:rPr>
          <w:b/>
          <w:bCs/>
          <w:szCs w:val="24"/>
        </w:rPr>
        <w:t>3</w:t>
      </w:r>
      <w:r>
        <w:rPr>
          <w:b/>
          <w:szCs w:val="24"/>
        </w:rPr>
        <w:t>.</w:t>
      </w:r>
      <w:r>
        <w:rPr>
          <w:b/>
          <w:bCs/>
          <w:szCs w:val="24"/>
        </w:rPr>
        <w:t>3</w:t>
      </w:r>
      <w:r>
        <w:rPr>
          <w:bCs/>
          <w:szCs w:val="24"/>
        </w:rPr>
        <w:tab/>
      </w:r>
      <w:r>
        <w:rPr>
          <w:rFonts w:hint="eastAsia"/>
        </w:rPr>
        <w:t>拱形屋顶或坡屋顶应标注檐口、拱顶及坡顶高度；除文物保护单位周围建设控制地带、世界遗产保护范围、机场控制区以外的老旧厂房屋顶天窗，可不计入建筑高度。</w:t>
      </w:r>
    </w:p>
    <w:p>
      <w:pPr>
        <w:rPr>
          <w:szCs w:val="24"/>
        </w:rPr>
      </w:pPr>
    </w:p>
    <w:p>
      <w:r>
        <w:rPr>
          <w:b/>
          <w:szCs w:val="24"/>
        </w:rPr>
        <w:t>5.</w:t>
      </w:r>
      <w:r>
        <w:rPr>
          <w:b/>
          <w:bCs/>
          <w:szCs w:val="24"/>
        </w:rPr>
        <w:t>3</w:t>
      </w:r>
      <w:r>
        <w:rPr>
          <w:b/>
          <w:szCs w:val="24"/>
        </w:rPr>
        <w:t>.</w:t>
      </w:r>
      <w:r>
        <w:rPr>
          <w:b/>
          <w:bCs/>
          <w:szCs w:val="24"/>
        </w:rPr>
        <w:t xml:space="preserve">4 </w:t>
      </w:r>
      <w:r>
        <w:rPr>
          <w:bCs/>
          <w:szCs w:val="24"/>
        </w:rPr>
        <w:tab/>
      </w:r>
      <w:r>
        <w:rPr>
          <w:bCs/>
          <w:szCs w:val="24"/>
        </w:rPr>
        <w:t xml:space="preserve"> </w:t>
      </w:r>
      <w:r>
        <w:rPr>
          <w:rFonts w:hint="eastAsia"/>
        </w:rPr>
        <w:t>室外保留的管道、廊架、传送带、转运站等设施或构筑物宜在保障安全的前提下保留，并应在总平面图中表达。</w:t>
      </w:r>
    </w:p>
    <w:p/>
    <w:p>
      <w:r>
        <w:rPr>
          <w:b/>
          <w:szCs w:val="24"/>
        </w:rPr>
        <w:t>5.3.5</w:t>
      </w:r>
      <w:r>
        <w:rPr>
          <w:szCs w:val="24"/>
        </w:rPr>
        <w:tab/>
      </w:r>
      <w:r>
        <w:rPr>
          <w:szCs w:val="24"/>
        </w:rPr>
        <w:t xml:space="preserve"> </w:t>
      </w:r>
      <w:r>
        <w:rPr>
          <w:rFonts w:hint="eastAsia"/>
        </w:rPr>
        <w:t>室外人防出入口、车道出入口等宜与建筑一体化设计。</w:t>
      </w:r>
    </w:p>
    <w:p/>
    <w:p>
      <w:r>
        <w:rPr>
          <w:b/>
          <w:szCs w:val="24"/>
        </w:rPr>
        <w:t>5.3.6</w:t>
      </w:r>
      <w:r>
        <w:rPr>
          <w:szCs w:val="24"/>
        </w:rPr>
        <w:tab/>
      </w:r>
      <w:r>
        <w:rPr>
          <w:rFonts w:hint="eastAsia"/>
          <w:szCs w:val="24"/>
        </w:rPr>
        <w:t>老旧厂房更新改造应做现状分析，在</w:t>
      </w:r>
      <w:r>
        <w:rPr>
          <w:rFonts w:hint="eastAsia"/>
        </w:rPr>
        <w:t>现状图中应明确厂房位置、分类、分级、层数、高度、面积、建造年代、结构形式、重要地下设施等主要指标。</w:t>
      </w:r>
    </w:p>
    <w:p>
      <w:pPr>
        <w:rPr>
          <w:i/>
        </w:rPr>
      </w:pPr>
    </w:p>
    <w:p>
      <w:pPr>
        <w:pStyle w:val="3"/>
        <w:spacing w:after="156" w:afterLines="50" w:line="360" w:lineRule="auto"/>
        <w:rPr>
          <w:rFonts w:ascii="宋体" w:hAnsi="宋体"/>
          <w:b/>
          <w:sz w:val="28"/>
        </w:rPr>
      </w:pPr>
      <w:bookmarkStart w:id="123" w:name="_Toc149330726"/>
      <w:bookmarkStart w:id="124" w:name="_Toc149331214"/>
      <w:bookmarkStart w:id="125" w:name="_Toc149556991"/>
      <w:bookmarkStart w:id="126" w:name="_Toc149557050"/>
      <w:bookmarkStart w:id="127" w:name="_Toc149557698"/>
      <w:bookmarkStart w:id="128" w:name="_Toc150176303"/>
      <w:bookmarkStart w:id="129" w:name="_Toc150176857"/>
      <w:bookmarkStart w:id="130" w:name="_Toc150177023"/>
      <w:r>
        <w:rPr>
          <w:rFonts w:ascii="宋体" w:hAnsi="宋体"/>
          <w:b/>
          <w:sz w:val="28"/>
        </w:rPr>
        <w:t xml:space="preserve">5.4 </w:t>
      </w:r>
      <w:r>
        <w:rPr>
          <w:rFonts w:hint="eastAsia" w:ascii="宋体" w:hAnsi="宋体"/>
          <w:b/>
          <w:sz w:val="28"/>
        </w:rPr>
        <w:t>建筑风貌</w:t>
      </w:r>
      <w:bookmarkEnd w:id="123"/>
      <w:bookmarkEnd w:id="124"/>
      <w:bookmarkEnd w:id="125"/>
      <w:bookmarkEnd w:id="126"/>
      <w:bookmarkEnd w:id="127"/>
      <w:bookmarkEnd w:id="128"/>
      <w:bookmarkEnd w:id="129"/>
      <w:bookmarkEnd w:id="130"/>
    </w:p>
    <w:p>
      <w:pPr>
        <w:rPr>
          <w:bCs/>
        </w:rPr>
      </w:pPr>
      <w:r>
        <w:rPr>
          <w:b/>
          <w:bCs/>
        </w:rPr>
        <w:t>5.4.1</w:t>
      </w:r>
      <w:r>
        <w:rPr>
          <w:bCs/>
        </w:rPr>
        <w:tab/>
      </w:r>
      <w:r>
        <w:rPr>
          <w:rFonts w:hint="eastAsia"/>
        </w:rPr>
        <w:t>老旧厂房更新改造</w:t>
      </w:r>
      <w:r>
        <w:rPr>
          <w:rFonts w:hint="eastAsia"/>
          <w:bCs/>
        </w:rPr>
        <w:t>应统筹考虑周边区域环境，综合设计绿色空间、滨水空间、慢行系统等，对</w:t>
      </w:r>
      <w:r>
        <w:rPr>
          <w:rFonts w:hint="eastAsia"/>
          <w:szCs w:val="24"/>
        </w:rPr>
        <w:t>建筑风貌与城市景观开展一体化设计</w:t>
      </w:r>
      <w:r>
        <w:rPr>
          <w:rFonts w:hint="eastAsia"/>
          <w:bCs/>
        </w:rPr>
        <w:t>。</w:t>
      </w:r>
    </w:p>
    <w:p>
      <w:pPr>
        <w:rPr>
          <w:bCs/>
          <w:szCs w:val="24"/>
        </w:rPr>
      </w:pPr>
    </w:p>
    <w:p>
      <w:r>
        <w:rPr>
          <w:b/>
          <w:bCs/>
          <w:szCs w:val="24"/>
        </w:rPr>
        <w:t>5.4.2</w:t>
      </w:r>
      <w:r>
        <w:rPr>
          <w:b/>
        </w:rPr>
        <w:t xml:space="preserve"> </w:t>
      </w:r>
      <w:r>
        <w:t xml:space="preserve"> </w:t>
      </w:r>
      <w:r>
        <w:tab/>
      </w:r>
      <w:r>
        <w:rPr>
          <w:rFonts w:hint="eastAsia"/>
        </w:rPr>
        <w:t>老旧厂房更新改造应展现其原有工业建筑风貌。</w:t>
      </w:r>
    </w:p>
    <w:p>
      <w:pPr>
        <w:rPr>
          <w:i/>
        </w:rPr>
      </w:pPr>
    </w:p>
    <w:p>
      <w:pPr>
        <w:rPr>
          <w:bCs/>
          <w:szCs w:val="24"/>
        </w:rPr>
      </w:pPr>
      <w:r>
        <w:rPr>
          <w:b/>
        </w:rPr>
        <w:t xml:space="preserve">5.4.3 </w:t>
      </w:r>
      <w:r>
        <w:tab/>
      </w:r>
      <w:r>
        <w:rPr>
          <w:rFonts w:hint="eastAsia"/>
        </w:rPr>
        <w:t>根据功能定位，具备开放条件的老旧厂房，在更新改造中</w:t>
      </w:r>
      <w:r>
        <w:rPr>
          <w:rFonts w:hint="eastAsia"/>
          <w:bCs/>
          <w:szCs w:val="24"/>
        </w:rPr>
        <w:t>应考虑老旧厂房的对外展示功能，并与展示流线结合。</w:t>
      </w:r>
    </w:p>
    <w:p>
      <w:pPr>
        <w:rPr>
          <w:i/>
        </w:rPr>
      </w:pPr>
    </w:p>
    <w:p>
      <w:r>
        <w:rPr>
          <w:b/>
          <w:bCs/>
          <w:szCs w:val="24"/>
        </w:rPr>
        <w:t>5.4.4</w:t>
      </w:r>
      <w:r>
        <w:rPr>
          <w:bCs/>
          <w:szCs w:val="24"/>
        </w:rPr>
        <w:tab/>
      </w:r>
      <w:r>
        <w:rPr>
          <w:rFonts w:hint="eastAsia"/>
        </w:rPr>
        <w:t>应针对老旧厂房建筑风貌进行特征分析，结合老旧厂房分级进行科学合理设计。</w:t>
      </w:r>
    </w:p>
    <w:p/>
    <w:p>
      <w:r>
        <w:rPr>
          <w:b/>
          <w:bCs/>
          <w:szCs w:val="24"/>
        </w:rPr>
        <w:t>5.4.5</w:t>
      </w:r>
      <w:r>
        <w:t xml:space="preserve">  </w:t>
      </w:r>
      <w:r>
        <w:tab/>
      </w:r>
      <w:r>
        <w:rPr>
          <w:rFonts w:hint="eastAsia"/>
        </w:rPr>
        <w:t>除重建外，老旧厂房的新建部分可采用新材料，同时兼顾老旧厂房的整体建筑风貌。</w:t>
      </w:r>
    </w:p>
    <w:p/>
    <w:p>
      <w:r>
        <w:rPr>
          <w:b/>
          <w:bCs/>
          <w:szCs w:val="24"/>
        </w:rPr>
        <w:t>5.4.6</w:t>
      </w:r>
      <w:r>
        <w:rPr>
          <w:b/>
        </w:rPr>
        <w:t xml:space="preserve">  </w:t>
      </w:r>
      <w:r>
        <w:tab/>
      </w:r>
      <w:r>
        <w:rPr>
          <w:rFonts w:hint="eastAsia"/>
        </w:rPr>
        <w:t>室内有保留价值的大型设备与新功能冲突时，可在室外景观留存。</w:t>
      </w:r>
    </w:p>
    <w:p>
      <w:pPr>
        <w:pStyle w:val="40"/>
        <w:ind w:firstLine="0" w:firstLineChars="0"/>
      </w:pPr>
    </w:p>
    <w:p>
      <w:r>
        <w:rPr>
          <w:b/>
          <w:bCs/>
          <w:szCs w:val="24"/>
        </w:rPr>
        <w:t>5.4.7</w:t>
      </w:r>
      <w:r>
        <w:rPr>
          <w:bCs/>
          <w:szCs w:val="24"/>
        </w:rPr>
        <w:tab/>
      </w:r>
      <w:r>
        <w:rPr>
          <w:bCs/>
          <w:szCs w:val="24"/>
        </w:rPr>
        <w:t xml:space="preserve"> </w:t>
      </w:r>
      <w:r>
        <w:rPr>
          <w:rFonts w:hint="eastAsia"/>
          <w:bCs/>
          <w:szCs w:val="24"/>
        </w:rPr>
        <w:t>保留的外围护结构需要加固或提高保温性能时，可在建筑内部采取加固、保温措施</w:t>
      </w:r>
      <w:r>
        <w:rPr>
          <w:rFonts w:hint="eastAsia"/>
        </w:rPr>
        <w:t>。内保温应注重节点设计，避免冷桥。</w:t>
      </w:r>
    </w:p>
    <w:p>
      <w:pPr>
        <w:rPr>
          <w:i/>
        </w:rPr>
      </w:pPr>
    </w:p>
    <w:p>
      <w:r>
        <w:rPr>
          <w:b/>
          <w:bCs/>
          <w:szCs w:val="24"/>
        </w:rPr>
        <w:t>5.4.8</w:t>
      </w:r>
      <w:r>
        <w:rPr>
          <w:bCs/>
          <w:szCs w:val="24"/>
        </w:rPr>
        <w:tab/>
      </w:r>
      <w:r>
        <w:rPr>
          <w:rFonts w:hint="eastAsia"/>
          <w:szCs w:val="24"/>
        </w:rPr>
        <w:t>老旧厂房更新改造项目的绿色改造措施应与原有建筑风貌相协调，可结合建筑外墙、屋顶及其他构件科学设置可再生能源等设施。</w:t>
      </w:r>
    </w:p>
    <w:p>
      <w:pPr>
        <w:pStyle w:val="2"/>
        <w:pageBreakBefore/>
        <w:spacing w:before="156" w:beforeLines="50" w:after="156" w:afterLines="50" w:line="360" w:lineRule="auto"/>
        <w:jc w:val="center"/>
        <w:rPr>
          <w:rFonts w:ascii="宋体" w:hAnsi="宋体"/>
          <w:sz w:val="32"/>
        </w:rPr>
      </w:pPr>
      <w:bookmarkStart w:id="131" w:name="_Toc149330727"/>
      <w:bookmarkStart w:id="132" w:name="_Toc149331215"/>
      <w:bookmarkStart w:id="133" w:name="_Toc149556992"/>
      <w:bookmarkStart w:id="134" w:name="_Toc149557051"/>
      <w:bookmarkStart w:id="135" w:name="_Toc149557699"/>
      <w:bookmarkStart w:id="136" w:name="_Toc150176304"/>
      <w:bookmarkStart w:id="137" w:name="_Toc150176858"/>
      <w:bookmarkStart w:id="138" w:name="_Toc150177024"/>
      <w:r>
        <w:rPr>
          <w:rFonts w:ascii="宋体" w:hAnsi="宋体"/>
          <w:sz w:val="32"/>
        </w:rPr>
        <w:t xml:space="preserve">6  </w:t>
      </w:r>
      <w:r>
        <w:rPr>
          <w:rFonts w:hint="eastAsia" w:ascii="宋体" w:hAnsi="宋体"/>
          <w:sz w:val="32"/>
        </w:rPr>
        <w:t>结构设计</w:t>
      </w:r>
      <w:bookmarkEnd w:id="131"/>
      <w:bookmarkEnd w:id="132"/>
      <w:bookmarkEnd w:id="133"/>
      <w:bookmarkEnd w:id="134"/>
      <w:bookmarkEnd w:id="135"/>
      <w:bookmarkEnd w:id="136"/>
      <w:bookmarkEnd w:id="137"/>
      <w:bookmarkEnd w:id="138"/>
    </w:p>
    <w:p>
      <w:pPr>
        <w:pStyle w:val="3"/>
        <w:spacing w:after="156" w:afterLines="50" w:line="360" w:lineRule="auto"/>
        <w:rPr>
          <w:rFonts w:ascii="宋体" w:hAnsi="宋体"/>
          <w:b/>
          <w:sz w:val="28"/>
        </w:rPr>
      </w:pPr>
      <w:bookmarkStart w:id="139" w:name="_Toc109116615"/>
      <w:bookmarkEnd w:id="139"/>
      <w:bookmarkStart w:id="140" w:name="_Toc109922320"/>
      <w:bookmarkEnd w:id="140"/>
      <w:bookmarkStart w:id="141" w:name="_Toc109923459"/>
      <w:bookmarkEnd w:id="141"/>
      <w:bookmarkStart w:id="142" w:name="_Toc109923548"/>
      <w:bookmarkEnd w:id="142"/>
      <w:bookmarkStart w:id="143" w:name="_Toc118884455"/>
      <w:bookmarkEnd w:id="143"/>
      <w:bookmarkStart w:id="144" w:name="_Toc129787092"/>
      <w:bookmarkEnd w:id="144"/>
      <w:bookmarkStart w:id="145" w:name="_Toc109116616"/>
      <w:bookmarkEnd w:id="145"/>
      <w:bookmarkStart w:id="146" w:name="_Toc109922321"/>
      <w:bookmarkEnd w:id="146"/>
      <w:bookmarkStart w:id="147" w:name="_Toc109923460"/>
      <w:bookmarkEnd w:id="147"/>
      <w:bookmarkStart w:id="148" w:name="_Toc109923549"/>
      <w:bookmarkEnd w:id="148"/>
      <w:bookmarkStart w:id="149" w:name="_Toc118884456"/>
      <w:bookmarkEnd w:id="149"/>
      <w:bookmarkStart w:id="150" w:name="_Toc129787093"/>
      <w:bookmarkEnd w:id="150"/>
      <w:bookmarkStart w:id="151" w:name="_Toc109116617"/>
      <w:bookmarkEnd w:id="151"/>
      <w:bookmarkStart w:id="152" w:name="_Toc109922322"/>
      <w:bookmarkEnd w:id="152"/>
      <w:bookmarkStart w:id="153" w:name="_Toc109923461"/>
      <w:bookmarkEnd w:id="153"/>
      <w:bookmarkStart w:id="154" w:name="_Toc109923550"/>
      <w:bookmarkEnd w:id="154"/>
      <w:bookmarkStart w:id="155" w:name="_Toc118884457"/>
      <w:bookmarkEnd w:id="155"/>
      <w:bookmarkStart w:id="156" w:name="_Toc129787094"/>
      <w:bookmarkEnd w:id="156"/>
      <w:bookmarkStart w:id="157" w:name="_Toc109116618"/>
      <w:bookmarkEnd w:id="157"/>
      <w:bookmarkStart w:id="158" w:name="_Toc109922323"/>
      <w:bookmarkEnd w:id="158"/>
      <w:bookmarkStart w:id="159" w:name="_Toc109923462"/>
      <w:bookmarkEnd w:id="159"/>
      <w:bookmarkStart w:id="160" w:name="_Toc109923551"/>
      <w:bookmarkEnd w:id="160"/>
      <w:bookmarkStart w:id="161" w:name="_Toc118884458"/>
      <w:bookmarkEnd w:id="161"/>
      <w:bookmarkStart w:id="162" w:name="_Toc129787095"/>
      <w:bookmarkEnd w:id="162"/>
      <w:bookmarkStart w:id="163" w:name="_Toc109116619"/>
      <w:bookmarkEnd w:id="163"/>
      <w:bookmarkStart w:id="164" w:name="_Toc109922324"/>
      <w:bookmarkEnd w:id="164"/>
      <w:bookmarkStart w:id="165" w:name="_Toc109923463"/>
      <w:bookmarkEnd w:id="165"/>
      <w:bookmarkStart w:id="166" w:name="_Toc109923552"/>
      <w:bookmarkEnd w:id="166"/>
      <w:bookmarkStart w:id="167" w:name="_Toc118884459"/>
      <w:bookmarkEnd w:id="167"/>
      <w:bookmarkStart w:id="168" w:name="_Toc129787096"/>
      <w:bookmarkEnd w:id="168"/>
      <w:bookmarkStart w:id="169" w:name="_Toc109116620"/>
      <w:bookmarkEnd w:id="169"/>
      <w:bookmarkStart w:id="170" w:name="_Toc109922325"/>
      <w:bookmarkEnd w:id="170"/>
      <w:bookmarkStart w:id="171" w:name="_Toc109923464"/>
      <w:bookmarkEnd w:id="171"/>
      <w:bookmarkStart w:id="172" w:name="_Toc109923553"/>
      <w:bookmarkEnd w:id="172"/>
      <w:bookmarkStart w:id="173" w:name="_Toc118884460"/>
      <w:bookmarkEnd w:id="173"/>
      <w:bookmarkStart w:id="174" w:name="_Toc129787097"/>
      <w:bookmarkEnd w:id="174"/>
      <w:bookmarkStart w:id="175" w:name="_Toc109116621"/>
      <w:bookmarkEnd w:id="175"/>
      <w:bookmarkStart w:id="176" w:name="_Toc109922326"/>
      <w:bookmarkEnd w:id="176"/>
      <w:bookmarkStart w:id="177" w:name="_Toc109923465"/>
      <w:bookmarkEnd w:id="177"/>
      <w:bookmarkStart w:id="178" w:name="_Toc109923554"/>
      <w:bookmarkEnd w:id="178"/>
      <w:bookmarkStart w:id="179" w:name="_Toc118884461"/>
      <w:bookmarkEnd w:id="179"/>
      <w:bookmarkStart w:id="180" w:name="_Toc129787098"/>
      <w:bookmarkEnd w:id="180"/>
      <w:bookmarkStart w:id="181" w:name="_Toc149330728"/>
      <w:bookmarkStart w:id="182" w:name="_Toc149331216"/>
      <w:bookmarkStart w:id="183" w:name="_Toc149556993"/>
      <w:bookmarkStart w:id="184" w:name="_Toc149557052"/>
      <w:bookmarkStart w:id="185" w:name="_Toc149557700"/>
      <w:bookmarkStart w:id="186" w:name="_Toc150176305"/>
      <w:bookmarkStart w:id="187" w:name="_Toc150176859"/>
      <w:bookmarkStart w:id="188" w:name="_Toc150177025"/>
      <w:r>
        <w:rPr>
          <w:rFonts w:ascii="宋体" w:hAnsi="宋体"/>
          <w:b/>
          <w:sz w:val="28"/>
        </w:rPr>
        <w:t>6.1一般规定</w:t>
      </w:r>
      <w:bookmarkEnd w:id="181"/>
      <w:bookmarkEnd w:id="182"/>
      <w:bookmarkEnd w:id="183"/>
      <w:bookmarkEnd w:id="184"/>
      <w:bookmarkEnd w:id="185"/>
      <w:bookmarkEnd w:id="186"/>
      <w:bookmarkEnd w:id="187"/>
      <w:bookmarkEnd w:id="188"/>
    </w:p>
    <w:p>
      <w:pPr>
        <w:rPr>
          <w:rFonts w:ascii="宋体" w:hAnsi="宋体"/>
        </w:rPr>
      </w:pPr>
      <w:r>
        <w:rPr>
          <w:rFonts w:ascii="宋体" w:hAnsi="宋体"/>
          <w:b/>
        </w:rPr>
        <w:t>6.1.1</w:t>
      </w:r>
      <w:r>
        <w:rPr>
          <w:rFonts w:ascii="宋体" w:hAnsi="宋体"/>
        </w:rPr>
        <w:tab/>
      </w:r>
      <w:r>
        <w:rPr>
          <w:rFonts w:hint="eastAsia" w:ascii="宋体" w:hAnsi="宋体"/>
        </w:rPr>
        <w:t>保留</w:t>
      </w:r>
      <w:r>
        <w:rPr>
          <w:rFonts w:ascii="宋体" w:hAnsi="宋体"/>
        </w:rPr>
        <w:t>老旧厂房</w:t>
      </w:r>
      <w:r>
        <w:rPr>
          <w:rFonts w:hint="eastAsia" w:ascii="宋体" w:hAnsi="宋体"/>
        </w:rPr>
        <w:t>的后续</w:t>
      </w:r>
      <w:r>
        <w:rPr>
          <w:rFonts w:ascii="宋体" w:hAnsi="宋体"/>
        </w:rPr>
        <w:t>工作年限，应根据该厂房的使用</w:t>
      </w:r>
      <w:r>
        <w:rPr>
          <w:rFonts w:hint="eastAsia" w:ascii="宋体" w:hAnsi="宋体"/>
        </w:rPr>
        <w:t>历</w:t>
      </w:r>
      <w:r>
        <w:rPr>
          <w:rFonts w:ascii="宋体" w:hAnsi="宋体"/>
        </w:rPr>
        <w:t>史、当前安全状况和</w:t>
      </w:r>
      <w:r>
        <w:rPr>
          <w:rFonts w:hint="eastAsia" w:ascii="宋体" w:hAnsi="宋体"/>
        </w:rPr>
        <w:t>建筑实际运营情况</w:t>
      </w:r>
      <w:r>
        <w:rPr>
          <w:rFonts w:ascii="宋体" w:hAnsi="宋体"/>
        </w:rPr>
        <w:t>，按现行国家标准《既有建筑鉴定与加固通用规范》GB 55021及《建筑抗震鉴定标准》GB 50023的有关规定确定。</w:t>
      </w:r>
    </w:p>
    <w:p>
      <w:pPr>
        <w:rPr>
          <w:rFonts w:ascii="宋体" w:hAnsi="宋体"/>
          <w:sz w:val="21"/>
          <w:szCs w:val="22"/>
        </w:rPr>
      </w:pPr>
    </w:p>
    <w:p>
      <w:pPr>
        <w:rPr>
          <w:rFonts w:ascii="宋体" w:hAnsi="宋体"/>
          <w:sz w:val="21"/>
          <w:szCs w:val="22"/>
        </w:rPr>
      </w:pPr>
      <w:r>
        <w:rPr>
          <w:rFonts w:ascii="宋体" w:hAnsi="宋体"/>
          <w:b/>
        </w:rPr>
        <w:t>6.1.2</w:t>
      </w:r>
      <w:r>
        <w:rPr>
          <w:rFonts w:ascii="宋体" w:hAnsi="宋体"/>
          <w:b/>
        </w:rPr>
        <w:tab/>
      </w:r>
      <w:r>
        <w:rPr>
          <w:rFonts w:hint="eastAsia" w:ascii="宋体" w:hAnsi="宋体"/>
        </w:rPr>
        <w:t>老旧厂房更新改造前应进行建筑的检测、鉴定，并根据检测、鉴定结果进行加固设计。不同建造年代、不同结构体系的老旧厂房，其抗震加固应依据检测、鉴定结论、后续工作年限及更新改造后功能选择安全、经济、有效的加固技术方案。</w:t>
      </w:r>
    </w:p>
    <w:p>
      <w:pPr>
        <w:rPr>
          <w:rFonts w:ascii="宋体" w:hAnsi="宋体"/>
        </w:rPr>
      </w:pPr>
    </w:p>
    <w:p>
      <w:pPr>
        <w:pStyle w:val="3"/>
        <w:spacing w:after="156" w:afterLines="50" w:line="360" w:lineRule="auto"/>
        <w:rPr>
          <w:rFonts w:ascii="宋体" w:hAnsi="宋体"/>
          <w:b/>
          <w:sz w:val="28"/>
        </w:rPr>
      </w:pPr>
      <w:bookmarkStart w:id="189" w:name="_Toc150177026"/>
      <w:bookmarkStart w:id="190" w:name="_Toc150176860"/>
      <w:bookmarkStart w:id="191" w:name="_Toc150176306"/>
      <w:bookmarkStart w:id="192" w:name="_Toc149557701"/>
      <w:bookmarkStart w:id="193" w:name="_Toc149557053"/>
      <w:bookmarkStart w:id="194" w:name="_Toc149556994"/>
      <w:bookmarkStart w:id="195" w:name="_Toc149331217"/>
      <w:bookmarkStart w:id="196" w:name="_Toc149330729"/>
      <w:r>
        <w:rPr>
          <w:rFonts w:ascii="宋体" w:hAnsi="宋体"/>
          <w:b/>
          <w:sz w:val="28"/>
        </w:rPr>
        <w:t xml:space="preserve">6.2 </w:t>
      </w:r>
      <w:r>
        <w:rPr>
          <w:rFonts w:hint="eastAsia" w:ascii="宋体" w:hAnsi="宋体"/>
          <w:b/>
          <w:sz w:val="28"/>
        </w:rPr>
        <w:t>结构检测鉴定</w:t>
      </w:r>
      <w:bookmarkEnd w:id="189"/>
      <w:bookmarkEnd w:id="190"/>
      <w:bookmarkEnd w:id="191"/>
      <w:bookmarkEnd w:id="192"/>
      <w:bookmarkEnd w:id="193"/>
      <w:bookmarkEnd w:id="194"/>
      <w:bookmarkEnd w:id="195"/>
      <w:bookmarkEnd w:id="196"/>
    </w:p>
    <w:p>
      <w:pPr>
        <w:rPr>
          <w:rFonts w:ascii="宋体" w:hAnsi="宋体"/>
        </w:rPr>
      </w:pPr>
      <w:r>
        <w:rPr>
          <w:rFonts w:hint="eastAsia" w:ascii="宋体" w:hAnsi="宋体"/>
          <w:b/>
        </w:rPr>
        <w:t>6.2.1</w:t>
      </w:r>
      <w:r>
        <w:rPr>
          <w:rFonts w:hint="eastAsia" w:ascii="宋体" w:hAnsi="宋体"/>
        </w:rPr>
        <w:t xml:space="preserve">  老旧厂房的结构鉴定应同时进行安全性鉴定与抗震鉴定。</w:t>
      </w:r>
    </w:p>
    <w:p>
      <w:pPr>
        <w:rPr>
          <w:rFonts w:ascii="宋体" w:hAnsi="宋体"/>
        </w:rPr>
      </w:pPr>
    </w:p>
    <w:p>
      <w:pPr>
        <w:rPr>
          <w:bCs/>
          <w:szCs w:val="24"/>
        </w:rPr>
      </w:pPr>
      <w:r>
        <w:rPr>
          <w:rFonts w:hint="eastAsia" w:ascii="宋体" w:hAnsi="宋体"/>
          <w:b/>
        </w:rPr>
        <w:t>6.2.</w:t>
      </w:r>
      <w:r>
        <w:rPr>
          <w:rFonts w:ascii="宋体" w:hAnsi="宋体"/>
          <w:b/>
        </w:rPr>
        <w:t xml:space="preserve">2 </w:t>
      </w:r>
      <w:r>
        <w:rPr>
          <w:rFonts w:hint="eastAsia" w:ascii="宋体" w:hAnsi="宋体"/>
        </w:rPr>
        <w:t xml:space="preserve"> </w:t>
      </w:r>
      <w:r>
        <w:rPr>
          <w:rFonts w:hint="eastAsia"/>
          <w:bCs/>
          <w:szCs w:val="24"/>
        </w:rPr>
        <w:t>老旧厂房的结构检测应包括下列内容：</w:t>
      </w:r>
      <w:r>
        <w:t xml:space="preserve"> </w:t>
      </w:r>
    </w:p>
    <w:p>
      <w:pPr>
        <w:pStyle w:val="62"/>
        <w:numPr>
          <w:ilvl w:val="0"/>
          <w:numId w:val="7"/>
        </w:numPr>
        <w:spacing w:line="360" w:lineRule="auto"/>
        <w:ind w:left="840" w:firstLineChars="0"/>
        <w:rPr>
          <w:rFonts w:ascii="宋体" w:hAnsi="宋体" w:eastAsia="宋体"/>
          <w:sz w:val="24"/>
          <w:szCs w:val="24"/>
        </w:rPr>
      </w:pPr>
      <w:r>
        <w:rPr>
          <w:rFonts w:hint="eastAsia" w:ascii="宋体" w:hAnsi="宋体" w:eastAsia="宋体"/>
          <w:sz w:val="24"/>
          <w:szCs w:val="24"/>
        </w:rPr>
        <w:t>结构体系的稳定性和结构承载能力的可靠性检测；</w:t>
      </w:r>
    </w:p>
    <w:p>
      <w:pPr>
        <w:pStyle w:val="62"/>
        <w:numPr>
          <w:ilvl w:val="0"/>
          <w:numId w:val="7"/>
        </w:numPr>
        <w:spacing w:line="360" w:lineRule="auto"/>
        <w:ind w:left="840" w:firstLineChars="0"/>
        <w:rPr>
          <w:rFonts w:ascii="宋体" w:hAnsi="宋体" w:eastAsia="宋体"/>
          <w:sz w:val="24"/>
          <w:szCs w:val="24"/>
        </w:rPr>
      </w:pPr>
      <w:r>
        <w:rPr>
          <w:rFonts w:hint="eastAsia" w:ascii="宋体" w:hAnsi="宋体" w:eastAsia="宋体"/>
          <w:sz w:val="24"/>
          <w:szCs w:val="24"/>
        </w:rPr>
        <w:t>结构构件及其连接；</w:t>
      </w:r>
    </w:p>
    <w:p>
      <w:pPr>
        <w:pStyle w:val="62"/>
        <w:numPr>
          <w:ilvl w:val="0"/>
          <w:numId w:val="7"/>
        </w:numPr>
        <w:spacing w:line="360" w:lineRule="auto"/>
        <w:ind w:left="840" w:firstLineChars="0"/>
        <w:rPr>
          <w:rFonts w:ascii="宋体" w:hAnsi="宋体" w:eastAsia="宋体"/>
          <w:sz w:val="24"/>
          <w:szCs w:val="24"/>
        </w:rPr>
      </w:pPr>
      <w:r>
        <w:rPr>
          <w:rFonts w:hint="eastAsia" w:ascii="宋体" w:hAnsi="宋体" w:eastAsia="宋体"/>
          <w:sz w:val="24"/>
          <w:szCs w:val="24"/>
        </w:rPr>
        <w:t>结构损伤、缺陷和耐久性；</w:t>
      </w:r>
    </w:p>
    <w:p>
      <w:pPr>
        <w:pStyle w:val="62"/>
        <w:numPr>
          <w:ilvl w:val="0"/>
          <w:numId w:val="7"/>
        </w:numPr>
        <w:spacing w:line="360" w:lineRule="auto"/>
        <w:ind w:left="840" w:firstLineChars="0"/>
        <w:rPr>
          <w:rFonts w:ascii="宋体" w:hAnsi="宋体" w:eastAsia="宋体"/>
          <w:sz w:val="24"/>
          <w:szCs w:val="24"/>
        </w:rPr>
      </w:pPr>
      <w:r>
        <w:rPr>
          <w:rFonts w:hint="eastAsia" w:ascii="宋体" w:hAnsi="宋体" w:eastAsia="宋体"/>
          <w:sz w:val="24"/>
          <w:szCs w:val="24"/>
        </w:rPr>
        <w:t>结构位移和变形；</w:t>
      </w:r>
    </w:p>
    <w:p>
      <w:pPr>
        <w:pStyle w:val="62"/>
        <w:numPr>
          <w:ilvl w:val="0"/>
          <w:numId w:val="7"/>
        </w:numPr>
        <w:spacing w:line="360" w:lineRule="auto"/>
        <w:ind w:left="840" w:firstLineChars="0"/>
        <w:rPr>
          <w:rFonts w:ascii="宋体" w:hAnsi="宋体" w:eastAsia="宋体"/>
          <w:sz w:val="24"/>
          <w:szCs w:val="24"/>
        </w:rPr>
      </w:pPr>
      <w:r>
        <w:rPr>
          <w:rFonts w:hint="eastAsia" w:ascii="宋体" w:hAnsi="宋体" w:eastAsia="宋体"/>
          <w:sz w:val="24"/>
          <w:szCs w:val="24"/>
        </w:rPr>
        <w:t>影响建筑安全的非结构构件。</w:t>
      </w:r>
    </w:p>
    <w:p>
      <w:pPr>
        <w:rPr>
          <w:i/>
        </w:rPr>
      </w:pPr>
    </w:p>
    <w:p>
      <w:pPr>
        <w:rPr>
          <w:rFonts w:ascii="宋体" w:hAnsi="宋体"/>
        </w:rPr>
      </w:pPr>
      <w:r>
        <w:rPr>
          <w:rFonts w:hint="eastAsia" w:ascii="宋体" w:hAnsi="宋体"/>
          <w:b/>
        </w:rPr>
        <w:t>6.2.</w:t>
      </w:r>
      <w:r>
        <w:rPr>
          <w:rFonts w:ascii="宋体" w:hAnsi="宋体"/>
          <w:b/>
        </w:rPr>
        <w:t xml:space="preserve">3 </w:t>
      </w:r>
      <w:r>
        <w:rPr>
          <w:rFonts w:hint="eastAsia" w:ascii="宋体" w:hAnsi="宋体"/>
        </w:rPr>
        <w:t xml:space="preserve"> 老旧厂房的鉴定报告应对建筑后续工作年限内的下列问题作出明确的结论:</w:t>
      </w:r>
    </w:p>
    <w:p>
      <w:pPr>
        <w:pStyle w:val="62"/>
        <w:numPr>
          <w:ilvl w:val="0"/>
          <w:numId w:val="8"/>
        </w:numPr>
        <w:spacing w:line="360" w:lineRule="auto"/>
        <w:ind w:left="840" w:firstLineChars="0"/>
        <w:rPr>
          <w:rFonts w:ascii="宋体" w:hAnsi="宋体" w:eastAsia="宋体"/>
          <w:sz w:val="24"/>
          <w:szCs w:val="24"/>
        </w:rPr>
      </w:pPr>
      <w:r>
        <w:rPr>
          <w:rFonts w:hint="eastAsia" w:ascii="宋体" w:hAnsi="宋体" w:eastAsia="宋体"/>
          <w:sz w:val="24"/>
          <w:szCs w:val="24"/>
        </w:rPr>
        <w:t>建筑结构在正常使用荷载作用下，其结构的承载能力是否满足安全使用的要求；</w:t>
      </w:r>
    </w:p>
    <w:p>
      <w:pPr>
        <w:pStyle w:val="62"/>
        <w:numPr>
          <w:ilvl w:val="0"/>
          <w:numId w:val="8"/>
        </w:numPr>
        <w:spacing w:line="360" w:lineRule="auto"/>
        <w:ind w:left="840" w:firstLineChars="0"/>
        <w:rPr>
          <w:rFonts w:ascii="宋体" w:hAnsi="宋体" w:eastAsia="宋体"/>
          <w:sz w:val="24"/>
          <w:szCs w:val="24"/>
        </w:rPr>
      </w:pPr>
      <w:r>
        <w:rPr>
          <w:rFonts w:hint="eastAsia" w:ascii="宋体" w:hAnsi="宋体" w:eastAsia="宋体"/>
          <w:sz w:val="24"/>
          <w:szCs w:val="24"/>
        </w:rPr>
        <w:t>建筑结构是否具备该地区抗震设防烈度和该建筑设防类别所要求的综合抗震能力；</w:t>
      </w:r>
    </w:p>
    <w:p>
      <w:pPr>
        <w:pStyle w:val="62"/>
        <w:numPr>
          <w:ilvl w:val="0"/>
          <w:numId w:val="8"/>
        </w:numPr>
        <w:spacing w:line="360" w:lineRule="auto"/>
        <w:ind w:left="840" w:firstLineChars="0"/>
        <w:rPr>
          <w:rFonts w:ascii="宋体" w:hAnsi="宋体" w:eastAsia="宋体"/>
          <w:sz w:val="24"/>
          <w:szCs w:val="24"/>
        </w:rPr>
      </w:pPr>
      <w:r>
        <w:rPr>
          <w:rFonts w:hint="eastAsia" w:ascii="宋体" w:hAnsi="宋体" w:eastAsia="宋体"/>
          <w:sz w:val="24"/>
          <w:szCs w:val="24"/>
        </w:rPr>
        <w:t>非结构构件应进行加固的范围和内容。</w:t>
      </w:r>
    </w:p>
    <w:p>
      <w:pPr>
        <w:pStyle w:val="62"/>
        <w:spacing w:line="360" w:lineRule="auto"/>
        <w:ind w:left="840" w:firstLine="0" w:firstLineChars="0"/>
        <w:rPr>
          <w:rFonts w:ascii="宋体" w:hAnsi="宋体" w:eastAsia="宋体"/>
          <w:sz w:val="24"/>
          <w:szCs w:val="24"/>
        </w:rPr>
      </w:pPr>
    </w:p>
    <w:p>
      <w:pPr>
        <w:pStyle w:val="3"/>
        <w:spacing w:after="156" w:afterLines="50" w:line="360" w:lineRule="auto"/>
        <w:rPr>
          <w:rFonts w:ascii="宋体" w:hAnsi="宋体"/>
          <w:b/>
          <w:sz w:val="28"/>
        </w:rPr>
      </w:pPr>
      <w:bookmarkStart w:id="197" w:name="_Toc149330730"/>
      <w:bookmarkStart w:id="198" w:name="_Toc149331218"/>
      <w:bookmarkStart w:id="199" w:name="_Toc149556995"/>
      <w:bookmarkStart w:id="200" w:name="_Toc149557054"/>
      <w:bookmarkStart w:id="201" w:name="_Toc149557702"/>
      <w:bookmarkStart w:id="202" w:name="_Toc150176307"/>
      <w:bookmarkStart w:id="203" w:name="_Toc150176861"/>
      <w:bookmarkStart w:id="204" w:name="_Toc150177027"/>
      <w:r>
        <w:rPr>
          <w:rFonts w:ascii="宋体" w:hAnsi="宋体"/>
          <w:b/>
          <w:sz w:val="28"/>
        </w:rPr>
        <w:t>6.3 结构</w:t>
      </w:r>
      <w:r>
        <w:rPr>
          <w:rFonts w:hint="eastAsia" w:ascii="宋体" w:hAnsi="宋体"/>
          <w:b/>
          <w:sz w:val="28"/>
        </w:rPr>
        <w:t>设计</w:t>
      </w:r>
      <w:bookmarkEnd w:id="197"/>
      <w:bookmarkEnd w:id="198"/>
      <w:bookmarkEnd w:id="199"/>
      <w:bookmarkEnd w:id="200"/>
      <w:bookmarkEnd w:id="201"/>
      <w:bookmarkEnd w:id="202"/>
      <w:bookmarkEnd w:id="203"/>
      <w:bookmarkEnd w:id="204"/>
    </w:p>
    <w:p>
      <w:pPr>
        <w:rPr>
          <w:rFonts w:ascii="宋体" w:hAnsi="宋体"/>
        </w:rPr>
      </w:pPr>
      <w:r>
        <w:rPr>
          <w:rFonts w:ascii="宋体" w:hAnsi="宋体"/>
          <w:b/>
        </w:rPr>
        <w:t xml:space="preserve">6.3.1 </w:t>
      </w:r>
      <w:r>
        <w:rPr>
          <w:rFonts w:ascii="宋体" w:hAnsi="宋体"/>
        </w:rPr>
        <w:t xml:space="preserve"> 加固后结构的安全等级，应根据结构破坏后</w:t>
      </w:r>
      <w:r>
        <w:rPr>
          <w:rFonts w:hint="eastAsia" w:ascii="宋体" w:hAnsi="宋体"/>
        </w:rPr>
        <w:t>产生影响</w:t>
      </w:r>
      <w:r>
        <w:rPr>
          <w:rFonts w:ascii="宋体" w:hAnsi="宋体"/>
        </w:rPr>
        <w:t>的严重性、结构的重要性</w:t>
      </w:r>
      <w:r>
        <w:rPr>
          <w:rFonts w:hint="eastAsia" w:ascii="宋体" w:hAnsi="宋体"/>
        </w:rPr>
        <w:t>及</w:t>
      </w:r>
      <w:r>
        <w:rPr>
          <w:rFonts w:ascii="宋体" w:hAnsi="宋体"/>
        </w:rPr>
        <w:t>实际情况</w:t>
      </w:r>
      <w:r>
        <w:rPr>
          <w:rFonts w:hint="eastAsia" w:ascii="宋体" w:hAnsi="宋体"/>
        </w:rPr>
        <w:t>确</w:t>
      </w:r>
      <w:r>
        <w:rPr>
          <w:rFonts w:ascii="宋体" w:hAnsi="宋体"/>
        </w:rPr>
        <w:t>定。</w:t>
      </w:r>
    </w:p>
    <w:p>
      <w:pPr>
        <w:rPr>
          <w:i/>
        </w:rPr>
      </w:pPr>
    </w:p>
    <w:p>
      <w:pPr>
        <w:rPr>
          <w:rFonts w:ascii="宋体" w:hAnsi="宋体"/>
        </w:rPr>
      </w:pPr>
      <w:r>
        <w:rPr>
          <w:rFonts w:ascii="宋体" w:hAnsi="宋体"/>
          <w:b/>
        </w:rPr>
        <w:t>6.3.2</w:t>
      </w:r>
      <w:r>
        <w:rPr>
          <w:rFonts w:ascii="宋体" w:hAnsi="宋体"/>
        </w:rPr>
        <w:t xml:space="preserve">  </w:t>
      </w:r>
      <w:r>
        <w:rPr>
          <w:rFonts w:hint="eastAsia" w:ascii="宋体" w:hAnsi="宋体"/>
        </w:rPr>
        <w:t>老旧厂房的</w:t>
      </w:r>
      <w:r>
        <w:rPr>
          <w:rFonts w:ascii="宋体" w:hAnsi="宋体"/>
        </w:rPr>
        <w:t>加固设计应符合下列要求:</w:t>
      </w:r>
    </w:p>
    <w:p>
      <w:pPr>
        <w:pStyle w:val="62"/>
        <w:numPr>
          <w:ilvl w:val="0"/>
          <w:numId w:val="9"/>
        </w:numPr>
        <w:spacing w:line="360" w:lineRule="auto"/>
        <w:ind w:firstLineChars="0"/>
        <w:rPr>
          <w:rFonts w:ascii="宋体" w:hAnsi="宋体" w:eastAsia="宋体"/>
          <w:sz w:val="24"/>
          <w:szCs w:val="24"/>
        </w:rPr>
      </w:pPr>
      <w:r>
        <w:rPr>
          <w:rFonts w:hint="eastAsia" w:ascii="宋体" w:hAnsi="宋体" w:eastAsia="宋体"/>
          <w:sz w:val="24"/>
          <w:szCs w:val="24"/>
        </w:rPr>
        <w:t>结构应满足正常荷载下安全使用的要求；</w:t>
      </w:r>
      <w:r>
        <w:rPr>
          <w:rFonts w:ascii="宋体" w:hAnsi="宋体" w:eastAsia="宋体"/>
          <w:sz w:val="24"/>
          <w:szCs w:val="24"/>
        </w:rPr>
        <w:t>结构的综合抗震能力，应</w:t>
      </w:r>
      <w:r>
        <w:rPr>
          <w:rFonts w:hint="eastAsia" w:ascii="宋体" w:hAnsi="宋体" w:eastAsia="宋体"/>
          <w:sz w:val="24"/>
          <w:szCs w:val="24"/>
        </w:rPr>
        <w:t>符合现行</w:t>
      </w:r>
      <w:r>
        <w:rPr>
          <w:rFonts w:ascii="宋体" w:hAnsi="宋体" w:eastAsia="宋体"/>
          <w:sz w:val="24"/>
          <w:szCs w:val="24"/>
        </w:rPr>
        <w:t>地方标准《建筑抗震加固技术规程》DB11/689的</w:t>
      </w:r>
      <w:r>
        <w:rPr>
          <w:rFonts w:hint="eastAsia" w:ascii="宋体" w:hAnsi="宋体" w:eastAsia="宋体"/>
          <w:sz w:val="24"/>
          <w:szCs w:val="24"/>
        </w:rPr>
        <w:t>规定；</w:t>
      </w:r>
    </w:p>
    <w:p>
      <w:pPr>
        <w:pStyle w:val="62"/>
        <w:numPr>
          <w:ilvl w:val="0"/>
          <w:numId w:val="9"/>
        </w:numPr>
        <w:spacing w:line="360" w:lineRule="auto"/>
        <w:ind w:firstLineChars="0"/>
        <w:rPr>
          <w:rFonts w:ascii="宋体" w:hAnsi="宋体" w:eastAsia="宋体"/>
          <w:sz w:val="24"/>
          <w:szCs w:val="24"/>
        </w:rPr>
      </w:pPr>
      <w:r>
        <w:rPr>
          <w:rFonts w:hint="eastAsia" w:ascii="宋体" w:hAnsi="宋体" w:eastAsia="宋体"/>
          <w:sz w:val="24"/>
          <w:szCs w:val="24"/>
        </w:rPr>
        <w:t>厂房的加固，宜着重提高其整体性和连接的可靠性；增设支撑等构件时，应复核有关节点应力的加大和地震作用在原有构件间的重分配；对一端有山墙和体型复杂的厂房，宜采取减少厂房扭转效应的措施；</w:t>
      </w:r>
    </w:p>
    <w:p>
      <w:pPr>
        <w:pStyle w:val="62"/>
        <w:numPr>
          <w:ilvl w:val="0"/>
          <w:numId w:val="9"/>
        </w:numPr>
        <w:spacing w:line="360" w:lineRule="auto"/>
        <w:ind w:firstLineChars="0"/>
        <w:rPr>
          <w:rFonts w:ascii="宋体" w:hAnsi="宋体" w:eastAsia="宋体"/>
          <w:sz w:val="24"/>
          <w:szCs w:val="24"/>
        </w:rPr>
      </w:pPr>
      <w:r>
        <w:rPr>
          <w:rFonts w:hint="eastAsia" w:ascii="宋体" w:hAnsi="宋体" w:eastAsia="宋体"/>
          <w:sz w:val="24"/>
          <w:szCs w:val="24"/>
        </w:rPr>
        <w:t>厂房加固后，宜避免形成新的抗震薄弱部位；</w:t>
      </w:r>
    </w:p>
    <w:p>
      <w:pPr>
        <w:pStyle w:val="62"/>
        <w:numPr>
          <w:ilvl w:val="0"/>
          <w:numId w:val="9"/>
        </w:numPr>
        <w:spacing w:line="360" w:lineRule="auto"/>
        <w:ind w:firstLineChars="0"/>
        <w:rPr>
          <w:rFonts w:ascii="宋体" w:hAnsi="宋体" w:eastAsia="宋体"/>
          <w:sz w:val="24"/>
          <w:szCs w:val="24"/>
        </w:rPr>
      </w:pPr>
      <w:r>
        <w:rPr>
          <w:rFonts w:hint="eastAsia" w:ascii="宋体" w:hAnsi="宋体" w:eastAsia="宋体"/>
          <w:sz w:val="24"/>
          <w:szCs w:val="24"/>
        </w:rPr>
        <w:t>厂房的屋盖支撑布置或柱间支撑布置不符合鉴定要求时，宜增设支撑，也可采用钢筋混凝土窗框代替天窗架竖向支撑；</w:t>
      </w:r>
    </w:p>
    <w:p>
      <w:pPr>
        <w:pStyle w:val="62"/>
        <w:numPr>
          <w:ilvl w:val="0"/>
          <w:numId w:val="9"/>
        </w:numPr>
        <w:spacing w:line="360" w:lineRule="auto"/>
        <w:ind w:firstLineChars="0"/>
        <w:rPr>
          <w:rFonts w:ascii="宋体" w:hAnsi="宋体" w:eastAsia="宋体"/>
          <w:sz w:val="24"/>
          <w:szCs w:val="24"/>
        </w:rPr>
      </w:pPr>
      <w:r>
        <w:rPr>
          <w:rFonts w:hint="eastAsia" w:ascii="宋体" w:hAnsi="宋体" w:eastAsia="宋体"/>
          <w:sz w:val="24"/>
          <w:szCs w:val="24"/>
        </w:rPr>
        <w:t>宜采用隔震、减震技术，消能减震构件的布置应与建筑专业协调，减少对厂房建筑风貌展示及使用的影响。</w:t>
      </w:r>
    </w:p>
    <w:p>
      <w:pPr>
        <w:pStyle w:val="62"/>
        <w:spacing w:line="360" w:lineRule="auto"/>
        <w:ind w:left="840" w:firstLine="0" w:firstLineChars="0"/>
        <w:rPr>
          <w:rFonts w:ascii="宋体" w:hAnsi="宋体" w:eastAsia="宋体"/>
          <w:sz w:val="24"/>
          <w:szCs w:val="24"/>
        </w:rPr>
      </w:pPr>
    </w:p>
    <w:p>
      <w:pPr>
        <w:rPr>
          <w:rFonts w:ascii="宋体" w:hAnsi="宋体"/>
        </w:rPr>
      </w:pPr>
      <w:r>
        <w:rPr>
          <w:rFonts w:hint="eastAsia" w:ascii="宋体" w:hAnsi="宋体"/>
          <w:b/>
        </w:rPr>
        <w:t>6.3.3</w:t>
      </w:r>
      <w:r>
        <w:rPr>
          <w:rFonts w:ascii="宋体" w:hAnsi="宋体"/>
          <w:b/>
        </w:rPr>
        <w:t xml:space="preserve"> </w:t>
      </w:r>
      <w:r>
        <w:rPr>
          <w:rFonts w:hint="eastAsia" w:ascii="宋体" w:hAnsi="宋体"/>
        </w:rPr>
        <w:t xml:space="preserve"> 老旧厂房的加固设计应包括在检测中发现的结构损伤、缺陷和在地震过程中受损坏的结构工程及其相关工程的修复设计。</w:t>
      </w:r>
    </w:p>
    <w:p>
      <w:pPr>
        <w:rPr>
          <w:rFonts w:ascii="宋体" w:hAnsi="宋体"/>
          <w:sz w:val="21"/>
          <w:szCs w:val="22"/>
        </w:rPr>
      </w:pPr>
    </w:p>
    <w:p>
      <w:pPr>
        <w:rPr>
          <w:rFonts w:ascii="宋体" w:hAnsi="宋体"/>
        </w:rPr>
      </w:pPr>
      <w:r>
        <w:rPr>
          <w:rFonts w:hint="eastAsia" w:ascii="宋体" w:hAnsi="宋体"/>
          <w:b/>
        </w:rPr>
        <w:t>6.3.4</w:t>
      </w:r>
      <w:r>
        <w:rPr>
          <w:rFonts w:ascii="宋体" w:hAnsi="宋体"/>
          <w:b/>
        </w:rPr>
        <w:t xml:space="preserve"> </w:t>
      </w:r>
      <w:r>
        <w:rPr>
          <w:rFonts w:hint="eastAsia" w:ascii="宋体" w:hAnsi="宋体"/>
        </w:rPr>
        <w:t xml:space="preserve"> 老旧厂房加固用的材料、构配件和设备，应在设计文件中明确其规格、型号、性能等技术指标。</w:t>
      </w:r>
    </w:p>
    <w:p>
      <w:pPr>
        <w:rPr>
          <w:rFonts w:ascii="宋体" w:hAnsi="宋体"/>
        </w:rPr>
      </w:pPr>
    </w:p>
    <w:p>
      <w:pPr>
        <w:rPr>
          <w:rFonts w:ascii="宋体" w:hAnsi="宋体"/>
        </w:rPr>
      </w:pPr>
      <w:r>
        <w:rPr>
          <w:rFonts w:hint="eastAsia" w:ascii="宋体" w:hAnsi="宋体"/>
          <w:b/>
        </w:rPr>
        <w:t>6.3.5</w:t>
      </w:r>
      <w:r>
        <w:rPr>
          <w:rFonts w:ascii="宋体" w:hAnsi="宋体"/>
          <w:b/>
        </w:rPr>
        <w:t xml:space="preserve"> </w:t>
      </w:r>
      <w:r>
        <w:rPr>
          <w:rFonts w:hint="eastAsia" w:ascii="宋体" w:hAnsi="宋体"/>
        </w:rPr>
        <w:t xml:space="preserve"> 既有建筑地基基础加固后或增加荷载后，建筑物相邻基础的沉降量、沉降差、局部倾斜和整体倾斜的允许值应进行控制。</w:t>
      </w:r>
    </w:p>
    <w:p>
      <w:pPr>
        <w:rPr>
          <w:rFonts w:ascii="宋体" w:hAnsi="宋体"/>
        </w:rPr>
      </w:pPr>
    </w:p>
    <w:p>
      <w:pPr>
        <w:rPr>
          <w:rFonts w:ascii="宋体" w:hAnsi="宋体"/>
        </w:rPr>
      </w:pPr>
      <w:r>
        <w:rPr>
          <w:rFonts w:hint="eastAsia" w:ascii="宋体" w:hAnsi="宋体"/>
          <w:b/>
        </w:rPr>
        <w:t>6</w:t>
      </w:r>
      <w:r>
        <w:rPr>
          <w:rFonts w:ascii="宋体" w:hAnsi="宋体"/>
          <w:b/>
        </w:rPr>
        <w:t>.3.6</w:t>
      </w:r>
      <w:r>
        <w:rPr>
          <w:rFonts w:ascii="宋体" w:hAnsi="宋体"/>
        </w:rPr>
        <w:t xml:space="preserve">  </w:t>
      </w:r>
      <w:r>
        <w:rPr>
          <w:rFonts w:hint="eastAsia" w:ascii="宋体" w:hAnsi="宋体"/>
        </w:rPr>
        <w:t>老旧厂房更新改造新建部分，宜符合下列规定：</w:t>
      </w:r>
    </w:p>
    <w:p>
      <w:pPr>
        <w:pStyle w:val="62"/>
        <w:numPr>
          <w:ilvl w:val="0"/>
          <w:numId w:val="10"/>
        </w:numPr>
        <w:spacing w:line="360" w:lineRule="auto"/>
        <w:ind w:left="840" w:firstLineChars="0"/>
        <w:rPr>
          <w:rFonts w:ascii="宋体" w:hAnsi="宋体" w:eastAsia="宋体"/>
          <w:sz w:val="24"/>
          <w:szCs w:val="24"/>
        </w:rPr>
      </w:pPr>
      <w:r>
        <w:rPr>
          <w:rFonts w:hint="eastAsia" w:ascii="宋体" w:hAnsi="宋体" w:eastAsia="宋体"/>
          <w:sz w:val="24"/>
          <w:szCs w:val="24"/>
        </w:rPr>
        <w:t>新建结构宜选择混凝土装配式结构、钢结构、木结构；</w:t>
      </w:r>
    </w:p>
    <w:p>
      <w:pPr>
        <w:pStyle w:val="62"/>
        <w:numPr>
          <w:ilvl w:val="0"/>
          <w:numId w:val="10"/>
        </w:numPr>
        <w:spacing w:line="360" w:lineRule="auto"/>
        <w:ind w:left="840" w:firstLineChars="0"/>
        <w:rPr>
          <w:rFonts w:ascii="宋体" w:hAnsi="宋体" w:eastAsia="宋体"/>
          <w:sz w:val="24"/>
          <w:szCs w:val="24"/>
        </w:rPr>
      </w:pPr>
      <w:r>
        <w:rPr>
          <w:rFonts w:hint="eastAsia" w:ascii="宋体" w:hAnsi="宋体" w:eastAsia="宋体"/>
          <w:sz w:val="24"/>
          <w:szCs w:val="24"/>
        </w:rPr>
        <w:t>新建结构单元与原结构宜采用分离式方案，新旧结构可分别规定设计工作年限和后续工作年限，各自结构体系应满足安全要求；结构防震缝设置应满足地震作用下变形要求；</w:t>
      </w:r>
    </w:p>
    <w:p>
      <w:pPr>
        <w:pStyle w:val="62"/>
        <w:numPr>
          <w:ilvl w:val="0"/>
          <w:numId w:val="10"/>
        </w:numPr>
        <w:spacing w:line="360" w:lineRule="auto"/>
        <w:ind w:left="840" w:firstLineChars="0"/>
        <w:rPr>
          <w:rFonts w:ascii="宋体" w:hAnsi="宋体" w:eastAsia="宋体"/>
          <w:sz w:val="24"/>
          <w:szCs w:val="24"/>
        </w:rPr>
      </w:pPr>
      <w:r>
        <w:rPr>
          <w:rFonts w:hint="eastAsia" w:ascii="宋体" w:hAnsi="宋体" w:eastAsia="宋体"/>
          <w:sz w:val="24"/>
          <w:szCs w:val="24"/>
        </w:rPr>
        <w:t>新建结构与原结构采用整体式方案时，新旧结构的设计工作年限宜一致，应采取可靠连接方案，保证新旧结构共同工作。</w:t>
      </w:r>
    </w:p>
    <w:p/>
    <w:p>
      <w:pPr>
        <w:snapToGrid w:val="0"/>
        <w:rPr>
          <w:rFonts w:ascii="宋体" w:hAnsi="宋体"/>
        </w:rPr>
      </w:pPr>
      <w:r>
        <w:rPr>
          <w:b/>
          <w:szCs w:val="24"/>
        </w:rPr>
        <w:t>6.3.7</w:t>
      </w:r>
      <w:r>
        <w:rPr>
          <w:b/>
          <w:szCs w:val="24"/>
        </w:rPr>
        <w:tab/>
      </w:r>
      <w:r>
        <w:rPr>
          <w:rFonts w:hint="eastAsia"/>
          <w:szCs w:val="24"/>
        </w:rPr>
        <w:t>老旧厂房更新改造</w:t>
      </w:r>
      <w:r>
        <w:rPr>
          <w:rFonts w:hint="eastAsia"/>
        </w:rPr>
        <w:t>宜保留原结构构件，应进行必要的维护加固；宜</w:t>
      </w:r>
      <w:r>
        <w:rPr>
          <w:rFonts w:hint="eastAsia" w:ascii="宋体" w:hAnsi="宋体"/>
        </w:rPr>
        <w:t>采用免拆模、低干预、加固体积小的结构加固新技术。</w:t>
      </w:r>
    </w:p>
    <w:p>
      <w:pPr>
        <w:snapToGrid w:val="0"/>
        <w:rPr>
          <w:rStyle w:val="64"/>
          <w:rFonts w:hint="default"/>
          <w:i/>
          <w:color w:val="auto"/>
        </w:rPr>
      </w:pPr>
    </w:p>
    <w:p>
      <w:pPr>
        <w:rPr>
          <w:rFonts w:ascii="宋体" w:hAnsi="宋体"/>
        </w:rPr>
      </w:pPr>
      <w:r>
        <w:rPr>
          <w:b/>
          <w:szCs w:val="24"/>
        </w:rPr>
        <w:t>6.3.8</w:t>
      </w:r>
      <w:r>
        <w:rPr>
          <w:szCs w:val="24"/>
        </w:rPr>
        <w:tab/>
      </w:r>
      <w:r>
        <w:rPr>
          <w:szCs w:val="24"/>
        </w:rPr>
        <w:t xml:space="preserve"> </w:t>
      </w:r>
      <w:r>
        <w:rPr>
          <w:rFonts w:hint="eastAsia" w:ascii="宋体" w:hAnsi="宋体"/>
        </w:rPr>
        <w:t>老旧厂房结构的加固设计，应与实际施工方法紧密结合，采取有效措施，保证新增构件和部件与原结构可靠连接，确保共同工作；并应避免对未加固部分，及相关的结构、构件和地基基础造成不利影响。</w:t>
      </w:r>
    </w:p>
    <w:p>
      <w:pPr>
        <w:rPr>
          <w:rFonts w:ascii="宋体" w:hAnsi="宋体"/>
        </w:rPr>
      </w:pPr>
    </w:p>
    <w:p>
      <w:pPr>
        <w:rPr>
          <w:rFonts w:ascii="宋体" w:hAnsi="宋体"/>
        </w:rPr>
      </w:pPr>
      <w:r>
        <w:rPr>
          <w:b/>
          <w:szCs w:val="24"/>
        </w:rPr>
        <w:t>6.3.9</w:t>
      </w:r>
      <w:r>
        <w:rPr>
          <w:szCs w:val="24"/>
        </w:rPr>
        <w:tab/>
      </w:r>
      <w:r>
        <w:rPr>
          <w:rFonts w:hint="eastAsia" w:ascii="宋体" w:hAnsi="宋体"/>
        </w:rPr>
        <w:t>工作年限到期后，当重新进行的可靠性鉴定认为该结构工作正常时，可继续延长其工作年限。</w:t>
      </w:r>
    </w:p>
    <w:p>
      <w:pPr>
        <w:rPr>
          <w:rFonts w:ascii="宋体" w:hAnsi="宋体"/>
        </w:rPr>
      </w:pPr>
    </w:p>
    <w:p>
      <w:pPr>
        <w:rPr>
          <w:rFonts w:ascii="宋体" w:hAnsi="宋体"/>
        </w:rPr>
      </w:pPr>
      <w:r>
        <w:rPr>
          <w:b/>
          <w:szCs w:val="24"/>
        </w:rPr>
        <w:t>6.3.10</w:t>
      </w:r>
      <w:r>
        <w:rPr>
          <w:szCs w:val="24"/>
        </w:rPr>
        <w:tab/>
      </w:r>
      <w:r>
        <w:rPr>
          <w:rFonts w:hint="eastAsia" w:ascii="宋体" w:hAnsi="宋体"/>
        </w:rPr>
        <w:t>老旧厂房更新改造设计应明确结构加固后的用途。在加固设计后续工作年限内，未经技术鉴定或设计许可，不应改变加固后结构的用途和使用环境。</w:t>
      </w:r>
    </w:p>
    <w:p>
      <w:pPr>
        <w:pStyle w:val="2"/>
        <w:pageBreakBefore/>
        <w:spacing w:before="156" w:beforeLines="50" w:after="156" w:afterLines="50" w:line="360" w:lineRule="auto"/>
        <w:jc w:val="center"/>
        <w:rPr>
          <w:rFonts w:ascii="宋体" w:hAnsi="宋体"/>
        </w:rPr>
      </w:pPr>
      <w:bookmarkStart w:id="205" w:name="_Toc109922329"/>
      <w:bookmarkEnd w:id="205"/>
      <w:bookmarkStart w:id="206" w:name="_Toc109923468"/>
      <w:bookmarkEnd w:id="206"/>
      <w:bookmarkStart w:id="207" w:name="_Toc109923557"/>
      <w:bookmarkEnd w:id="207"/>
      <w:bookmarkStart w:id="208" w:name="_Toc118884464"/>
      <w:bookmarkEnd w:id="208"/>
      <w:bookmarkStart w:id="209" w:name="_Toc129787101"/>
      <w:bookmarkEnd w:id="209"/>
      <w:bookmarkStart w:id="210" w:name="_Toc149330731"/>
      <w:bookmarkStart w:id="211" w:name="_Toc149331219"/>
      <w:bookmarkStart w:id="212" w:name="_Toc149556996"/>
      <w:bookmarkStart w:id="213" w:name="_Toc149557055"/>
      <w:bookmarkStart w:id="214" w:name="_Toc149557703"/>
      <w:bookmarkStart w:id="215" w:name="_Toc150176308"/>
      <w:bookmarkStart w:id="216" w:name="_Toc150176862"/>
      <w:bookmarkStart w:id="217" w:name="_Toc150177028"/>
      <w:bookmarkStart w:id="218" w:name="_Toc35162953"/>
      <w:bookmarkStart w:id="219" w:name="_Toc35023296"/>
      <w:bookmarkStart w:id="220" w:name="_Toc35162954"/>
      <w:bookmarkStart w:id="221" w:name="_Toc35023297"/>
      <w:r>
        <w:rPr>
          <w:rFonts w:ascii="宋体" w:hAnsi="宋体"/>
          <w:sz w:val="32"/>
        </w:rPr>
        <w:t xml:space="preserve">7  </w:t>
      </w:r>
      <w:r>
        <w:rPr>
          <w:rFonts w:hint="eastAsia" w:ascii="宋体" w:hAnsi="宋体"/>
          <w:sz w:val="32"/>
        </w:rPr>
        <w:t>机电设计</w:t>
      </w:r>
      <w:bookmarkEnd w:id="210"/>
      <w:bookmarkEnd w:id="211"/>
      <w:bookmarkEnd w:id="212"/>
      <w:bookmarkEnd w:id="213"/>
      <w:bookmarkEnd w:id="214"/>
      <w:bookmarkEnd w:id="215"/>
      <w:bookmarkEnd w:id="216"/>
      <w:bookmarkEnd w:id="217"/>
    </w:p>
    <w:p>
      <w:pPr>
        <w:pStyle w:val="3"/>
        <w:spacing w:after="156" w:afterLines="50" w:line="360" w:lineRule="auto"/>
        <w:rPr>
          <w:rFonts w:ascii="宋体" w:hAnsi="宋体"/>
          <w:b/>
          <w:sz w:val="28"/>
        </w:rPr>
      </w:pPr>
      <w:bookmarkStart w:id="222" w:name="_Toc149330732"/>
      <w:bookmarkStart w:id="223" w:name="_Toc149331220"/>
      <w:bookmarkStart w:id="224" w:name="_Toc149556997"/>
      <w:bookmarkStart w:id="225" w:name="_Toc149557056"/>
      <w:bookmarkStart w:id="226" w:name="_Toc149557704"/>
      <w:bookmarkStart w:id="227" w:name="_Toc150176309"/>
      <w:bookmarkStart w:id="228" w:name="_Toc150176863"/>
      <w:bookmarkStart w:id="229" w:name="_Toc150177029"/>
      <w:r>
        <w:rPr>
          <w:rFonts w:ascii="宋体" w:hAnsi="宋体"/>
          <w:b/>
          <w:sz w:val="28"/>
        </w:rPr>
        <w:t>7.1</w:t>
      </w:r>
      <w:r>
        <w:rPr>
          <w:rFonts w:hint="eastAsia" w:ascii="宋体" w:hAnsi="宋体"/>
          <w:b/>
          <w:sz w:val="28"/>
        </w:rPr>
        <w:t>一般规定</w:t>
      </w:r>
      <w:bookmarkEnd w:id="222"/>
      <w:bookmarkEnd w:id="223"/>
      <w:bookmarkEnd w:id="224"/>
      <w:bookmarkEnd w:id="225"/>
      <w:bookmarkEnd w:id="226"/>
      <w:bookmarkEnd w:id="227"/>
      <w:bookmarkEnd w:id="228"/>
      <w:bookmarkEnd w:id="229"/>
    </w:p>
    <w:p>
      <w:r>
        <w:rPr>
          <w:rFonts w:hint="eastAsia"/>
          <w:b/>
          <w:szCs w:val="24"/>
        </w:rPr>
        <w:t>7</w:t>
      </w:r>
      <w:r>
        <w:rPr>
          <w:b/>
          <w:szCs w:val="24"/>
        </w:rPr>
        <w:t xml:space="preserve">.1.1 </w:t>
      </w:r>
      <w:r>
        <w:rPr>
          <w:szCs w:val="24"/>
        </w:rPr>
        <w:tab/>
      </w:r>
      <w:r>
        <w:t>老旧厂房更新改造应对原有厂房的</w:t>
      </w:r>
      <w:r>
        <w:rPr>
          <w:rFonts w:hint="eastAsia"/>
        </w:rPr>
        <w:t>机电系统</w:t>
      </w:r>
      <w:r>
        <w:t>进行现场调查、评估，结合实际</w:t>
      </w:r>
      <w:r>
        <w:rPr>
          <w:rFonts w:hint="eastAsia"/>
        </w:rPr>
        <w:t>功能</w:t>
      </w:r>
      <w:r>
        <w:t>需求，制定更新改造</w:t>
      </w:r>
      <w:r>
        <w:rPr>
          <w:rFonts w:hint="eastAsia"/>
        </w:rPr>
        <w:t>方案</w:t>
      </w:r>
      <w:r>
        <w:t>。</w:t>
      </w:r>
    </w:p>
    <w:p>
      <w:pPr>
        <w:rPr>
          <w:i/>
        </w:rPr>
      </w:pPr>
    </w:p>
    <w:p>
      <w:r>
        <w:rPr>
          <w:b/>
          <w:szCs w:val="24"/>
        </w:rPr>
        <w:t xml:space="preserve">7.1.2 </w:t>
      </w:r>
      <w:r>
        <w:rPr>
          <w:szCs w:val="24"/>
        </w:rPr>
        <w:t xml:space="preserve"> </w:t>
      </w:r>
      <w:r>
        <w:rPr>
          <w:szCs w:val="24"/>
        </w:rPr>
        <w:tab/>
      </w:r>
      <w:r>
        <w:rPr>
          <w:rFonts w:hint="eastAsia"/>
        </w:rPr>
        <w:t>主要机电设备应充分利用现有设备的潜力，并应在现有设备不能满足使用需求、能效等级低于3级或低于现行能效标准规定的限定值时，予以更换。</w:t>
      </w:r>
    </w:p>
    <w:p>
      <w:pPr>
        <w:rPr>
          <w:i/>
        </w:rPr>
      </w:pPr>
    </w:p>
    <w:p>
      <w:r>
        <w:rPr>
          <w:b/>
          <w:szCs w:val="24"/>
        </w:rPr>
        <w:t xml:space="preserve">7.1.3 </w:t>
      </w:r>
      <w:r>
        <w:rPr>
          <w:szCs w:val="24"/>
        </w:rPr>
        <w:t xml:space="preserve"> </w:t>
      </w:r>
      <w:r>
        <w:rPr>
          <w:szCs w:val="24"/>
        </w:rPr>
        <w:tab/>
      </w:r>
      <w:r>
        <w:rPr>
          <w:rFonts w:hint="eastAsia"/>
        </w:rPr>
        <w:t>老旧厂房新增或更新的机电设备能效应符合国家现行标准《建筑节能与可再生能源利用通用规范》GB</w:t>
      </w:r>
      <w:r>
        <w:t>55015</w:t>
      </w:r>
      <w:r>
        <w:rPr>
          <w:rFonts w:hint="eastAsia"/>
        </w:rPr>
        <w:t>和《公共建筑节能设计标准》</w:t>
      </w:r>
      <w:r>
        <w:t>DB11/687</w:t>
      </w:r>
      <w:r>
        <w:rPr>
          <w:rFonts w:hint="eastAsia"/>
        </w:rPr>
        <w:t>的规定。</w:t>
      </w:r>
    </w:p>
    <w:p/>
    <w:p>
      <w:r>
        <w:rPr>
          <w:b/>
          <w:szCs w:val="24"/>
        </w:rPr>
        <w:t>7.1.4</w:t>
      </w:r>
      <w:r>
        <w:rPr>
          <w:szCs w:val="24"/>
        </w:rPr>
        <w:tab/>
      </w:r>
      <w:r>
        <w:rPr>
          <w:rFonts w:hint="eastAsia"/>
          <w:szCs w:val="24"/>
        </w:rPr>
        <w:t>老旧厂房更新</w:t>
      </w:r>
      <w:r>
        <w:rPr>
          <w:rFonts w:hint="eastAsia"/>
        </w:rPr>
        <w:t>改造应考虑施工过程对未改造区域使用功能的影响。</w:t>
      </w:r>
    </w:p>
    <w:p/>
    <w:p>
      <w:pPr>
        <w:pStyle w:val="3"/>
        <w:spacing w:after="156" w:afterLines="50" w:line="360" w:lineRule="auto"/>
        <w:rPr>
          <w:rFonts w:ascii="宋体" w:hAnsi="宋体"/>
          <w:b/>
          <w:bCs w:val="0"/>
          <w:sz w:val="28"/>
        </w:rPr>
      </w:pPr>
      <w:bookmarkStart w:id="230" w:name="_Toc149330733"/>
      <w:bookmarkStart w:id="231" w:name="_Toc149331221"/>
      <w:bookmarkStart w:id="232" w:name="_Toc149556998"/>
      <w:bookmarkStart w:id="233" w:name="_Toc149557057"/>
      <w:bookmarkStart w:id="234" w:name="_Toc149557705"/>
      <w:bookmarkStart w:id="235" w:name="_Toc150176310"/>
      <w:bookmarkStart w:id="236" w:name="_Toc150176864"/>
      <w:bookmarkStart w:id="237" w:name="_Toc150177030"/>
      <w:r>
        <w:rPr>
          <w:rFonts w:ascii="宋体" w:hAnsi="宋体"/>
          <w:b/>
          <w:sz w:val="28"/>
        </w:rPr>
        <w:t xml:space="preserve">7.2 </w:t>
      </w:r>
      <w:r>
        <w:rPr>
          <w:rFonts w:hint="eastAsia" w:ascii="宋体" w:hAnsi="宋体"/>
          <w:b/>
          <w:sz w:val="28"/>
        </w:rPr>
        <w:t>给水排水设计</w:t>
      </w:r>
      <w:bookmarkEnd w:id="230"/>
      <w:bookmarkEnd w:id="231"/>
      <w:bookmarkEnd w:id="232"/>
      <w:bookmarkEnd w:id="233"/>
      <w:bookmarkEnd w:id="234"/>
      <w:bookmarkEnd w:id="235"/>
      <w:bookmarkEnd w:id="236"/>
      <w:bookmarkEnd w:id="237"/>
    </w:p>
    <w:p>
      <w:r>
        <w:rPr>
          <w:b/>
          <w:szCs w:val="24"/>
        </w:rPr>
        <w:t>7.2.1</w:t>
      </w:r>
      <w:r>
        <w:rPr>
          <w:szCs w:val="24"/>
        </w:rPr>
        <w:tab/>
      </w:r>
      <w:r>
        <w:rPr>
          <w:szCs w:val="24"/>
        </w:rPr>
        <w:t xml:space="preserve"> </w:t>
      </w:r>
      <w:r>
        <w:rPr>
          <w:rFonts w:hint="eastAsia"/>
          <w:szCs w:val="24"/>
        </w:rPr>
        <w:t>老旧</w:t>
      </w:r>
      <w:r>
        <w:rPr>
          <w:rFonts w:hint="eastAsia"/>
        </w:rPr>
        <w:t>厂房更新改造应将室内生活给水系统与生产、消防给水系统分开设置；改造后有中水系统需求时，可将原生产、消防系统改造为中水系统。且应根据计量要求进行系统划分。</w:t>
      </w:r>
    </w:p>
    <w:p>
      <w:pPr>
        <w:rPr>
          <w:i/>
        </w:rPr>
      </w:pPr>
    </w:p>
    <w:p>
      <w:r>
        <w:rPr>
          <w:b/>
        </w:rPr>
        <w:t xml:space="preserve">7.2.2 </w:t>
      </w:r>
      <w:r>
        <w:tab/>
      </w:r>
      <w:r>
        <w:rPr>
          <w:rFonts w:hint="eastAsia"/>
        </w:rPr>
        <w:t xml:space="preserve"> 更新改造后加压供水设施扬程及流量应满足更新改造后的使用功能需求，并应根据国家现行标准《建筑给水排水设计标准》GB</w:t>
      </w:r>
      <w:r>
        <w:t xml:space="preserve"> 50015</w:t>
      </w:r>
      <w:r>
        <w:rPr>
          <w:rFonts w:hint="eastAsia"/>
        </w:rPr>
        <w:t>校核末端水压。</w:t>
      </w:r>
    </w:p>
    <w:p>
      <w:pPr>
        <w:rPr>
          <w:i/>
        </w:rPr>
      </w:pPr>
    </w:p>
    <w:p>
      <w:pPr>
        <w:rPr>
          <w:b/>
        </w:rPr>
      </w:pPr>
    </w:p>
    <w:p>
      <w:r>
        <w:rPr>
          <w:b/>
        </w:rPr>
        <w:t>7.2.3</w:t>
      </w:r>
      <w:r>
        <w:tab/>
      </w:r>
      <w:r>
        <w:rPr>
          <w:i/>
        </w:rPr>
        <w:t xml:space="preserve"> </w:t>
      </w:r>
      <w:r>
        <w:rPr>
          <w:rFonts w:hint="eastAsia"/>
        </w:rPr>
        <w:t>当更新改造后</w:t>
      </w:r>
      <w:r>
        <w:t>包含</w:t>
      </w:r>
      <w:r>
        <w:rPr>
          <w:rFonts w:hint="eastAsia"/>
        </w:rPr>
        <w:t>餐饮功能时，含油脂的餐饮污水应优先采用室内隔油设备进行处理，当无条件设置室内隔油设备时，可采用室外隔油池，隔油池设置位置应避开主要出入口，并应便于污物清掏运输。</w:t>
      </w:r>
    </w:p>
    <w:p>
      <w:pPr>
        <w:rPr>
          <w:i/>
        </w:rPr>
      </w:pPr>
    </w:p>
    <w:p>
      <w:r>
        <w:rPr>
          <w:b/>
        </w:rPr>
        <w:t>7.2.4</w:t>
      </w:r>
      <w:r>
        <w:tab/>
      </w:r>
      <w:r>
        <w:rPr>
          <w:rFonts w:hint="eastAsia"/>
        </w:rPr>
        <w:t>当原有屋面雨水排水系统继续使用时，应校核原有系统的排水能力，当原有系统不能满足继续使用要求时，应对屋面雨水系统进行改造。大型屋面必要时可采用虹吸雨水系统，并应按更新改造后的功能设置相应的溢流设施。</w:t>
      </w:r>
    </w:p>
    <w:p/>
    <w:p>
      <w:r>
        <w:rPr>
          <w:b/>
        </w:rPr>
        <w:t>7.2.5</w:t>
      </w:r>
      <w:r>
        <w:t xml:space="preserve">  </w:t>
      </w:r>
      <w:r>
        <w:tab/>
      </w:r>
      <w:r>
        <w:rPr>
          <w:rFonts w:hint="eastAsia"/>
        </w:rPr>
        <w:t>改造后厂区排水应采用雨污分流机制。</w:t>
      </w:r>
    </w:p>
    <w:p/>
    <w:p>
      <w:r>
        <w:rPr>
          <w:b/>
          <w:szCs w:val="24"/>
        </w:rPr>
        <w:t>7.2.6</w:t>
      </w:r>
      <w:r>
        <w:rPr>
          <w:b/>
          <w:szCs w:val="24"/>
        </w:rPr>
        <w:tab/>
      </w:r>
      <w:r>
        <w:rPr>
          <w:b/>
          <w:szCs w:val="24"/>
        </w:rPr>
        <w:t xml:space="preserve"> </w:t>
      </w:r>
      <w:r>
        <w:rPr>
          <w:rFonts w:hint="eastAsia"/>
        </w:rPr>
        <w:t>当原有给水排水系统的管材及配件不能满足继续使用要求时应进行更换。卫生间或其他用水点改造时，用水器具应更新，更新的用水器具水效等级和形式要求应符合现行地方标准《民用建筑节水设计标准》</w:t>
      </w:r>
      <w:r>
        <w:t>DB11/2076</w:t>
      </w:r>
      <w:r>
        <w:rPr>
          <w:rFonts w:hint="eastAsia"/>
        </w:rPr>
        <w:t>的规定。</w:t>
      </w:r>
    </w:p>
    <w:p/>
    <w:p>
      <w:pPr>
        <w:pStyle w:val="3"/>
        <w:spacing w:after="156" w:afterLines="50" w:line="360" w:lineRule="auto"/>
        <w:rPr>
          <w:rFonts w:ascii="宋体" w:hAnsi="宋体"/>
          <w:b/>
          <w:bCs w:val="0"/>
          <w:sz w:val="28"/>
        </w:rPr>
      </w:pPr>
      <w:bookmarkStart w:id="238" w:name="_Toc149330734"/>
      <w:bookmarkStart w:id="239" w:name="_Toc149331222"/>
      <w:bookmarkStart w:id="240" w:name="_Toc149556999"/>
      <w:bookmarkStart w:id="241" w:name="_Toc149557058"/>
      <w:bookmarkStart w:id="242" w:name="_Toc149557706"/>
      <w:bookmarkStart w:id="243" w:name="_Toc150176311"/>
      <w:bookmarkStart w:id="244" w:name="_Toc150176865"/>
      <w:bookmarkStart w:id="245" w:name="_Toc150177031"/>
      <w:r>
        <w:rPr>
          <w:rFonts w:ascii="宋体" w:hAnsi="宋体"/>
          <w:b/>
          <w:sz w:val="28"/>
        </w:rPr>
        <w:t xml:space="preserve">7.3 </w:t>
      </w:r>
      <w:r>
        <w:rPr>
          <w:rFonts w:hint="eastAsia" w:ascii="宋体" w:hAnsi="宋体"/>
          <w:b/>
          <w:sz w:val="28"/>
        </w:rPr>
        <w:t>供暖、通风与空调设计</w:t>
      </w:r>
      <w:bookmarkEnd w:id="238"/>
      <w:bookmarkEnd w:id="239"/>
      <w:bookmarkEnd w:id="240"/>
      <w:bookmarkEnd w:id="241"/>
      <w:bookmarkEnd w:id="242"/>
      <w:bookmarkEnd w:id="243"/>
      <w:bookmarkEnd w:id="244"/>
      <w:bookmarkEnd w:id="245"/>
    </w:p>
    <w:p>
      <w:r>
        <w:rPr>
          <w:b/>
          <w:szCs w:val="24"/>
        </w:rPr>
        <w:t>7.3.1</w:t>
      </w:r>
      <w:r>
        <w:rPr>
          <w:szCs w:val="24"/>
        </w:rPr>
        <w:t xml:space="preserve">  </w:t>
      </w:r>
      <w:r>
        <w:rPr>
          <w:szCs w:val="24"/>
        </w:rPr>
        <w:tab/>
      </w:r>
      <w:r>
        <w:rPr>
          <w:rFonts w:hint="eastAsia"/>
        </w:rPr>
        <w:t>应根据更新改造后的围护结构热工参数、房间功能等条件重新计算每个空调、供暖房间的冷、热负荷，应对现有供暖、空调系统进行校核。</w:t>
      </w:r>
    </w:p>
    <w:p/>
    <w:p>
      <w:r>
        <w:rPr>
          <w:b/>
          <w:szCs w:val="24"/>
        </w:rPr>
        <w:t>7.3.2</w:t>
      </w:r>
      <w:r>
        <w:rPr>
          <w:szCs w:val="24"/>
        </w:rPr>
        <w:tab/>
      </w:r>
      <w:r>
        <w:rPr>
          <w:rFonts w:hint="eastAsia"/>
        </w:rPr>
        <w:t>对于既有循环水泵的流量与扬程均大于改造后系统需求的输配系统宜采用水泵调节措施满足水泵能效比要求，改造后水泵效率应符合国家现行标准《建筑节能与可再生能源利用通用规范》GB</w:t>
      </w:r>
      <w:r>
        <w:t xml:space="preserve"> 55015</w:t>
      </w:r>
      <w:r>
        <w:rPr>
          <w:rFonts w:hint="eastAsia"/>
        </w:rPr>
        <w:t>及地方现行标准《公共建筑节能设计标准》DB</w:t>
      </w:r>
      <w:r>
        <w:t>11/687</w:t>
      </w:r>
      <w:r>
        <w:rPr>
          <w:rFonts w:hint="eastAsia"/>
        </w:rPr>
        <w:t>的规定。</w:t>
      </w:r>
    </w:p>
    <w:p>
      <w:pPr>
        <w:rPr>
          <w:i/>
        </w:rPr>
      </w:pPr>
    </w:p>
    <w:p>
      <w:r>
        <w:rPr>
          <w:b/>
          <w:szCs w:val="24"/>
        </w:rPr>
        <w:t xml:space="preserve">7.3.3  </w:t>
      </w:r>
      <w:r>
        <w:rPr>
          <w:szCs w:val="24"/>
        </w:rPr>
        <w:tab/>
      </w:r>
      <w:r>
        <w:rPr>
          <w:rFonts w:hint="eastAsia"/>
        </w:rPr>
        <w:t>供暖、通风与空调系统形式、气流组织应根据更新改造后的使用功能，并结合厂房现状综合确定。</w:t>
      </w:r>
    </w:p>
    <w:p/>
    <w:p>
      <w:r>
        <w:rPr>
          <w:b/>
          <w:szCs w:val="24"/>
        </w:rPr>
        <w:t xml:space="preserve">7.3.4 </w:t>
      </w:r>
      <w:r>
        <w:rPr>
          <w:szCs w:val="24"/>
        </w:rPr>
        <w:tab/>
      </w:r>
      <w:r>
        <w:rPr>
          <w:rFonts w:hint="eastAsia"/>
        </w:rPr>
        <w:t>当人员短暂停留的内部房间采用房中房布局，且外部房间功能为非人员密集场所时，可仅设置与外部房间的通风设施，内部房间换气量不应小于</w:t>
      </w:r>
      <w:r>
        <w:t>50m</w:t>
      </w:r>
      <w:r>
        <w:rPr>
          <w:vertAlign w:val="superscript"/>
        </w:rPr>
        <w:t>3</w:t>
      </w:r>
      <w:r>
        <w:t>/</w:t>
      </w:r>
      <w:r>
        <w:rPr>
          <w:rFonts w:hint="eastAsia"/>
        </w:rPr>
        <w:t>（</w:t>
      </w:r>
      <w:r>
        <w:t>h·</w:t>
      </w:r>
      <w:r>
        <w:rPr>
          <w:rFonts w:hint="eastAsia"/>
        </w:rPr>
        <w:t>人）；此时外部房间的新风量计算人员数量应为内、外房间人员数量之和，且新风量不应小于</w:t>
      </w:r>
      <w:r>
        <w:t>30 m</w:t>
      </w:r>
      <w:r>
        <w:rPr>
          <w:vertAlign w:val="superscript"/>
        </w:rPr>
        <w:t>3</w:t>
      </w:r>
      <w:r>
        <w:t>/</w:t>
      </w:r>
      <w:r>
        <w:rPr>
          <w:rFonts w:hint="eastAsia"/>
        </w:rPr>
        <w:t>（</w:t>
      </w:r>
      <w:r>
        <w:t>h·</w:t>
      </w:r>
      <w:r>
        <w:rPr>
          <w:rFonts w:hint="eastAsia"/>
        </w:rPr>
        <w:t>人）。</w:t>
      </w:r>
    </w:p>
    <w:p/>
    <w:p>
      <w:r>
        <w:rPr>
          <w:b/>
          <w:szCs w:val="24"/>
        </w:rPr>
        <w:t xml:space="preserve">7.3.5 </w:t>
      </w:r>
      <w:r>
        <w:rPr>
          <w:szCs w:val="24"/>
        </w:rPr>
        <w:tab/>
      </w:r>
      <w:r>
        <w:rPr>
          <w:szCs w:val="24"/>
        </w:rPr>
        <w:t xml:space="preserve"> </w:t>
      </w:r>
      <w:r>
        <w:rPr>
          <w:rFonts w:hint="eastAsia"/>
          <w:szCs w:val="24"/>
        </w:rPr>
        <w:t>当</w:t>
      </w:r>
      <w:r>
        <w:rPr>
          <w:rFonts w:hint="eastAsia"/>
        </w:rPr>
        <w:t>原老旧厂房为高大空间、改造后对冬季室内温度要求较高时，不宜单独采用对流型散热器供暖。</w:t>
      </w:r>
    </w:p>
    <w:p/>
    <w:p>
      <w:pPr>
        <w:adjustRightInd w:val="0"/>
        <w:snapToGrid w:val="0"/>
      </w:pPr>
      <w:r>
        <w:rPr>
          <w:b/>
          <w:szCs w:val="24"/>
        </w:rPr>
        <w:t xml:space="preserve">7.3.6 </w:t>
      </w:r>
      <w:r>
        <w:rPr>
          <w:szCs w:val="24"/>
        </w:rPr>
        <w:tab/>
      </w:r>
      <w:r>
        <w:rPr>
          <w:rFonts w:hint="eastAsia"/>
          <w:szCs w:val="24"/>
        </w:rPr>
        <w:t>当</w:t>
      </w:r>
      <w:r>
        <w:rPr>
          <w:rFonts w:hint="eastAsia"/>
        </w:rPr>
        <w:t>老旧厂房更新改造的空调系统室外设备设置在建筑物周边时，应分析设备噪声对本建筑及周围建筑的影响，宜进行相应的降噪处理，并应满足现行国家标准《建筑环境通用规范》</w:t>
      </w:r>
      <w:r>
        <w:t>GB 55016</w:t>
      </w:r>
      <w:r>
        <w:rPr>
          <w:rFonts w:hint="eastAsia"/>
        </w:rPr>
        <w:t>及《声环境质量标准》</w:t>
      </w:r>
      <w:r>
        <w:t xml:space="preserve">GB </w:t>
      </w:r>
      <w:r>
        <w:rPr>
          <w:rFonts w:hint="eastAsia"/>
        </w:rPr>
        <w:t>3096的</w:t>
      </w:r>
      <w:r>
        <w:t>相关规定</w:t>
      </w:r>
      <w:r>
        <w:rPr>
          <w:rFonts w:hint="eastAsia"/>
        </w:rPr>
        <w:t>。</w:t>
      </w:r>
    </w:p>
    <w:p>
      <w:pPr>
        <w:adjustRightInd w:val="0"/>
        <w:snapToGrid w:val="0"/>
        <w:rPr>
          <w:szCs w:val="24"/>
        </w:rPr>
      </w:pPr>
    </w:p>
    <w:bookmarkEnd w:id="218"/>
    <w:bookmarkEnd w:id="219"/>
    <w:bookmarkEnd w:id="220"/>
    <w:bookmarkEnd w:id="221"/>
    <w:p>
      <w:pPr>
        <w:pStyle w:val="3"/>
        <w:spacing w:after="156" w:afterLines="50" w:line="360" w:lineRule="auto"/>
        <w:rPr>
          <w:rFonts w:ascii="宋体" w:hAnsi="宋体"/>
          <w:b/>
          <w:bCs w:val="0"/>
          <w:sz w:val="28"/>
        </w:rPr>
      </w:pPr>
      <w:bookmarkStart w:id="246" w:name="_Toc109922336"/>
      <w:bookmarkEnd w:id="246"/>
      <w:bookmarkStart w:id="247" w:name="_Toc109923475"/>
      <w:bookmarkEnd w:id="247"/>
      <w:bookmarkStart w:id="248" w:name="_Toc109923564"/>
      <w:bookmarkEnd w:id="248"/>
      <w:bookmarkStart w:id="249" w:name="_Toc118884471"/>
      <w:bookmarkEnd w:id="249"/>
      <w:bookmarkStart w:id="250" w:name="_Toc129787108"/>
      <w:bookmarkEnd w:id="250"/>
      <w:bookmarkStart w:id="251" w:name="_Toc109922337"/>
      <w:bookmarkEnd w:id="251"/>
      <w:bookmarkStart w:id="252" w:name="_Toc109923476"/>
      <w:bookmarkEnd w:id="252"/>
      <w:bookmarkStart w:id="253" w:name="_Toc109923565"/>
      <w:bookmarkEnd w:id="253"/>
      <w:bookmarkStart w:id="254" w:name="_Toc118884472"/>
      <w:bookmarkEnd w:id="254"/>
      <w:bookmarkStart w:id="255" w:name="_Toc129787109"/>
      <w:bookmarkEnd w:id="255"/>
      <w:bookmarkStart w:id="256" w:name="_Toc143885085"/>
      <w:bookmarkStart w:id="257" w:name="_Toc149330735"/>
      <w:bookmarkStart w:id="258" w:name="_Toc149331223"/>
      <w:bookmarkStart w:id="259" w:name="_Toc149557000"/>
      <w:bookmarkStart w:id="260" w:name="_Toc149557059"/>
      <w:bookmarkStart w:id="261" w:name="_Toc149557707"/>
      <w:bookmarkStart w:id="262" w:name="_Toc150176312"/>
      <w:bookmarkStart w:id="263" w:name="_Toc150176866"/>
      <w:bookmarkStart w:id="264" w:name="_Toc150177032"/>
      <w:bookmarkStart w:id="265" w:name="_Toc35162956"/>
      <w:bookmarkStart w:id="266" w:name="_Toc35023299"/>
      <w:bookmarkStart w:id="267" w:name="_Toc35162957"/>
      <w:bookmarkStart w:id="268" w:name="_Toc35023300"/>
      <w:r>
        <w:rPr>
          <w:rFonts w:ascii="宋体" w:hAnsi="宋体"/>
          <w:b/>
          <w:sz w:val="28"/>
        </w:rPr>
        <w:t xml:space="preserve">7.4 </w:t>
      </w:r>
      <w:r>
        <w:rPr>
          <w:rFonts w:hint="eastAsia" w:ascii="宋体" w:hAnsi="宋体"/>
          <w:b/>
          <w:sz w:val="28"/>
        </w:rPr>
        <w:t>电气设计</w:t>
      </w:r>
      <w:bookmarkEnd w:id="256"/>
      <w:bookmarkEnd w:id="257"/>
      <w:bookmarkEnd w:id="258"/>
      <w:bookmarkEnd w:id="259"/>
      <w:bookmarkEnd w:id="260"/>
      <w:bookmarkEnd w:id="261"/>
      <w:bookmarkEnd w:id="262"/>
      <w:bookmarkEnd w:id="263"/>
      <w:bookmarkEnd w:id="264"/>
    </w:p>
    <w:p>
      <w:pPr>
        <w:rPr>
          <w:b/>
          <w:szCs w:val="24"/>
        </w:rPr>
      </w:pPr>
    </w:p>
    <w:p>
      <w:pPr>
        <w:rPr>
          <w:szCs w:val="24"/>
        </w:rPr>
      </w:pPr>
      <w:r>
        <w:rPr>
          <w:b/>
        </w:rPr>
        <w:t>7.4.1</w:t>
      </w:r>
      <w:r>
        <w:tab/>
      </w:r>
      <w:r>
        <w:rPr>
          <w:rFonts w:hint="eastAsia"/>
          <w:szCs w:val="24"/>
        </w:rPr>
        <w:t>老旧厂房更新改造供配电系统负荷分级应结合实际建筑功能确定。</w:t>
      </w:r>
    </w:p>
    <w:p>
      <w:pPr>
        <w:rPr>
          <w:szCs w:val="24"/>
        </w:rPr>
      </w:pPr>
    </w:p>
    <w:p>
      <w:pPr>
        <w:rPr>
          <w:szCs w:val="24"/>
        </w:rPr>
      </w:pPr>
      <w:r>
        <w:rPr>
          <w:b/>
        </w:rPr>
        <w:t xml:space="preserve">7.4.2 </w:t>
      </w:r>
      <w:r>
        <w:tab/>
      </w:r>
      <w:r>
        <w:rPr>
          <w:szCs w:val="24"/>
        </w:rPr>
        <w:t xml:space="preserve"> </w:t>
      </w:r>
      <w:r>
        <w:rPr>
          <w:rFonts w:hint="eastAsia"/>
          <w:szCs w:val="24"/>
        </w:rPr>
        <w:t>更新改造的老旧厂房变电所可考虑在既有变电所基础上进行改造，设置在地下空间的变电所，不应设置在最底层；如地下空间仅有一层时，变电所应采取防水、排水措施。</w:t>
      </w:r>
    </w:p>
    <w:p/>
    <w:p>
      <w:pPr>
        <w:rPr>
          <w:szCs w:val="24"/>
        </w:rPr>
      </w:pPr>
      <w:r>
        <w:rPr>
          <w:b/>
        </w:rPr>
        <w:t>7.4.3</w:t>
      </w:r>
      <w:r>
        <w:tab/>
      </w:r>
      <w:r>
        <w:rPr>
          <w:rFonts w:hint="eastAsia"/>
        </w:rPr>
        <w:t>老旧厂房更新改造的</w:t>
      </w:r>
      <w:r>
        <w:rPr>
          <w:rFonts w:hint="eastAsia"/>
          <w:szCs w:val="24"/>
        </w:rPr>
        <w:t>照明系统宜采用自然光和人工照明相结合的方式，</w:t>
      </w:r>
      <w:r>
        <w:rPr>
          <w:szCs w:val="24"/>
        </w:rPr>
        <w:t>并采取</w:t>
      </w:r>
      <w:r>
        <w:rPr>
          <w:rFonts w:hint="eastAsia"/>
          <w:szCs w:val="24"/>
        </w:rPr>
        <w:t>与建筑功能相</w:t>
      </w:r>
      <w:r>
        <w:rPr>
          <w:szCs w:val="24"/>
        </w:rPr>
        <w:t>适宜的控制方式</w:t>
      </w:r>
      <w:r>
        <w:rPr>
          <w:rFonts w:hint="eastAsia"/>
          <w:szCs w:val="24"/>
        </w:rPr>
        <w:t>。</w:t>
      </w:r>
    </w:p>
    <w:p>
      <w:pPr>
        <w:rPr>
          <w:i/>
        </w:rPr>
      </w:pPr>
    </w:p>
    <w:p>
      <w:pPr>
        <w:rPr>
          <w:szCs w:val="24"/>
        </w:rPr>
      </w:pPr>
      <w:r>
        <w:rPr>
          <w:b/>
        </w:rPr>
        <w:t>7.4.4</w:t>
      </w:r>
      <w:r>
        <w:tab/>
      </w:r>
      <w:r>
        <w:rPr>
          <w:rFonts w:hint="eastAsia"/>
          <w:szCs w:val="24"/>
        </w:rPr>
        <w:t>防雷接地系统应根据对原</w:t>
      </w:r>
      <w:r>
        <w:rPr>
          <w:szCs w:val="24"/>
        </w:rPr>
        <w:t>有</w:t>
      </w:r>
      <w:r>
        <w:rPr>
          <w:rFonts w:hint="eastAsia"/>
          <w:szCs w:val="24"/>
        </w:rPr>
        <w:t>防雷接地系统的实测评估结果、老旧厂房防雷</w:t>
      </w:r>
      <w:r>
        <w:rPr>
          <w:szCs w:val="24"/>
        </w:rPr>
        <w:t>接地系统现状</w:t>
      </w:r>
      <w:r>
        <w:rPr>
          <w:rFonts w:hint="eastAsia"/>
          <w:szCs w:val="24"/>
        </w:rPr>
        <w:t>及厂房屋面、墙体的结构形式确定更新改造技术方案。</w:t>
      </w:r>
    </w:p>
    <w:p>
      <w:pPr>
        <w:widowControl/>
        <w:jc w:val="left"/>
      </w:pPr>
    </w:p>
    <w:p>
      <w:pPr>
        <w:pStyle w:val="3"/>
        <w:spacing w:after="156" w:afterLines="50" w:line="360" w:lineRule="auto"/>
        <w:rPr>
          <w:rFonts w:ascii="宋体" w:hAnsi="宋体"/>
          <w:b/>
          <w:sz w:val="28"/>
        </w:rPr>
      </w:pPr>
      <w:bookmarkStart w:id="269" w:name="_Toc143885086"/>
      <w:bookmarkStart w:id="270" w:name="_Toc149330736"/>
      <w:bookmarkStart w:id="271" w:name="_Toc149331224"/>
      <w:bookmarkStart w:id="272" w:name="_Toc149557001"/>
      <w:bookmarkStart w:id="273" w:name="_Toc149557060"/>
      <w:bookmarkStart w:id="274" w:name="_Toc149557708"/>
      <w:bookmarkStart w:id="275" w:name="_Toc150176313"/>
      <w:bookmarkStart w:id="276" w:name="_Toc150176867"/>
      <w:bookmarkStart w:id="277" w:name="_Toc150177033"/>
      <w:r>
        <w:rPr>
          <w:rFonts w:ascii="宋体" w:hAnsi="宋体"/>
          <w:b/>
          <w:sz w:val="28"/>
        </w:rPr>
        <w:t>7.5 智能化</w:t>
      </w:r>
      <w:bookmarkEnd w:id="269"/>
      <w:r>
        <w:rPr>
          <w:rFonts w:hint="eastAsia" w:ascii="宋体" w:hAnsi="宋体"/>
          <w:b/>
          <w:sz w:val="28"/>
        </w:rPr>
        <w:t>设计</w:t>
      </w:r>
      <w:bookmarkEnd w:id="270"/>
      <w:bookmarkEnd w:id="271"/>
      <w:bookmarkEnd w:id="272"/>
      <w:bookmarkEnd w:id="273"/>
      <w:bookmarkEnd w:id="274"/>
      <w:bookmarkEnd w:id="275"/>
      <w:bookmarkEnd w:id="276"/>
      <w:bookmarkEnd w:id="277"/>
    </w:p>
    <w:p/>
    <w:p>
      <w:r>
        <w:rPr>
          <w:b/>
        </w:rPr>
        <w:t>7.5.1</w:t>
      </w:r>
      <w:r>
        <w:tab/>
      </w:r>
      <w:r>
        <w:rPr>
          <w:rFonts w:hint="eastAsia" w:ascii="宋体" w:hAnsi="宋体"/>
        </w:rPr>
        <w:t>老旧厂房</w:t>
      </w:r>
      <w:r>
        <w:rPr>
          <w:rFonts w:hint="eastAsia"/>
        </w:rPr>
        <w:t>智能化系统的设计应满足更新改造后建筑功能和物业管理的需求，并应符合国家现行标准《智能建筑设计标准》</w:t>
      </w:r>
      <w:r>
        <w:t>GB 50314</w:t>
      </w:r>
      <w:r>
        <w:rPr>
          <w:rFonts w:hint="eastAsia"/>
        </w:rPr>
        <w:t>的规定。</w:t>
      </w:r>
    </w:p>
    <w:p/>
    <w:p>
      <w:r>
        <w:rPr>
          <w:b/>
        </w:rPr>
        <w:t>7.5.2</w:t>
      </w:r>
      <w:r>
        <w:tab/>
      </w:r>
      <w:r>
        <w:rPr>
          <w:rFonts w:hint="eastAsia"/>
        </w:rPr>
        <w:t>智能化系统机房位置选址应根据通信外线进户方向、设备荷载、线路进出机房路由、机房运行环境等因素确定。</w:t>
      </w:r>
    </w:p>
    <w:p>
      <w:pPr>
        <w:rPr>
          <w:i/>
        </w:rPr>
      </w:pPr>
    </w:p>
    <w:p>
      <w:pPr>
        <w:pStyle w:val="62"/>
        <w:spacing w:line="360" w:lineRule="auto"/>
        <w:ind w:firstLine="0" w:firstLineChars="0"/>
        <w:rPr>
          <w:rFonts w:ascii="宋体" w:hAnsi="宋体" w:eastAsia="宋体"/>
          <w:sz w:val="24"/>
        </w:rPr>
      </w:pPr>
      <w:r>
        <w:rPr>
          <w:rFonts w:eastAsia="宋体"/>
          <w:b/>
          <w:kern w:val="0"/>
          <w:sz w:val="24"/>
          <w:szCs w:val="21"/>
        </w:rPr>
        <w:t>7.5.3</w:t>
      </w:r>
      <w:r>
        <w:rPr>
          <w:rFonts w:eastAsia="宋体"/>
          <w:kern w:val="0"/>
          <w:sz w:val="24"/>
          <w:szCs w:val="21"/>
        </w:rPr>
        <w:tab/>
      </w:r>
      <w:r>
        <w:rPr>
          <w:rFonts w:hint="eastAsia" w:ascii="宋体" w:hAnsi="宋体" w:eastAsia="宋体"/>
          <w:sz w:val="24"/>
        </w:rPr>
        <w:t>老旧厂房更新改造后的雷电防护等级，应根据建筑物内设置的防雷装置对雷电电磁脉冲的拦截效率或</w:t>
      </w:r>
      <w:r>
        <w:rPr>
          <w:rFonts w:ascii="宋体" w:hAnsi="宋体" w:eastAsia="宋体"/>
          <w:sz w:val="24"/>
        </w:rPr>
        <w:t>电子信息系统的重要性</w:t>
      </w:r>
      <w:r>
        <w:rPr>
          <w:rFonts w:hint="eastAsia" w:ascii="宋体" w:hAnsi="宋体" w:eastAsia="宋体"/>
          <w:sz w:val="24"/>
        </w:rPr>
        <w:t>确定，防护</w:t>
      </w:r>
      <w:r>
        <w:rPr>
          <w:rFonts w:ascii="宋体" w:hAnsi="宋体" w:eastAsia="宋体"/>
          <w:sz w:val="24"/>
        </w:rPr>
        <w:t>措施应符合现行国家</w:t>
      </w:r>
      <w:r>
        <w:rPr>
          <w:rFonts w:hint="eastAsia" w:ascii="宋体" w:hAnsi="宋体" w:eastAsia="宋体"/>
          <w:sz w:val="24"/>
        </w:rPr>
        <w:t>标准</w:t>
      </w:r>
      <w:r>
        <w:rPr>
          <w:rFonts w:ascii="宋体" w:hAnsi="宋体" w:eastAsia="宋体"/>
          <w:sz w:val="24"/>
        </w:rPr>
        <w:t>《建筑物电子信息系统防雷技术规范》</w:t>
      </w:r>
      <w:r>
        <w:rPr>
          <w:rFonts w:eastAsia="宋体"/>
          <w:kern w:val="0"/>
          <w:sz w:val="24"/>
          <w:szCs w:val="21"/>
        </w:rPr>
        <w:t>GB 50343</w:t>
      </w:r>
      <w:r>
        <w:rPr>
          <w:rFonts w:hint="eastAsia" w:ascii="宋体" w:hAnsi="宋体" w:eastAsia="宋体"/>
          <w:sz w:val="24"/>
        </w:rPr>
        <w:t>的规定</w:t>
      </w:r>
      <w:r>
        <w:rPr>
          <w:rFonts w:ascii="宋体" w:hAnsi="宋体" w:eastAsia="宋体"/>
          <w:sz w:val="24"/>
        </w:rPr>
        <w:t>。</w:t>
      </w:r>
    </w:p>
    <w:p>
      <w:pPr>
        <w:pStyle w:val="2"/>
        <w:pageBreakBefore/>
        <w:spacing w:before="156" w:beforeLines="50" w:after="156" w:afterLines="50" w:line="360" w:lineRule="auto"/>
        <w:jc w:val="center"/>
        <w:rPr>
          <w:rFonts w:ascii="宋体" w:hAnsi="宋体"/>
        </w:rPr>
      </w:pPr>
      <w:bookmarkStart w:id="278" w:name="_Toc149330737"/>
      <w:bookmarkStart w:id="279" w:name="_Toc149331225"/>
      <w:bookmarkStart w:id="280" w:name="_Toc149557002"/>
      <w:bookmarkStart w:id="281" w:name="_Toc149557061"/>
      <w:bookmarkStart w:id="282" w:name="_Toc149557709"/>
      <w:bookmarkStart w:id="283" w:name="_Toc150176314"/>
      <w:bookmarkStart w:id="284" w:name="_Toc150176868"/>
      <w:bookmarkStart w:id="285" w:name="_Toc150177034"/>
      <w:r>
        <w:rPr>
          <w:rFonts w:ascii="宋体" w:hAnsi="宋体"/>
          <w:sz w:val="32"/>
        </w:rPr>
        <w:t xml:space="preserve">8  </w:t>
      </w:r>
      <w:r>
        <w:rPr>
          <w:rFonts w:hint="eastAsia" w:ascii="宋体" w:hAnsi="宋体"/>
          <w:sz w:val="32"/>
        </w:rPr>
        <w:t>防火设计</w:t>
      </w:r>
      <w:bookmarkEnd w:id="278"/>
      <w:bookmarkEnd w:id="279"/>
      <w:bookmarkEnd w:id="280"/>
      <w:bookmarkEnd w:id="281"/>
      <w:bookmarkEnd w:id="282"/>
      <w:bookmarkEnd w:id="283"/>
      <w:bookmarkEnd w:id="284"/>
      <w:bookmarkEnd w:id="285"/>
    </w:p>
    <w:p>
      <w:pPr>
        <w:pStyle w:val="3"/>
        <w:spacing w:after="156" w:afterLines="50" w:line="360" w:lineRule="auto"/>
        <w:rPr>
          <w:rFonts w:ascii="宋体" w:hAnsi="宋体"/>
          <w:b/>
          <w:sz w:val="28"/>
        </w:rPr>
      </w:pPr>
      <w:bookmarkStart w:id="286" w:name="_Toc145967608"/>
      <w:bookmarkStart w:id="287" w:name="_Toc149330738"/>
      <w:bookmarkStart w:id="288" w:name="_Toc149331226"/>
      <w:bookmarkStart w:id="289" w:name="_Toc149557003"/>
      <w:bookmarkStart w:id="290" w:name="_Toc149557062"/>
      <w:bookmarkStart w:id="291" w:name="_Toc149557710"/>
      <w:bookmarkStart w:id="292" w:name="_Toc150176315"/>
      <w:bookmarkStart w:id="293" w:name="_Toc150176869"/>
      <w:bookmarkStart w:id="294" w:name="_Toc150177035"/>
      <w:r>
        <w:rPr>
          <w:rFonts w:ascii="宋体" w:hAnsi="宋体"/>
          <w:b/>
          <w:sz w:val="28"/>
        </w:rPr>
        <w:t xml:space="preserve">8.1 </w:t>
      </w:r>
      <w:r>
        <w:rPr>
          <w:rFonts w:hint="eastAsia" w:ascii="宋体" w:hAnsi="宋体"/>
          <w:b/>
          <w:sz w:val="28"/>
        </w:rPr>
        <w:t>一般规定</w:t>
      </w:r>
      <w:bookmarkEnd w:id="286"/>
      <w:bookmarkEnd w:id="287"/>
      <w:bookmarkEnd w:id="288"/>
      <w:bookmarkEnd w:id="289"/>
      <w:bookmarkEnd w:id="290"/>
      <w:bookmarkEnd w:id="291"/>
      <w:bookmarkEnd w:id="292"/>
      <w:bookmarkEnd w:id="293"/>
      <w:bookmarkEnd w:id="294"/>
    </w:p>
    <w:p>
      <w:pPr>
        <w:snapToGrid w:val="0"/>
        <w:rPr>
          <w:szCs w:val="24"/>
        </w:rPr>
      </w:pPr>
      <w:r>
        <w:rPr>
          <w:b/>
          <w:szCs w:val="24"/>
        </w:rPr>
        <w:t>8.1.1</w:t>
      </w:r>
      <w:r>
        <w:rPr>
          <w:szCs w:val="24"/>
        </w:rPr>
        <w:t xml:space="preserve">  </w:t>
      </w:r>
      <w:r>
        <w:rPr>
          <w:szCs w:val="24"/>
        </w:rPr>
        <w:tab/>
      </w:r>
      <w:r>
        <w:rPr>
          <w:rFonts w:hint="eastAsia"/>
          <w:szCs w:val="24"/>
        </w:rPr>
        <w:t>老旧厂房更新改造实施前应进行消防安全评估。</w:t>
      </w:r>
    </w:p>
    <w:p>
      <w:pPr>
        <w:snapToGrid w:val="0"/>
        <w:rPr>
          <w:i/>
          <w:szCs w:val="24"/>
        </w:rPr>
      </w:pPr>
    </w:p>
    <w:p>
      <w:pPr>
        <w:snapToGrid w:val="0"/>
        <w:rPr>
          <w:szCs w:val="24"/>
        </w:rPr>
      </w:pPr>
      <w:r>
        <w:rPr>
          <w:b/>
          <w:szCs w:val="24"/>
        </w:rPr>
        <w:t>8.1.2</w:t>
      </w:r>
      <w:r>
        <w:rPr>
          <w:szCs w:val="24"/>
        </w:rPr>
        <w:t xml:space="preserve"> </w:t>
      </w:r>
      <w:r>
        <w:rPr>
          <w:szCs w:val="24"/>
        </w:rPr>
        <w:tab/>
      </w:r>
      <w:r>
        <w:rPr>
          <w:rFonts w:hint="eastAsia"/>
          <w:szCs w:val="24"/>
        </w:rPr>
        <w:t>老旧厂房更新改造的防火设计，当出现下列情况之一时，可申请进行特殊消防设计：</w:t>
      </w:r>
    </w:p>
    <w:p>
      <w:pPr>
        <w:pStyle w:val="62"/>
        <w:numPr>
          <w:ilvl w:val="0"/>
          <w:numId w:val="11"/>
        </w:numPr>
        <w:spacing w:line="360" w:lineRule="auto"/>
        <w:ind w:left="840" w:firstLineChars="0"/>
        <w:rPr>
          <w:rFonts w:ascii="宋体" w:hAnsi="宋体" w:eastAsia="宋体"/>
          <w:sz w:val="24"/>
          <w:szCs w:val="24"/>
        </w:rPr>
      </w:pPr>
      <w:r>
        <w:rPr>
          <w:rFonts w:hint="eastAsia" w:ascii="宋体" w:hAnsi="宋体" w:eastAsia="宋体"/>
          <w:sz w:val="24"/>
          <w:szCs w:val="24"/>
        </w:rPr>
        <w:t>更新改造工程涉及工业遗产类老旧厂房的；</w:t>
      </w:r>
    </w:p>
    <w:p>
      <w:pPr>
        <w:pStyle w:val="62"/>
        <w:numPr>
          <w:ilvl w:val="0"/>
          <w:numId w:val="11"/>
        </w:numPr>
        <w:spacing w:line="360" w:lineRule="auto"/>
        <w:ind w:left="840" w:firstLineChars="0"/>
        <w:rPr>
          <w:rFonts w:ascii="宋体" w:hAnsi="宋体" w:eastAsia="宋体"/>
          <w:sz w:val="24"/>
          <w:szCs w:val="24"/>
        </w:rPr>
      </w:pPr>
      <w:r>
        <w:rPr>
          <w:rFonts w:hint="eastAsia" w:ascii="宋体" w:hAnsi="宋体" w:eastAsia="宋体"/>
          <w:sz w:val="24"/>
          <w:szCs w:val="24"/>
        </w:rPr>
        <w:t>其他经消防安全评估确有困难的。</w:t>
      </w:r>
    </w:p>
    <w:p>
      <w:pPr>
        <w:snapToGrid w:val="0"/>
        <w:rPr>
          <w:szCs w:val="24"/>
        </w:rPr>
      </w:pPr>
    </w:p>
    <w:p>
      <w:pPr>
        <w:pStyle w:val="3"/>
        <w:spacing w:after="156" w:afterLines="50" w:line="360" w:lineRule="auto"/>
        <w:rPr>
          <w:rFonts w:ascii="宋体" w:hAnsi="宋体"/>
          <w:b/>
          <w:sz w:val="28"/>
        </w:rPr>
      </w:pPr>
      <w:bookmarkStart w:id="295" w:name="_Toc145967609"/>
      <w:bookmarkStart w:id="296" w:name="_Toc149330739"/>
      <w:bookmarkStart w:id="297" w:name="_Toc149331227"/>
      <w:bookmarkStart w:id="298" w:name="_Toc149557004"/>
      <w:bookmarkStart w:id="299" w:name="_Toc149557063"/>
      <w:bookmarkStart w:id="300" w:name="_Toc149557711"/>
      <w:bookmarkStart w:id="301" w:name="_Toc150176316"/>
      <w:bookmarkStart w:id="302" w:name="_Toc150176870"/>
      <w:bookmarkStart w:id="303" w:name="_Toc150177036"/>
      <w:r>
        <w:rPr>
          <w:rFonts w:ascii="宋体" w:hAnsi="宋体"/>
          <w:b/>
          <w:sz w:val="28"/>
        </w:rPr>
        <w:t xml:space="preserve">8.2 </w:t>
      </w:r>
      <w:r>
        <w:rPr>
          <w:rFonts w:hint="eastAsia" w:ascii="宋体" w:hAnsi="宋体"/>
          <w:b/>
          <w:sz w:val="28"/>
        </w:rPr>
        <w:t>建筑防火</w:t>
      </w:r>
      <w:bookmarkEnd w:id="295"/>
      <w:bookmarkEnd w:id="296"/>
      <w:bookmarkEnd w:id="297"/>
      <w:bookmarkEnd w:id="298"/>
      <w:bookmarkEnd w:id="299"/>
      <w:bookmarkEnd w:id="300"/>
      <w:bookmarkEnd w:id="301"/>
      <w:bookmarkEnd w:id="302"/>
      <w:bookmarkEnd w:id="303"/>
    </w:p>
    <w:p>
      <w:pPr>
        <w:snapToGrid w:val="0"/>
        <w:rPr>
          <w:szCs w:val="24"/>
        </w:rPr>
      </w:pPr>
      <w:r>
        <w:rPr>
          <w:b/>
          <w:szCs w:val="24"/>
        </w:rPr>
        <w:t>8.2.1</w:t>
      </w:r>
      <w:r>
        <w:rPr>
          <w:szCs w:val="24"/>
        </w:rPr>
        <w:tab/>
      </w:r>
      <w:r>
        <w:rPr>
          <w:rFonts w:hint="eastAsia"/>
          <w:szCs w:val="24"/>
        </w:rPr>
        <w:t>老旧厂房更新改造新建部分的防火间距应符合现行</w:t>
      </w:r>
      <w:bookmarkStart w:id="304" w:name="_Hlk150079007"/>
      <w:r>
        <w:rPr>
          <w:rFonts w:hint="eastAsia"/>
          <w:szCs w:val="24"/>
        </w:rPr>
        <w:t>国家标准《建筑防火通用规范》</w:t>
      </w:r>
      <w:r>
        <w:rPr>
          <w:szCs w:val="24"/>
        </w:rPr>
        <w:t>GB55037</w:t>
      </w:r>
      <w:r>
        <w:rPr>
          <w:rFonts w:hint="eastAsia"/>
          <w:szCs w:val="24"/>
        </w:rPr>
        <w:t>和《建筑设计防火规范》</w:t>
      </w:r>
      <w:r>
        <w:rPr>
          <w:szCs w:val="24"/>
        </w:rPr>
        <w:t>GB50016</w:t>
      </w:r>
      <w:r>
        <w:rPr>
          <w:rFonts w:hint="eastAsia"/>
          <w:szCs w:val="24"/>
        </w:rPr>
        <w:t>的</w:t>
      </w:r>
      <w:bookmarkEnd w:id="304"/>
      <w:r>
        <w:rPr>
          <w:rFonts w:hint="eastAsia"/>
          <w:szCs w:val="24"/>
        </w:rPr>
        <w:t>规定。工业遗产类及具有较高价值的老旧厂房中保留建筑的防火间距可维持现状，同时应明确可能的火灾危害及其加强措施。</w:t>
      </w:r>
    </w:p>
    <w:p/>
    <w:p>
      <w:pPr>
        <w:snapToGrid w:val="0"/>
        <w:rPr>
          <w:szCs w:val="24"/>
        </w:rPr>
      </w:pPr>
      <w:r>
        <w:rPr>
          <w:b/>
          <w:szCs w:val="24"/>
        </w:rPr>
        <w:t>8.2.</w:t>
      </w:r>
      <w:r>
        <w:rPr>
          <w:rFonts w:hint="eastAsia"/>
          <w:b/>
          <w:szCs w:val="24"/>
        </w:rPr>
        <w:t>2</w:t>
      </w:r>
      <w:r>
        <w:rPr>
          <w:b/>
          <w:szCs w:val="24"/>
        </w:rPr>
        <w:t xml:space="preserve"> </w:t>
      </w:r>
      <w:r>
        <w:rPr>
          <w:szCs w:val="24"/>
        </w:rPr>
        <w:tab/>
      </w:r>
      <w:r>
        <w:rPr>
          <w:rFonts w:hint="eastAsia"/>
          <w:szCs w:val="24"/>
        </w:rPr>
        <w:t>老旧厂房更新改造中钢结构构件的耐火极限应符合现行国家规范《建筑防火通用规范》GB55037和《建筑设计防火规范》GB50016的规定，当采用防火涂料进行防火保护时，可采用膨胀型钢结构防火涂料。</w:t>
      </w:r>
    </w:p>
    <w:p>
      <w:pPr>
        <w:snapToGrid w:val="0"/>
        <w:rPr>
          <w:rFonts w:ascii="宋体" w:hAnsi="宋体"/>
          <w:i/>
        </w:rPr>
      </w:pPr>
    </w:p>
    <w:p>
      <w:pPr>
        <w:snapToGrid w:val="0"/>
        <w:rPr>
          <w:szCs w:val="24"/>
        </w:rPr>
      </w:pPr>
      <w:r>
        <w:rPr>
          <w:b/>
          <w:szCs w:val="24"/>
        </w:rPr>
        <w:t>8.2.3</w:t>
      </w:r>
      <w:r>
        <w:rPr>
          <w:szCs w:val="24"/>
        </w:rPr>
        <w:t xml:space="preserve">  </w:t>
      </w:r>
      <w:r>
        <w:rPr>
          <w:szCs w:val="24"/>
        </w:rPr>
        <w:tab/>
      </w:r>
      <w:r>
        <w:rPr>
          <w:szCs w:val="24"/>
        </w:rPr>
        <w:t xml:space="preserve"> </w:t>
      </w:r>
      <w:r>
        <w:rPr>
          <w:rFonts w:hint="eastAsia"/>
          <w:szCs w:val="24"/>
        </w:rPr>
        <w:t>老旧厂房更新改造中承受竖向荷载的加固构件耐火极限应符合现行国家规范《建筑防火通用规范》</w:t>
      </w:r>
      <w:r>
        <w:rPr>
          <w:szCs w:val="24"/>
        </w:rPr>
        <w:t>GB55037</w:t>
      </w:r>
      <w:r>
        <w:rPr>
          <w:rFonts w:hint="eastAsia"/>
          <w:szCs w:val="24"/>
        </w:rPr>
        <w:t>和《建筑设计防火规范》</w:t>
      </w:r>
      <w:r>
        <w:rPr>
          <w:szCs w:val="24"/>
        </w:rPr>
        <w:t>GB50016</w:t>
      </w:r>
      <w:r>
        <w:rPr>
          <w:rFonts w:hint="eastAsia"/>
          <w:szCs w:val="24"/>
        </w:rPr>
        <w:t>的规定，仅用于抗震加固的不承受竖向荷载的新增构件可不进行防火保护；承受竖向荷载作用的消能器应按主体结构的要求进行防火保护，不承受竖向荷载的消能器可不进行防火保护。</w:t>
      </w:r>
    </w:p>
    <w:p>
      <w:pPr>
        <w:snapToGrid w:val="0"/>
        <w:rPr>
          <w:szCs w:val="24"/>
        </w:rPr>
      </w:pPr>
    </w:p>
    <w:p>
      <w:pPr>
        <w:snapToGrid w:val="0"/>
        <w:rPr>
          <w:szCs w:val="24"/>
        </w:rPr>
      </w:pPr>
      <w:r>
        <w:rPr>
          <w:b/>
          <w:szCs w:val="24"/>
        </w:rPr>
        <w:t xml:space="preserve">8.2.4  </w:t>
      </w:r>
      <w:r>
        <w:rPr>
          <w:szCs w:val="24"/>
        </w:rPr>
        <w:tab/>
      </w:r>
      <w:r>
        <w:rPr>
          <w:rFonts w:hint="eastAsia"/>
          <w:szCs w:val="24"/>
        </w:rPr>
        <w:t>当保留的老旧厂房建筑高度大于</w:t>
      </w:r>
      <w:r>
        <w:rPr>
          <w:szCs w:val="24"/>
        </w:rPr>
        <w:t>24m</w:t>
      </w:r>
      <w:r>
        <w:rPr>
          <w:rFonts w:hint="eastAsia"/>
          <w:szCs w:val="24"/>
        </w:rPr>
        <w:t>、但人员活动的最高楼层到室外地坪的相对高度不大于</w:t>
      </w:r>
      <w:r>
        <w:rPr>
          <w:szCs w:val="24"/>
        </w:rPr>
        <w:t>18m</w:t>
      </w:r>
      <w:r>
        <w:rPr>
          <w:rFonts w:hint="eastAsia"/>
          <w:szCs w:val="24"/>
        </w:rPr>
        <w:t>时，可按多层建筑进行人员疏散及救援设计。</w:t>
      </w:r>
    </w:p>
    <w:p>
      <w:pPr>
        <w:snapToGrid w:val="0"/>
        <w:rPr>
          <w:szCs w:val="24"/>
        </w:rPr>
      </w:pPr>
    </w:p>
    <w:p>
      <w:pPr>
        <w:pStyle w:val="3"/>
        <w:spacing w:after="156" w:afterLines="50" w:line="360" w:lineRule="auto"/>
        <w:rPr>
          <w:rFonts w:ascii="宋体" w:hAnsi="宋体"/>
          <w:b/>
          <w:sz w:val="28"/>
        </w:rPr>
      </w:pPr>
      <w:bookmarkStart w:id="305" w:name="_Toc145967610"/>
      <w:bookmarkStart w:id="306" w:name="_Toc149330740"/>
      <w:bookmarkStart w:id="307" w:name="_Toc149331228"/>
      <w:bookmarkStart w:id="308" w:name="_Toc149557005"/>
      <w:bookmarkStart w:id="309" w:name="_Toc149557064"/>
      <w:bookmarkStart w:id="310" w:name="_Toc149557712"/>
      <w:bookmarkStart w:id="311" w:name="_Toc150176317"/>
      <w:bookmarkStart w:id="312" w:name="_Toc150176871"/>
      <w:bookmarkStart w:id="313" w:name="_Toc150177037"/>
      <w:r>
        <w:rPr>
          <w:rFonts w:ascii="宋体" w:hAnsi="宋体"/>
          <w:b/>
          <w:sz w:val="28"/>
        </w:rPr>
        <w:t xml:space="preserve">8.3 </w:t>
      </w:r>
      <w:r>
        <w:rPr>
          <w:rFonts w:hint="eastAsia" w:ascii="宋体" w:hAnsi="宋体"/>
          <w:b/>
          <w:sz w:val="28"/>
        </w:rPr>
        <w:t>消防设施与消防供电</w:t>
      </w:r>
      <w:bookmarkEnd w:id="305"/>
      <w:bookmarkEnd w:id="306"/>
      <w:bookmarkEnd w:id="307"/>
      <w:bookmarkEnd w:id="308"/>
      <w:bookmarkEnd w:id="309"/>
      <w:bookmarkEnd w:id="310"/>
      <w:bookmarkEnd w:id="311"/>
      <w:bookmarkEnd w:id="312"/>
      <w:bookmarkEnd w:id="313"/>
    </w:p>
    <w:p>
      <w:pPr>
        <w:snapToGrid w:val="0"/>
        <w:rPr>
          <w:szCs w:val="24"/>
        </w:rPr>
      </w:pPr>
      <w:r>
        <w:rPr>
          <w:b/>
          <w:szCs w:val="24"/>
        </w:rPr>
        <w:t>8.3.1</w:t>
      </w:r>
      <w:r>
        <w:rPr>
          <w:b/>
          <w:szCs w:val="24"/>
        </w:rPr>
        <w:tab/>
      </w:r>
      <w:r>
        <w:rPr>
          <w:rFonts w:hint="eastAsia"/>
          <w:szCs w:val="24"/>
        </w:rPr>
        <w:t>老旧厂房更新改造中消防水池有效容积应</w:t>
      </w:r>
      <w:bookmarkStart w:id="314" w:name="_Hlk150080538"/>
      <w:r>
        <w:rPr>
          <w:rFonts w:hint="eastAsia"/>
          <w:szCs w:val="24"/>
        </w:rPr>
        <w:t>符合国家现行标准《消防设施通用规范》</w:t>
      </w:r>
      <w:r>
        <w:rPr>
          <w:szCs w:val="24"/>
        </w:rPr>
        <w:t xml:space="preserve"> GB55036</w:t>
      </w:r>
      <w:r>
        <w:rPr>
          <w:rFonts w:hint="eastAsia"/>
          <w:szCs w:val="24"/>
        </w:rPr>
        <w:t>和《消防给水及消火栓系统技术规范》</w:t>
      </w:r>
      <w:r>
        <w:rPr>
          <w:szCs w:val="24"/>
        </w:rPr>
        <w:t xml:space="preserve"> GB50974</w:t>
      </w:r>
      <w:r>
        <w:rPr>
          <w:rFonts w:hint="eastAsia"/>
          <w:szCs w:val="24"/>
        </w:rPr>
        <w:t>的</w:t>
      </w:r>
      <w:bookmarkEnd w:id="314"/>
      <w:r>
        <w:rPr>
          <w:rFonts w:hint="eastAsia"/>
          <w:szCs w:val="24"/>
        </w:rPr>
        <w:t>规定。当工业遗产类老旧厂房经消防安全评估确有困难的，可维持原消防水池的有效容积，并应采取下列补水措施：</w:t>
      </w:r>
    </w:p>
    <w:p>
      <w:pPr>
        <w:pStyle w:val="62"/>
        <w:numPr>
          <w:ilvl w:val="0"/>
          <w:numId w:val="12"/>
        </w:numPr>
        <w:spacing w:line="360" w:lineRule="auto"/>
        <w:ind w:left="840" w:firstLineChars="0"/>
        <w:rPr>
          <w:rFonts w:ascii="宋体" w:hAnsi="宋体" w:eastAsia="宋体"/>
          <w:sz w:val="24"/>
          <w:szCs w:val="24"/>
        </w:rPr>
      </w:pPr>
      <w:r>
        <w:rPr>
          <w:rFonts w:hint="eastAsia" w:ascii="宋体" w:hAnsi="宋体" w:eastAsia="宋体"/>
          <w:sz w:val="24"/>
          <w:szCs w:val="24"/>
        </w:rPr>
        <w:t>采用两路消防供水的市政给水管网。</w:t>
      </w:r>
    </w:p>
    <w:p>
      <w:pPr>
        <w:pStyle w:val="62"/>
        <w:numPr>
          <w:ilvl w:val="0"/>
          <w:numId w:val="12"/>
        </w:numPr>
        <w:spacing w:line="360" w:lineRule="auto"/>
        <w:ind w:left="840" w:firstLineChars="0"/>
        <w:rPr>
          <w:rFonts w:ascii="宋体" w:hAnsi="宋体" w:eastAsia="宋体"/>
          <w:sz w:val="24"/>
          <w:szCs w:val="24"/>
        </w:rPr>
      </w:pPr>
      <w:r>
        <w:rPr>
          <w:rFonts w:hint="eastAsia" w:ascii="宋体" w:hAnsi="宋体" w:eastAsia="宋体"/>
          <w:sz w:val="24"/>
          <w:szCs w:val="24"/>
        </w:rPr>
        <w:t>消防水池采用两路消防给水且在火灾情况下两路连续补水流量能满足消防用水量的要求。</w:t>
      </w:r>
    </w:p>
    <w:p>
      <w:pPr>
        <w:snapToGrid w:val="0"/>
        <w:rPr>
          <w:i/>
          <w:szCs w:val="24"/>
        </w:rPr>
      </w:pPr>
    </w:p>
    <w:p>
      <w:pPr>
        <w:snapToGrid w:val="0"/>
        <w:rPr>
          <w:szCs w:val="24"/>
        </w:rPr>
      </w:pPr>
      <w:r>
        <w:rPr>
          <w:b/>
          <w:szCs w:val="24"/>
        </w:rPr>
        <w:t>8.3.2</w:t>
      </w:r>
      <w:r>
        <w:rPr>
          <w:b/>
          <w:szCs w:val="24"/>
        </w:rPr>
        <w:tab/>
      </w:r>
      <w:r>
        <w:rPr>
          <w:szCs w:val="24"/>
        </w:rPr>
        <w:t xml:space="preserve"> </w:t>
      </w:r>
      <w:r>
        <w:rPr>
          <w:rFonts w:hint="eastAsia"/>
          <w:szCs w:val="24"/>
        </w:rPr>
        <w:t>工业遗产类老旧厂房的原有高位消防水箱容积难以按现行国家标准《消防设施通用规范》</w:t>
      </w:r>
      <w:r>
        <w:rPr>
          <w:szCs w:val="24"/>
        </w:rPr>
        <w:t>GB55036</w:t>
      </w:r>
      <w:r>
        <w:rPr>
          <w:rFonts w:hint="eastAsia"/>
          <w:szCs w:val="24"/>
        </w:rPr>
        <w:t>和《消防给水及消火栓系统技术规范》</w:t>
      </w:r>
      <w:r>
        <w:rPr>
          <w:szCs w:val="24"/>
        </w:rPr>
        <w:t>GB50974</w:t>
      </w:r>
      <w:r>
        <w:rPr>
          <w:rFonts w:hint="eastAsia"/>
          <w:szCs w:val="24"/>
        </w:rPr>
        <w:t>的要求增加时，在同时满足下列条件时可维持不变：</w:t>
      </w:r>
    </w:p>
    <w:p>
      <w:pPr>
        <w:pStyle w:val="62"/>
        <w:numPr>
          <w:ilvl w:val="0"/>
          <w:numId w:val="13"/>
        </w:numPr>
        <w:spacing w:line="360" w:lineRule="auto"/>
        <w:ind w:left="840" w:firstLineChars="0"/>
        <w:rPr>
          <w:rFonts w:ascii="宋体" w:hAnsi="宋体" w:eastAsia="宋体"/>
          <w:sz w:val="24"/>
          <w:szCs w:val="24"/>
        </w:rPr>
      </w:pPr>
      <w:r>
        <w:rPr>
          <w:rFonts w:hint="eastAsia" w:ascii="宋体" w:hAnsi="宋体" w:eastAsia="宋体"/>
          <w:sz w:val="24"/>
          <w:szCs w:val="24"/>
        </w:rPr>
        <w:t>改造后为非人员密集场所；</w:t>
      </w:r>
    </w:p>
    <w:p>
      <w:pPr>
        <w:pStyle w:val="62"/>
        <w:numPr>
          <w:ilvl w:val="0"/>
          <w:numId w:val="13"/>
        </w:numPr>
        <w:spacing w:line="360" w:lineRule="auto"/>
        <w:ind w:left="840" w:firstLineChars="0"/>
        <w:rPr>
          <w:rFonts w:ascii="宋体" w:hAnsi="宋体" w:eastAsia="宋体"/>
          <w:sz w:val="24"/>
          <w:szCs w:val="24"/>
        </w:rPr>
      </w:pPr>
      <w:r>
        <w:rPr>
          <w:rFonts w:hint="eastAsia" w:ascii="宋体" w:hAnsi="宋体" w:eastAsia="宋体"/>
          <w:sz w:val="24"/>
          <w:szCs w:val="24"/>
        </w:rPr>
        <w:t>改造后为非库房等火灾荷载集中的场所。</w:t>
      </w:r>
    </w:p>
    <w:p>
      <w:pPr>
        <w:snapToGrid w:val="0"/>
        <w:rPr>
          <w:i/>
          <w:szCs w:val="24"/>
        </w:rPr>
      </w:pPr>
    </w:p>
    <w:p>
      <w:pPr>
        <w:rPr>
          <w:szCs w:val="24"/>
        </w:rPr>
      </w:pPr>
      <w:r>
        <w:rPr>
          <w:b/>
          <w:szCs w:val="24"/>
        </w:rPr>
        <w:t>8.3.3</w:t>
      </w:r>
      <w:r>
        <w:rPr>
          <w:szCs w:val="24"/>
        </w:rPr>
        <w:tab/>
      </w:r>
      <w:r>
        <w:rPr>
          <w:szCs w:val="24"/>
        </w:rPr>
        <w:t xml:space="preserve"> </w:t>
      </w:r>
      <w:r>
        <w:rPr>
          <w:rFonts w:hint="eastAsia"/>
          <w:szCs w:val="24"/>
        </w:rPr>
        <w:t>老旧厂房更新改造的消防水池宜利用现有工业水设施进行改造。</w:t>
      </w:r>
    </w:p>
    <w:p>
      <w:pPr>
        <w:rPr>
          <w:i/>
        </w:rPr>
      </w:pPr>
    </w:p>
    <w:p>
      <w:pPr>
        <w:snapToGrid w:val="0"/>
        <w:rPr>
          <w:szCs w:val="24"/>
        </w:rPr>
      </w:pPr>
      <w:r>
        <w:rPr>
          <w:b/>
          <w:szCs w:val="24"/>
        </w:rPr>
        <w:t xml:space="preserve">8.3.4  </w:t>
      </w:r>
      <w:r>
        <w:rPr>
          <w:szCs w:val="24"/>
        </w:rPr>
        <w:t xml:space="preserve">   </w:t>
      </w:r>
      <w:r>
        <w:rPr>
          <w:rFonts w:hint="eastAsia"/>
          <w:szCs w:val="24"/>
        </w:rPr>
        <w:t>老旧厂房更新改造中净空高度大于8m的空间采用预作用自动喷水灭火系统，当同时满足下列条件时，其设计参数不应低于高大空间场所采用湿式系统时的设计参数：</w:t>
      </w:r>
    </w:p>
    <w:p>
      <w:pPr>
        <w:pStyle w:val="62"/>
        <w:numPr>
          <w:ilvl w:val="0"/>
          <w:numId w:val="14"/>
        </w:numPr>
        <w:spacing w:line="360" w:lineRule="auto"/>
        <w:ind w:left="840" w:firstLineChars="0"/>
        <w:rPr>
          <w:rFonts w:ascii="宋体" w:hAnsi="宋体" w:eastAsia="宋体"/>
          <w:sz w:val="24"/>
          <w:szCs w:val="24"/>
        </w:rPr>
      </w:pPr>
      <w:r>
        <w:rPr>
          <w:rFonts w:hint="eastAsia" w:ascii="宋体" w:hAnsi="宋体" w:eastAsia="宋体"/>
          <w:sz w:val="24"/>
          <w:szCs w:val="24"/>
        </w:rPr>
        <w:t>采用火灾自动报警系统直接联动开启预作用装置；</w:t>
      </w:r>
    </w:p>
    <w:p>
      <w:pPr>
        <w:pStyle w:val="62"/>
        <w:numPr>
          <w:ilvl w:val="0"/>
          <w:numId w:val="14"/>
        </w:numPr>
        <w:spacing w:line="360" w:lineRule="auto"/>
        <w:ind w:left="840" w:firstLineChars="0"/>
        <w:rPr>
          <w:rFonts w:ascii="宋体" w:hAnsi="宋体" w:eastAsia="宋体"/>
          <w:sz w:val="24"/>
          <w:szCs w:val="24"/>
        </w:rPr>
      </w:pPr>
      <w:r>
        <w:rPr>
          <w:rFonts w:hint="eastAsia" w:ascii="宋体" w:hAnsi="宋体" w:eastAsia="宋体"/>
          <w:sz w:val="24"/>
          <w:szCs w:val="24"/>
        </w:rPr>
        <w:t>配水管道充水时间不大于</w:t>
      </w:r>
      <w:r>
        <w:rPr>
          <w:rFonts w:ascii="宋体" w:hAnsi="宋体" w:eastAsia="宋体"/>
          <w:sz w:val="24"/>
          <w:szCs w:val="24"/>
        </w:rPr>
        <w:t>60s</w:t>
      </w:r>
      <w:r>
        <w:rPr>
          <w:rFonts w:hint="eastAsia" w:ascii="宋体" w:hAnsi="宋体" w:eastAsia="宋体"/>
          <w:sz w:val="24"/>
          <w:szCs w:val="24"/>
        </w:rPr>
        <w:t>。</w:t>
      </w:r>
    </w:p>
    <w:p>
      <w:pPr>
        <w:snapToGrid w:val="0"/>
        <w:rPr>
          <w:b/>
          <w:szCs w:val="24"/>
        </w:rPr>
      </w:pPr>
    </w:p>
    <w:p>
      <w:pPr>
        <w:snapToGrid w:val="0"/>
        <w:rPr>
          <w:szCs w:val="24"/>
        </w:rPr>
      </w:pPr>
      <w:r>
        <w:rPr>
          <w:b/>
          <w:szCs w:val="24"/>
        </w:rPr>
        <w:t>8.3.5</w:t>
      </w:r>
      <w:r>
        <w:rPr>
          <w:szCs w:val="24"/>
        </w:rPr>
        <w:tab/>
      </w:r>
      <w:r>
        <w:rPr>
          <w:szCs w:val="24"/>
        </w:rPr>
        <w:t xml:space="preserve"> </w:t>
      </w:r>
      <w:r>
        <w:rPr>
          <w:rFonts w:hint="eastAsia"/>
          <w:szCs w:val="24"/>
        </w:rPr>
        <w:t>老旧厂房更新改造中地下楼层的疏散楼梯间当同时满足下列各项条件时，其防烟设施可维持现状：</w:t>
      </w:r>
    </w:p>
    <w:p>
      <w:pPr>
        <w:pStyle w:val="62"/>
        <w:numPr>
          <w:ilvl w:val="3"/>
          <w:numId w:val="15"/>
        </w:numPr>
        <w:snapToGrid w:val="0"/>
        <w:spacing w:line="360" w:lineRule="auto"/>
        <w:ind w:left="840" w:firstLineChars="0"/>
        <w:rPr>
          <w:rFonts w:ascii="宋体" w:hAnsi="宋体" w:eastAsia="宋体"/>
          <w:sz w:val="24"/>
          <w:szCs w:val="24"/>
        </w:rPr>
      </w:pPr>
      <w:r>
        <w:rPr>
          <w:rFonts w:hint="eastAsia" w:ascii="宋体" w:hAnsi="宋体" w:eastAsia="宋体"/>
          <w:sz w:val="24"/>
          <w:szCs w:val="24"/>
        </w:rPr>
        <w:t>地下楼层为非人员密集场所；</w:t>
      </w:r>
    </w:p>
    <w:p>
      <w:pPr>
        <w:pStyle w:val="62"/>
        <w:numPr>
          <w:ilvl w:val="3"/>
          <w:numId w:val="15"/>
        </w:numPr>
        <w:snapToGrid w:val="0"/>
        <w:spacing w:line="360" w:lineRule="auto"/>
        <w:ind w:left="840" w:firstLineChars="0"/>
        <w:rPr>
          <w:rFonts w:ascii="宋体" w:hAnsi="宋体" w:eastAsia="宋体"/>
          <w:sz w:val="24"/>
          <w:szCs w:val="24"/>
        </w:rPr>
      </w:pPr>
      <w:r>
        <w:rPr>
          <w:rFonts w:hint="eastAsia" w:ascii="宋体" w:hAnsi="宋体" w:eastAsia="宋体"/>
          <w:sz w:val="24"/>
          <w:szCs w:val="24"/>
        </w:rPr>
        <w:t>地下楼层的疏散楼梯间仅服务地下一层；</w:t>
      </w:r>
    </w:p>
    <w:p>
      <w:pPr>
        <w:pStyle w:val="62"/>
        <w:numPr>
          <w:ilvl w:val="3"/>
          <w:numId w:val="15"/>
        </w:numPr>
        <w:snapToGrid w:val="0"/>
        <w:spacing w:line="360" w:lineRule="auto"/>
        <w:ind w:left="840" w:firstLineChars="0"/>
        <w:rPr>
          <w:rFonts w:ascii="宋体" w:hAnsi="宋体" w:eastAsia="宋体"/>
          <w:sz w:val="24"/>
          <w:szCs w:val="24"/>
        </w:rPr>
      </w:pPr>
      <w:r>
        <w:rPr>
          <w:rFonts w:hint="eastAsia" w:ascii="宋体" w:hAnsi="宋体" w:eastAsia="宋体"/>
          <w:sz w:val="24"/>
          <w:szCs w:val="24"/>
        </w:rPr>
        <w:t>地下楼层疏散楼梯间入口前设置防火隔间等分隔措施；</w:t>
      </w:r>
    </w:p>
    <w:p>
      <w:pPr>
        <w:snapToGrid w:val="0"/>
        <w:rPr>
          <w:szCs w:val="24"/>
        </w:rPr>
      </w:pPr>
    </w:p>
    <w:p>
      <w:pPr>
        <w:snapToGrid w:val="0"/>
        <w:rPr>
          <w:szCs w:val="24"/>
        </w:rPr>
      </w:pPr>
      <w:r>
        <w:rPr>
          <w:b/>
          <w:szCs w:val="24"/>
        </w:rPr>
        <w:t>8.3.6</w:t>
      </w:r>
      <w:r>
        <w:rPr>
          <w:szCs w:val="24"/>
        </w:rPr>
        <w:tab/>
      </w:r>
      <w:r>
        <w:rPr>
          <w:rFonts w:hint="eastAsia"/>
          <w:szCs w:val="24"/>
        </w:rPr>
        <w:t>老旧厂房更新改造中净空高度大于9m的空间内的房中房，当经消防安全评估难以设置排烟设施的、更新改造后为非人员密集场所且单个房间面积不大于100m</w:t>
      </w:r>
      <w:r>
        <w:rPr>
          <w:rFonts w:hint="eastAsia"/>
          <w:szCs w:val="24"/>
          <w:vertAlign w:val="superscript"/>
        </w:rPr>
        <w:t>2</w:t>
      </w:r>
      <w:r>
        <w:rPr>
          <w:rFonts w:hint="eastAsia"/>
          <w:szCs w:val="24"/>
        </w:rPr>
        <w:t>时，可利用房间外大空间的排烟系统进行排烟。房间外大空间的排烟系统设计应符合现行国家标准《消防设施通用规范》 GB55036和《</w:t>
      </w:r>
      <w:r>
        <w:t>建筑防烟排烟系统技术标准</w:t>
      </w:r>
      <w:r>
        <w:rPr>
          <w:rFonts w:hint="eastAsia"/>
          <w:szCs w:val="24"/>
        </w:rPr>
        <w:t>》</w:t>
      </w:r>
      <w:r>
        <w:t>GB51251</w:t>
      </w:r>
      <w:r>
        <w:rPr>
          <w:rFonts w:hint="eastAsia"/>
          <w:szCs w:val="24"/>
        </w:rPr>
        <w:t>的要求。</w:t>
      </w:r>
    </w:p>
    <w:p>
      <w:pPr>
        <w:snapToGrid w:val="0"/>
        <w:rPr>
          <w:rFonts w:ascii="宋体" w:hAnsi="宋体"/>
          <w:i/>
        </w:rPr>
      </w:pPr>
    </w:p>
    <w:p>
      <w:pPr>
        <w:snapToGrid w:val="0"/>
        <w:rPr>
          <w:szCs w:val="24"/>
        </w:rPr>
      </w:pPr>
      <w:r>
        <w:rPr>
          <w:b/>
          <w:szCs w:val="24"/>
        </w:rPr>
        <w:t>8.3.7</w:t>
      </w:r>
      <w:r>
        <w:rPr>
          <w:szCs w:val="24"/>
        </w:rPr>
        <w:tab/>
      </w:r>
      <w:r>
        <w:rPr>
          <w:rFonts w:hint="eastAsia"/>
          <w:szCs w:val="24"/>
        </w:rPr>
        <w:t>保留的老旧厂房空间净高大于6m的单层场所，排烟系统排烟量可按小于或等于6m的场所进行计算。</w:t>
      </w:r>
    </w:p>
    <w:p>
      <w:pPr>
        <w:snapToGrid w:val="0"/>
        <w:rPr>
          <w:rFonts w:ascii="宋体" w:hAnsi="宋体"/>
          <w:i/>
        </w:rPr>
      </w:pPr>
    </w:p>
    <w:p>
      <w:pPr>
        <w:snapToGrid w:val="0"/>
        <w:rPr>
          <w:szCs w:val="24"/>
        </w:rPr>
      </w:pPr>
      <w:r>
        <w:rPr>
          <w:b/>
          <w:szCs w:val="24"/>
        </w:rPr>
        <w:t>8.3.8</w:t>
      </w:r>
      <w:r>
        <w:rPr>
          <w:szCs w:val="24"/>
        </w:rPr>
        <w:tab/>
      </w:r>
      <w:r>
        <w:rPr>
          <w:rFonts w:hint="eastAsia"/>
          <w:szCs w:val="24"/>
        </w:rPr>
        <w:t>老旧厂房更新改造中消防供电设计，当现状供电电源难以满足改造后的负荷等级时，可增设柴油发电机、蓄电池等备用电源。</w:t>
      </w:r>
    </w:p>
    <w:p>
      <w:pPr>
        <w:snapToGrid w:val="0"/>
        <w:rPr>
          <w:szCs w:val="24"/>
        </w:rPr>
      </w:pPr>
    </w:p>
    <w:p>
      <w:pPr>
        <w:snapToGrid w:val="0"/>
        <w:rPr>
          <w:szCs w:val="24"/>
        </w:rPr>
      </w:pPr>
      <w:r>
        <w:rPr>
          <w:rFonts w:hint="eastAsia"/>
          <w:b/>
          <w:szCs w:val="24"/>
        </w:rPr>
        <w:t>8.</w:t>
      </w:r>
      <w:r>
        <w:rPr>
          <w:b/>
          <w:szCs w:val="24"/>
        </w:rPr>
        <w:t>3</w:t>
      </w:r>
      <w:r>
        <w:rPr>
          <w:rFonts w:hint="eastAsia"/>
          <w:b/>
          <w:szCs w:val="24"/>
        </w:rPr>
        <w:t>.</w:t>
      </w:r>
      <w:r>
        <w:rPr>
          <w:b/>
          <w:szCs w:val="24"/>
        </w:rPr>
        <w:t>9</w:t>
      </w:r>
      <w:r>
        <w:rPr>
          <w:szCs w:val="24"/>
        </w:rPr>
        <w:tab/>
      </w:r>
      <w:r>
        <w:rPr>
          <w:rFonts w:hint="eastAsia"/>
          <w:szCs w:val="24"/>
        </w:rPr>
        <w:t>高度大于12m的高大空间，当满足下列条件之一时，可采用一种火灾参数的火灾探测器：</w:t>
      </w:r>
    </w:p>
    <w:p>
      <w:pPr>
        <w:pStyle w:val="62"/>
        <w:numPr>
          <w:ilvl w:val="3"/>
          <w:numId w:val="16"/>
        </w:numPr>
        <w:snapToGrid w:val="0"/>
        <w:spacing w:line="360" w:lineRule="auto"/>
        <w:ind w:left="840" w:firstLineChars="0"/>
        <w:rPr>
          <w:rFonts w:ascii="宋体" w:hAnsi="宋体" w:eastAsia="宋体"/>
          <w:sz w:val="24"/>
          <w:szCs w:val="24"/>
        </w:rPr>
      </w:pPr>
      <w:r>
        <w:rPr>
          <w:rFonts w:hint="eastAsia" w:ascii="宋体" w:hAnsi="宋体" w:eastAsia="宋体"/>
          <w:sz w:val="24"/>
          <w:szCs w:val="24"/>
        </w:rPr>
        <w:t>该空间场所设有</w:t>
      </w:r>
      <w:r>
        <w:rPr>
          <w:rFonts w:ascii="宋体" w:hAnsi="宋体" w:eastAsia="宋体"/>
          <w:sz w:val="24"/>
          <w:szCs w:val="24"/>
        </w:rPr>
        <w:t>自动跟踪定位射流灭火系统</w:t>
      </w:r>
      <w:r>
        <w:rPr>
          <w:rFonts w:hint="eastAsia" w:ascii="宋体" w:hAnsi="宋体" w:eastAsia="宋体"/>
          <w:sz w:val="24"/>
          <w:szCs w:val="24"/>
        </w:rPr>
        <w:t>，且该系统的探测报警信号作为该场所联动控制信号接入火灾自动报警系统。</w:t>
      </w:r>
    </w:p>
    <w:p>
      <w:pPr>
        <w:pStyle w:val="62"/>
        <w:numPr>
          <w:ilvl w:val="3"/>
          <w:numId w:val="16"/>
        </w:numPr>
        <w:snapToGrid w:val="0"/>
        <w:spacing w:line="360" w:lineRule="auto"/>
        <w:ind w:left="840" w:firstLineChars="0"/>
        <w:rPr>
          <w:rFonts w:ascii="宋体" w:hAnsi="宋体" w:eastAsia="宋体"/>
          <w:sz w:val="24"/>
          <w:szCs w:val="24"/>
        </w:rPr>
      </w:pPr>
      <w:r>
        <w:rPr>
          <w:rFonts w:hint="eastAsia" w:ascii="宋体" w:hAnsi="宋体" w:eastAsia="宋体"/>
          <w:sz w:val="24"/>
          <w:szCs w:val="24"/>
        </w:rPr>
        <w:t>该空间场所设置有手动报警按钮。</w:t>
      </w:r>
    </w:p>
    <w:p>
      <w:pPr>
        <w:snapToGrid w:val="0"/>
      </w:pPr>
    </w:p>
    <w:p>
      <w:pPr>
        <w:pStyle w:val="3"/>
        <w:spacing w:after="156" w:afterLines="50" w:line="360" w:lineRule="auto"/>
        <w:rPr>
          <w:rFonts w:ascii="宋体" w:hAnsi="宋体"/>
          <w:b/>
          <w:sz w:val="28"/>
        </w:rPr>
      </w:pPr>
      <w:bookmarkStart w:id="315" w:name="_Toc145967611"/>
      <w:bookmarkStart w:id="316" w:name="_Toc149330741"/>
      <w:bookmarkStart w:id="317" w:name="_Toc149331229"/>
      <w:bookmarkStart w:id="318" w:name="_Toc149557006"/>
      <w:bookmarkStart w:id="319" w:name="_Toc149557065"/>
      <w:bookmarkStart w:id="320" w:name="_Toc149557713"/>
      <w:bookmarkStart w:id="321" w:name="_Toc150176318"/>
      <w:bookmarkStart w:id="322" w:name="_Toc150176872"/>
      <w:bookmarkStart w:id="323" w:name="_Toc150177038"/>
      <w:r>
        <w:rPr>
          <w:rFonts w:ascii="宋体" w:hAnsi="宋体"/>
          <w:b/>
          <w:sz w:val="28"/>
        </w:rPr>
        <w:t xml:space="preserve">8.4 </w:t>
      </w:r>
      <w:r>
        <w:rPr>
          <w:rFonts w:hint="eastAsia" w:ascii="宋体" w:hAnsi="宋体"/>
          <w:b/>
          <w:sz w:val="28"/>
        </w:rPr>
        <w:t>消防救援条件</w:t>
      </w:r>
      <w:bookmarkEnd w:id="315"/>
      <w:bookmarkEnd w:id="316"/>
      <w:bookmarkEnd w:id="317"/>
      <w:bookmarkEnd w:id="318"/>
      <w:bookmarkEnd w:id="319"/>
      <w:bookmarkEnd w:id="320"/>
      <w:bookmarkEnd w:id="321"/>
      <w:bookmarkEnd w:id="322"/>
      <w:bookmarkEnd w:id="323"/>
    </w:p>
    <w:p>
      <w:pPr>
        <w:snapToGrid w:val="0"/>
        <w:rPr>
          <w:szCs w:val="24"/>
        </w:rPr>
      </w:pPr>
      <w:r>
        <w:rPr>
          <w:b/>
          <w:szCs w:val="24"/>
        </w:rPr>
        <w:t>8.4.1</w:t>
      </w:r>
      <w:r>
        <w:rPr>
          <w:szCs w:val="24"/>
        </w:rPr>
        <w:tab/>
      </w:r>
      <w:r>
        <w:rPr>
          <w:rFonts w:hint="eastAsia"/>
          <w:szCs w:val="24"/>
        </w:rPr>
        <w:t>工业遗产类老旧厂房由于现状场地条件不足，消防车道、登高操作场地可维持现状。</w:t>
      </w:r>
    </w:p>
    <w:p>
      <w:pPr>
        <w:snapToGrid w:val="0"/>
        <w:rPr>
          <w:szCs w:val="24"/>
        </w:rPr>
      </w:pPr>
      <w:r>
        <w:rPr>
          <w:b/>
          <w:szCs w:val="24"/>
        </w:rPr>
        <w:t xml:space="preserve">8.4.2 </w:t>
      </w:r>
      <w:r>
        <w:rPr>
          <w:szCs w:val="24"/>
        </w:rPr>
        <w:tab/>
      </w:r>
      <w:r>
        <w:rPr>
          <w:rFonts w:hint="eastAsia"/>
          <w:szCs w:val="24"/>
        </w:rPr>
        <w:t>工业遗产类及具有较高价值的老旧厂房当改造后为非人员密集场所时，消防救援口可维持原设计。</w:t>
      </w:r>
    </w:p>
    <w:bookmarkEnd w:id="265"/>
    <w:bookmarkEnd w:id="266"/>
    <w:bookmarkEnd w:id="267"/>
    <w:bookmarkEnd w:id="268"/>
    <w:p>
      <w:pPr>
        <w:pStyle w:val="2"/>
        <w:pageBreakBefore/>
        <w:spacing w:before="156" w:beforeLines="50" w:after="156" w:afterLines="50" w:line="360" w:lineRule="auto"/>
        <w:jc w:val="center"/>
        <w:rPr>
          <w:rFonts w:ascii="宋体" w:hAnsi="宋体"/>
        </w:rPr>
      </w:pPr>
      <w:bookmarkStart w:id="324" w:name="_Toc149330742"/>
      <w:bookmarkStart w:id="325" w:name="_Toc149331230"/>
      <w:bookmarkStart w:id="326" w:name="_Toc149557007"/>
      <w:bookmarkStart w:id="327" w:name="_Toc149557066"/>
      <w:bookmarkStart w:id="328" w:name="_Toc149557714"/>
      <w:bookmarkStart w:id="329" w:name="_Toc150176319"/>
      <w:bookmarkStart w:id="330" w:name="_Toc150176873"/>
      <w:bookmarkStart w:id="331" w:name="_Toc150177039"/>
      <w:bookmarkStart w:id="332" w:name="_Toc15201001"/>
      <w:bookmarkStart w:id="333" w:name="_Toc29961208"/>
      <w:r>
        <w:rPr>
          <w:rFonts w:ascii="宋体" w:hAnsi="宋体"/>
          <w:sz w:val="32"/>
        </w:rPr>
        <w:t xml:space="preserve">9  </w:t>
      </w:r>
      <w:r>
        <w:rPr>
          <w:rFonts w:hint="eastAsia" w:ascii="宋体" w:hAnsi="宋体"/>
          <w:sz w:val="32"/>
        </w:rPr>
        <w:t>绿色低碳</w:t>
      </w:r>
      <w:bookmarkEnd w:id="324"/>
      <w:bookmarkEnd w:id="325"/>
      <w:bookmarkEnd w:id="326"/>
      <w:bookmarkEnd w:id="327"/>
      <w:bookmarkEnd w:id="328"/>
      <w:bookmarkEnd w:id="329"/>
      <w:bookmarkEnd w:id="330"/>
      <w:bookmarkEnd w:id="331"/>
    </w:p>
    <w:p>
      <w:pPr>
        <w:snapToGrid w:val="0"/>
        <w:rPr>
          <w:rFonts w:ascii="宋体" w:hAnsi="宋体"/>
        </w:rPr>
      </w:pPr>
      <w:r>
        <w:rPr>
          <w:b/>
          <w:szCs w:val="24"/>
        </w:rPr>
        <w:t>9.0.1</w:t>
      </w:r>
      <w:r>
        <w:rPr>
          <w:b/>
          <w:szCs w:val="24"/>
        </w:rPr>
        <w:tab/>
      </w:r>
      <w:r>
        <w:rPr>
          <w:b/>
          <w:szCs w:val="24"/>
        </w:rPr>
        <w:t xml:space="preserve"> </w:t>
      </w:r>
      <w:r>
        <w:rPr>
          <w:rFonts w:hint="eastAsia"/>
          <w:szCs w:val="24"/>
        </w:rPr>
        <w:t>老旧厂房更新改造</w:t>
      </w:r>
      <w:r>
        <w:rPr>
          <w:rFonts w:hint="eastAsia"/>
          <w:bCs/>
          <w:szCs w:val="24"/>
        </w:rPr>
        <w:t>宜进行被动式设计，宜</w:t>
      </w:r>
      <w:r>
        <w:rPr>
          <w:rFonts w:hint="eastAsia" w:ascii="宋体" w:hAnsi="宋体"/>
        </w:rPr>
        <w:t>合理利用原有通风、采光设施，改善室内通风、采光效果；宜提高围护结构性能等。</w:t>
      </w:r>
    </w:p>
    <w:p>
      <w:pPr>
        <w:snapToGrid w:val="0"/>
        <w:rPr>
          <w:rFonts w:ascii="宋体" w:hAnsi="宋体"/>
        </w:rPr>
      </w:pPr>
    </w:p>
    <w:p>
      <w:pPr>
        <w:rPr>
          <w:rFonts w:ascii="宋体" w:hAnsi="宋体"/>
        </w:rPr>
      </w:pPr>
      <w:r>
        <w:rPr>
          <w:b/>
          <w:szCs w:val="24"/>
        </w:rPr>
        <w:t>9.0.2</w:t>
      </w:r>
      <w:r>
        <w:rPr>
          <w:szCs w:val="24"/>
        </w:rPr>
        <w:tab/>
      </w:r>
      <w:r>
        <w:rPr>
          <w:rFonts w:hint="eastAsia"/>
          <w:bCs/>
          <w:szCs w:val="24"/>
        </w:rPr>
        <w:t>老旧厂房更新</w:t>
      </w:r>
      <w:r>
        <w:rPr>
          <w:rFonts w:hint="eastAsia"/>
          <w:szCs w:val="24"/>
        </w:rPr>
        <w:t>改造</w:t>
      </w:r>
      <w:r>
        <w:rPr>
          <w:rFonts w:hint="eastAsia" w:ascii="宋体" w:hAnsi="宋体"/>
          <w:szCs w:val="24"/>
        </w:rPr>
        <w:t>宜保留建筑内部经评估可继续使用的构件，用于空间分隔，减少土建及装修建材消耗。</w:t>
      </w:r>
    </w:p>
    <w:p>
      <w:pPr>
        <w:snapToGrid w:val="0"/>
        <w:rPr>
          <w:rFonts w:ascii="宋体" w:hAnsi="宋体"/>
          <w:i/>
        </w:rPr>
      </w:pPr>
    </w:p>
    <w:p>
      <w:pPr>
        <w:snapToGrid w:val="0"/>
        <w:rPr>
          <w:rFonts w:ascii="宋体" w:hAnsi="宋体"/>
        </w:rPr>
      </w:pPr>
      <w:r>
        <w:rPr>
          <w:b/>
          <w:szCs w:val="24"/>
        </w:rPr>
        <w:t>9.0.3</w:t>
      </w:r>
      <w:r>
        <w:rPr>
          <w:szCs w:val="24"/>
        </w:rPr>
        <w:tab/>
      </w:r>
      <w:r>
        <w:rPr>
          <w:rFonts w:hint="eastAsia" w:ascii="宋体" w:hAnsi="宋体"/>
          <w:szCs w:val="24"/>
        </w:rPr>
        <w:t>老旧厂房</w:t>
      </w:r>
      <w:r>
        <w:rPr>
          <w:rFonts w:hint="eastAsia" w:ascii="宋体" w:hAnsi="宋体"/>
        </w:rPr>
        <w:t>室内大空间利用宜灵活可变，新建隔断宜采用便于拆改、便于再利用的</w:t>
      </w:r>
      <w:r>
        <w:rPr>
          <w:rFonts w:hint="eastAsia"/>
        </w:rPr>
        <w:t>板材隔墙、骨架隔墙、活动隔墙、玻璃隔墙等</w:t>
      </w:r>
      <w:r>
        <w:rPr>
          <w:rFonts w:hint="eastAsia" w:ascii="宋体" w:hAnsi="宋体"/>
        </w:rPr>
        <w:t>隔断隔墙。</w:t>
      </w:r>
    </w:p>
    <w:p>
      <w:pPr>
        <w:snapToGrid w:val="0"/>
        <w:rPr>
          <w:szCs w:val="24"/>
        </w:rPr>
      </w:pPr>
    </w:p>
    <w:p>
      <w:pPr>
        <w:snapToGrid w:val="0"/>
        <w:rPr>
          <w:rFonts w:ascii="宋体" w:hAnsi="宋体"/>
        </w:rPr>
      </w:pPr>
      <w:r>
        <w:rPr>
          <w:b/>
          <w:szCs w:val="24"/>
        </w:rPr>
        <w:t>9.0.4</w:t>
      </w:r>
      <w:r>
        <w:rPr>
          <w:szCs w:val="24"/>
        </w:rPr>
        <w:tab/>
      </w:r>
      <w:r>
        <w:rPr>
          <w:rFonts w:hint="eastAsia" w:ascii="宋体" w:hAnsi="宋体"/>
          <w:szCs w:val="24"/>
        </w:rPr>
        <w:t>老旧厂房</w:t>
      </w:r>
      <w:r>
        <w:rPr>
          <w:rFonts w:hint="eastAsia" w:ascii="宋体" w:hAnsi="宋体"/>
        </w:rPr>
        <w:t>室内、室外立面装饰材料应与原有厂房建筑风貌相协调，宜选用耐久性好的环保材料。</w:t>
      </w:r>
    </w:p>
    <w:p>
      <w:pPr>
        <w:snapToGrid w:val="0"/>
        <w:rPr>
          <w:rFonts w:ascii="宋体" w:hAnsi="宋体"/>
          <w:i/>
        </w:rPr>
      </w:pPr>
    </w:p>
    <w:p>
      <w:pPr>
        <w:snapToGrid w:val="0"/>
        <w:rPr>
          <w:rFonts w:ascii="宋体" w:hAnsi="宋体"/>
        </w:rPr>
      </w:pPr>
      <w:r>
        <w:rPr>
          <w:b/>
          <w:szCs w:val="24"/>
        </w:rPr>
        <w:t>9.0.5</w:t>
      </w:r>
      <w:r>
        <w:rPr>
          <w:szCs w:val="24"/>
        </w:rPr>
        <w:tab/>
      </w:r>
      <w:r>
        <w:rPr>
          <w:szCs w:val="24"/>
        </w:rPr>
        <w:t xml:space="preserve"> </w:t>
      </w:r>
      <w:r>
        <w:rPr>
          <w:rFonts w:hint="eastAsia"/>
          <w:szCs w:val="24"/>
        </w:rPr>
        <w:t>老旧厂房更新改造</w:t>
      </w:r>
      <w:r>
        <w:rPr>
          <w:rFonts w:hint="eastAsia" w:ascii="宋体" w:hAnsi="宋体"/>
        </w:rPr>
        <w:t>宜合理保留具有遮阳功能的构件，并应满足室内热舒适性。</w:t>
      </w:r>
    </w:p>
    <w:p>
      <w:pPr>
        <w:snapToGrid w:val="0"/>
        <w:rPr>
          <w:rFonts w:ascii="宋体" w:hAnsi="宋体"/>
          <w:i/>
        </w:rPr>
      </w:pPr>
    </w:p>
    <w:p>
      <w:pPr>
        <w:snapToGrid w:val="0"/>
        <w:rPr>
          <w:szCs w:val="24"/>
        </w:rPr>
      </w:pPr>
      <w:r>
        <w:rPr>
          <w:b/>
          <w:szCs w:val="24"/>
        </w:rPr>
        <w:t>9.0.6</w:t>
      </w:r>
      <w:r>
        <w:rPr>
          <w:szCs w:val="24"/>
        </w:rPr>
        <w:tab/>
      </w:r>
      <w:r>
        <w:rPr>
          <w:szCs w:val="24"/>
        </w:rPr>
        <w:t xml:space="preserve"> </w:t>
      </w:r>
      <w:r>
        <w:rPr>
          <w:rFonts w:hint="eastAsia"/>
          <w:szCs w:val="24"/>
        </w:rPr>
        <w:t>老旧厂房保留的围护结构，其隔声性能较低时，宜通过合理的空间划分，将其划分至隔声、噪声要求较低的功能空间。除工业遗产类老旧厂房及具有较高价值的老旧厂房外，其保留的围护结构隔声性能设计指标应符合现行国家标准《民用建筑隔声设计规范》GB 50118 的规定，噪声指标应满足现行国家标准《建筑环境通用规范》GB 55016 的限值要求。</w:t>
      </w:r>
    </w:p>
    <w:p>
      <w:pPr>
        <w:snapToGrid w:val="0"/>
        <w:rPr>
          <w:szCs w:val="24"/>
        </w:rPr>
      </w:pPr>
    </w:p>
    <w:p>
      <w:r>
        <w:rPr>
          <w:b/>
          <w:szCs w:val="24"/>
        </w:rPr>
        <w:t>9.0.7</w:t>
      </w:r>
      <w:r>
        <w:rPr>
          <w:szCs w:val="24"/>
        </w:rPr>
        <w:tab/>
      </w:r>
      <w:r>
        <w:rPr>
          <w:rFonts w:hint="eastAsia"/>
          <w:szCs w:val="24"/>
        </w:rPr>
        <w:t>当</w:t>
      </w:r>
      <w:r>
        <w:rPr>
          <w:rFonts w:hint="eastAsia"/>
        </w:rPr>
        <w:t>老旧厂房更新改造为高度超过1</w:t>
      </w:r>
      <w:r>
        <w:t>0</w:t>
      </w:r>
      <w:r>
        <w:rPr>
          <w:rFonts w:hint="eastAsia"/>
        </w:rPr>
        <w:t>m的高大空间场所，仅要求下部区域保持一定的温湿度时，宜采用分层空调。</w:t>
      </w:r>
    </w:p>
    <w:p>
      <w:pPr>
        <w:rPr>
          <w:rFonts w:ascii="宋体" w:hAnsi="宋体"/>
          <w:i/>
        </w:rPr>
      </w:pPr>
    </w:p>
    <w:p>
      <w:pPr>
        <w:rPr>
          <w:rFonts w:ascii="宋体" w:hAnsi="宋体"/>
        </w:rPr>
      </w:pPr>
      <w:r>
        <w:rPr>
          <w:b/>
          <w:szCs w:val="24"/>
        </w:rPr>
        <w:t>9.0.8</w:t>
      </w:r>
      <w:r>
        <w:rPr>
          <w:szCs w:val="24"/>
        </w:rPr>
        <w:tab/>
      </w:r>
      <w:r>
        <w:rPr>
          <w:rFonts w:hint="eastAsia"/>
        </w:rPr>
        <w:t>具有一定价值的老旧厂房及一般性老旧厂房的</w:t>
      </w:r>
      <w:r>
        <w:rPr>
          <w:rFonts w:hint="eastAsia" w:ascii="宋体" w:hAnsi="宋体"/>
        </w:rPr>
        <w:t>平屋面，在结构荷载允许的条件下，宜设置太阳能光伏系统；坡屋面厂房在不影响厂房建筑风貌时，可设置太阳能光伏系统。</w:t>
      </w:r>
    </w:p>
    <w:p>
      <w:pPr>
        <w:rPr>
          <w:szCs w:val="24"/>
        </w:rPr>
      </w:pPr>
    </w:p>
    <w:p>
      <w:pPr>
        <w:snapToGrid w:val="0"/>
        <w:rPr>
          <w:rFonts w:ascii="宋体" w:hAnsi="宋体"/>
        </w:rPr>
      </w:pPr>
      <w:r>
        <w:rPr>
          <w:b/>
          <w:szCs w:val="24"/>
        </w:rPr>
        <w:t>9.0.9</w:t>
      </w:r>
      <w:r>
        <w:rPr>
          <w:szCs w:val="24"/>
        </w:rPr>
        <w:tab/>
      </w:r>
      <w:r>
        <w:rPr>
          <w:szCs w:val="24"/>
        </w:rPr>
        <w:t xml:space="preserve"> </w:t>
      </w:r>
      <w:r>
        <w:rPr>
          <w:rFonts w:hint="eastAsia"/>
          <w:szCs w:val="24"/>
        </w:rPr>
        <w:t>当</w:t>
      </w:r>
      <w:r>
        <w:rPr>
          <w:rFonts w:hint="eastAsia" w:ascii="宋体" w:hAnsi="宋体"/>
        </w:rPr>
        <w:t>老旧厂房增设光伏系统时，宜增加储能系统；宜采用电化学储能形式，且储能容量不宜超过500kWh，电动车动力电池可作为储能电池。</w:t>
      </w:r>
    </w:p>
    <w:p>
      <w:pPr>
        <w:snapToGrid w:val="0"/>
        <w:rPr>
          <w:rFonts w:ascii="宋体" w:hAnsi="宋体"/>
        </w:rPr>
      </w:pPr>
    </w:p>
    <w:p>
      <w:pPr>
        <w:rPr>
          <w:bCs/>
          <w:szCs w:val="24"/>
        </w:rPr>
      </w:pPr>
      <w:r>
        <w:rPr>
          <w:b/>
          <w:szCs w:val="24"/>
        </w:rPr>
        <w:t>9.0.10</w:t>
      </w:r>
      <w:r>
        <w:rPr>
          <w:szCs w:val="24"/>
        </w:rPr>
        <w:tab/>
      </w:r>
      <w:r>
        <w:rPr>
          <w:szCs w:val="24"/>
        </w:rPr>
        <w:t xml:space="preserve"> </w:t>
      </w:r>
      <w:r>
        <w:rPr>
          <w:rFonts w:hint="eastAsia"/>
          <w:bCs/>
          <w:szCs w:val="24"/>
        </w:rPr>
        <w:t>当室外、室内空间均为原有老旧厂房建筑风貌展示区而无法满足单一构件传热系数要求时，应通过整体建筑性能权衡计算提升节能性能。除工业遗产</w:t>
      </w:r>
      <w:r>
        <w:rPr>
          <w:rFonts w:hint="eastAsia"/>
        </w:rPr>
        <w:t>类老旧厂房及具有较高价值的老旧厂房外，权衡计算应根据其使用功能符合国家现行标准《建筑节能与可再生能源利用通用规范》GB55015、地方现行标准《居住建筑节能设计标准》</w:t>
      </w:r>
      <w:r>
        <w:t>DB11/891</w:t>
      </w:r>
      <w:r>
        <w:rPr>
          <w:rFonts w:hint="eastAsia"/>
        </w:rPr>
        <w:t>或《公共建筑节能设计标准》</w:t>
      </w:r>
      <w:r>
        <w:rPr>
          <w:szCs w:val="24"/>
        </w:rPr>
        <w:t>DB11/687</w:t>
      </w:r>
      <w:r>
        <w:rPr>
          <w:rFonts w:hint="eastAsia"/>
        </w:rPr>
        <w:t>的规定。</w:t>
      </w:r>
    </w:p>
    <w:p>
      <w:pPr>
        <w:snapToGrid w:val="0"/>
        <w:rPr>
          <w:bCs/>
          <w:szCs w:val="24"/>
        </w:rPr>
      </w:pPr>
    </w:p>
    <w:p>
      <w:pPr>
        <w:snapToGrid w:val="0"/>
        <w:rPr>
          <w:rFonts w:ascii="宋体" w:hAnsi="宋体"/>
          <w:i/>
        </w:rPr>
      </w:pPr>
      <w:r>
        <w:rPr>
          <w:b/>
          <w:szCs w:val="24"/>
        </w:rPr>
        <w:t>9.0.11</w:t>
      </w:r>
      <w:r>
        <w:rPr>
          <w:szCs w:val="24"/>
        </w:rPr>
        <w:tab/>
      </w:r>
      <w:r>
        <w:rPr>
          <w:rFonts w:hint="eastAsia"/>
        </w:rPr>
        <w:t>老旧厂房更新改造设计应进行模拟计算，分析减少碳排放的措施，并宜计算建筑全寿命期的碳排放量，计算方法应符合现行国家标准《建筑碳排放计算标准》</w:t>
      </w:r>
      <w:r>
        <w:t xml:space="preserve">GB/T51366 </w:t>
      </w:r>
      <w:r>
        <w:rPr>
          <w:rFonts w:hint="eastAsia"/>
        </w:rPr>
        <w:t>的规定。</w:t>
      </w:r>
    </w:p>
    <w:p>
      <w:pPr>
        <w:snapToGrid w:val="0"/>
        <w:rPr>
          <w:rFonts w:ascii="宋体" w:hAnsi="宋体"/>
          <w:i/>
        </w:rPr>
      </w:pPr>
    </w:p>
    <w:p>
      <w:pPr>
        <w:snapToGrid w:val="0"/>
        <w:rPr>
          <w:bCs/>
          <w:szCs w:val="32"/>
        </w:rPr>
      </w:pPr>
      <w:r>
        <w:rPr>
          <w:b/>
          <w:szCs w:val="24"/>
        </w:rPr>
        <w:t>9.0.12</w:t>
      </w:r>
      <w:r>
        <w:rPr>
          <w:szCs w:val="24"/>
        </w:rPr>
        <w:tab/>
      </w:r>
      <w:r>
        <w:rPr>
          <w:rFonts w:hint="eastAsia"/>
          <w:szCs w:val="24"/>
        </w:rPr>
        <w:t>当</w:t>
      </w:r>
      <w:r>
        <w:rPr>
          <w:rFonts w:hint="eastAsia"/>
        </w:rPr>
        <w:t>老旧厂房更新改造制定零碳建筑目标时，</w:t>
      </w:r>
      <w:r>
        <w:rPr>
          <w:rFonts w:hint="eastAsia"/>
          <w:bCs/>
          <w:szCs w:val="32"/>
        </w:rPr>
        <w:t>可</w:t>
      </w:r>
      <w:r>
        <w:rPr>
          <w:bCs/>
          <w:szCs w:val="32"/>
        </w:rPr>
        <w:t>引入绿色电力交易和碳排放权交易等碳抵消方式</w:t>
      </w:r>
      <w:r>
        <w:rPr>
          <w:rFonts w:hint="eastAsia"/>
          <w:bCs/>
          <w:szCs w:val="32"/>
        </w:rPr>
        <w:t>实现，碳抵消比例不应超过基准建筑碳排放量的</w:t>
      </w:r>
      <w:r>
        <w:rPr>
          <w:bCs/>
          <w:szCs w:val="32"/>
        </w:rPr>
        <w:t>30%。</w:t>
      </w:r>
    </w:p>
    <w:p>
      <w:pPr>
        <w:snapToGrid w:val="0"/>
        <w:rPr>
          <w:rFonts w:ascii="宋体" w:hAnsi="宋体"/>
          <w:i/>
        </w:rPr>
      </w:pPr>
    </w:p>
    <w:p>
      <w:pPr>
        <w:pStyle w:val="2"/>
        <w:pageBreakBefore/>
        <w:spacing w:before="156" w:beforeLines="50" w:after="156" w:afterLines="50" w:line="360" w:lineRule="auto"/>
        <w:jc w:val="center"/>
        <w:rPr>
          <w:rFonts w:ascii="宋体" w:hAnsi="宋体"/>
          <w:sz w:val="32"/>
        </w:rPr>
      </w:pPr>
      <w:bookmarkStart w:id="334" w:name="_Toc149330743"/>
      <w:bookmarkStart w:id="335" w:name="_Toc149331231"/>
      <w:bookmarkStart w:id="336" w:name="_Toc149557008"/>
      <w:bookmarkStart w:id="337" w:name="_Toc149557067"/>
      <w:bookmarkStart w:id="338" w:name="_Toc149557715"/>
      <w:bookmarkStart w:id="339" w:name="_Toc150176320"/>
      <w:bookmarkStart w:id="340" w:name="_Toc150176874"/>
      <w:bookmarkStart w:id="341" w:name="_Toc150177040"/>
      <w:r>
        <w:rPr>
          <w:rFonts w:hint="eastAsia" w:ascii="宋体" w:hAnsi="宋体"/>
          <w:sz w:val="32"/>
        </w:rPr>
        <w:t>附录</w:t>
      </w:r>
      <w:bookmarkEnd w:id="334"/>
      <w:bookmarkEnd w:id="335"/>
      <w:bookmarkEnd w:id="336"/>
      <w:bookmarkEnd w:id="337"/>
      <w:bookmarkEnd w:id="338"/>
      <w:r>
        <w:rPr>
          <w:rFonts w:hint="eastAsia" w:ascii="宋体" w:hAnsi="宋体"/>
          <w:sz w:val="32"/>
        </w:rPr>
        <w:t>A</w:t>
      </w:r>
      <w:bookmarkEnd w:id="339"/>
      <w:bookmarkEnd w:id="340"/>
      <w:bookmarkEnd w:id="341"/>
      <w:r>
        <w:rPr>
          <w:rFonts w:ascii="宋体" w:hAnsi="宋体"/>
          <w:sz w:val="32"/>
        </w:rPr>
        <w:t xml:space="preserve"> </w:t>
      </w:r>
      <w:r>
        <w:rPr>
          <w:rFonts w:hint="eastAsia" w:ascii="宋体" w:hAnsi="宋体"/>
          <w:sz w:val="32"/>
        </w:rPr>
        <w:t>老旧厂房</w:t>
      </w:r>
      <w:r>
        <w:rPr>
          <w:rFonts w:ascii="宋体" w:hAnsi="宋体"/>
          <w:sz w:val="32"/>
        </w:rPr>
        <w:t>评估内容</w:t>
      </w:r>
    </w:p>
    <w:p>
      <w:pPr>
        <w:jc w:val="center"/>
        <w:rPr>
          <w:b/>
        </w:rPr>
      </w:pPr>
      <w:r>
        <w:rPr>
          <w:rFonts w:hint="eastAsia"/>
          <w:b/>
        </w:rPr>
        <w:t>表A</w:t>
      </w:r>
      <w:r>
        <w:rPr>
          <w:b/>
        </w:rPr>
        <w:t xml:space="preserve">.0.1    </w:t>
      </w:r>
      <w:r>
        <w:rPr>
          <w:rFonts w:hint="eastAsia"/>
          <w:b/>
        </w:rPr>
        <w:t>老旧厂房评估内容表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1701"/>
        <w:gridCol w:w="2955"/>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r>
              <w:rPr>
                <w:rFonts w:hint="eastAsia"/>
              </w:rPr>
              <w:t>序号</w:t>
            </w:r>
          </w:p>
        </w:tc>
        <w:tc>
          <w:tcPr>
            <w:tcW w:w="2977" w:type="dxa"/>
            <w:gridSpan w:val="2"/>
            <w:vAlign w:val="center"/>
          </w:tcPr>
          <w:p>
            <w:r>
              <w:rPr>
                <w:rFonts w:hint="eastAsia"/>
              </w:rPr>
              <w:t>评估类别</w:t>
            </w:r>
          </w:p>
        </w:tc>
        <w:tc>
          <w:tcPr>
            <w:tcW w:w="2955" w:type="dxa"/>
            <w:vAlign w:val="center"/>
          </w:tcPr>
          <w:p>
            <w:r>
              <w:rPr>
                <w:rFonts w:hint="eastAsia"/>
              </w:rPr>
              <w:t>评估要素</w:t>
            </w:r>
          </w:p>
        </w:tc>
        <w:tc>
          <w:tcPr>
            <w:tcW w:w="1660" w:type="dxa"/>
            <w:vAlign w:val="center"/>
          </w:tcPr>
          <w:p>
            <w:r>
              <w:rPr>
                <w:rFonts w:hint="eastAsia"/>
              </w:rPr>
              <w:t>评估情况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r>
              <w:rPr>
                <w:rFonts w:hint="eastAsia"/>
              </w:rPr>
              <w:t>1</w:t>
            </w:r>
          </w:p>
        </w:tc>
        <w:tc>
          <w:tcPr>
            <w:tcW w:w="1276" w:type="dxa"/>
            <w:vMerge w:val="restart"/>
            <w:vAlign w:val="center"/>
          </w:tcPr>
          <w:p>
            <w:r>
              <w:rPr>
                <w:rFonts w:hint="eastAsia"/>
              </w:rPr>
              <w:t>现状评估</w:t>
            </w:r>
          </w:p>
        </w:tc>
        <w:tc>
          <w:tcPr>
            <w:tcW w:w="1701" w:type="dxa"/>
            <w:vMerge w:val="restart"/>
            <w:vAlign w:val="center"/>
          </w:tcPr>
          <w:p>
            <w:r>
              <w:rPr>
                <w:rFonts w:hint="eastAsia"/>
              </w:rPr>
              <w:t>现状建筑使用</w:t>
            </w:r>
          </w:p>
        </w:tc>
        <w:tc>
          <w:tcPr>
            <w:tcW w:w="2955" w:type="dxa"/>
            <w:vAlign w:val="center"/>
          </w:tcPr>
          <w:p>
            <w:r>
              <w:rPr>
                <w:rFonts w:hint="eastAsia"/>
              </w:rPr>
              <w:t>是否正在使用</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tc>
        <w:tc>
          <w:tcPr>
            <w:tcW w:w="1276" w:type="dxa"/>
            <w:vMerge w:val="continue"/>
            <w:vAlign w:val="center"/>
          </w:tcPr>
          <w:p/>
        </w:tc>
        <w:tc>
          <w:tcPr>
            <w:tcW w:w="1701" w:type="dxa"/>
            <w:vMerge w:val="continue"/>
            <w:vAlign w:val="center"/>
          </w:tcPr>
          <w:p/>
        </w:tc>
        <w:tc>
          <w:tcPr>
            <w:tcW w:w="2955" w:type="dxa"/>
            <w:vAlign w:val="center"/>
          </w:tcPr>
          <w:p>
            <w:r>
              <w:rPr>
                <w:rFonts w:hint="eastAsia"/>
              </w:rPr>
              <w:t>维修维护情况</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tc>
        <w:tc>
          <w:tcPr>
            <w:tcW w:w="1276" w:type="dxa"/>
            <w:vMerge w:val="continue"/>
            <w:vAlign w:val="center"/>
          </w:tcPr>
          <w:p/>
        </w:tc>
        <w:tc>
          <w:tcPr>
            <w:tcW w:w="1701" w:type="dxa"/>
            <w:vMerge w:val="continue"/>
            <w:vAlign w:val="center"/>
          </w:tcPr>
          <w:p/>
        </w:tc>
        <w:tc>
          <w:tcPr>
            <w:tcW w:w="2955" w:type="dxa"/>
            <w:vAlign w:val="center"/>
          </w:tcPr>
          <w:p>
            <w:r>
              <w:rPr>
                <w:rFonts w:hint="eastAsia"/>
              </w:rPr>
              <w:t>设备设施情况</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r>
              <w:rPr>
                <w:rFonts w:hint="eastAsia"/>
              </w:rPr>
              <w:t>2</w:t>
            </w:r>
          </w:p>
        </w:tc>
        <w:tc>
          <w:tcPr>
            <w:tcW w:w="1276" w:type="dxa"/>
            <w:vMerge w:val="continue"/>
            <w:vAlign w:val="center"/>
          </w:tcPr>
          <w:p/>
        </w:tc>
        <w:tc>
          <w:tcPr>
            <w:tcW w:w="1701" w:type="dxa"/>
            <w:vMerge w:val="restart"/>
            <w:vAlign w:val="center"/>
          </w:tcPr>
          <w:p>
            <w:r>
              <w:rPr>
                <w:rFonts w:hint="eastAsia"/>
              </w:rPr>
              <w:t>周边环境</w:t>
            </w:r>
          </w:p>
        </w:tc>
        <w:tc>
          <w:tcPr>
            <w:tcW w:w="2955" w:type="dxa"/>
            <w:vAlign w:val="center"/>
          </w:tcPr>
          <w:p>
            <w:r>
              <w:rPr>
                <w:rFonts w:hint="eastAsia"/>
              </w:rPr>
              <w:t>周边用地性质</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tc>
        <w:tc>
          <w:tcPr>
            <w:tcW w:w="1276" w:type="dxa"/>
            <w:vMerge w:val="continue"/>
            <w:vAlign w:val="center"/>
          </w:tcPr>
          <w:p/>
        </w:tc>
        <w:tc>
          <w:tcPr>
            <w:tcW w:w="1701" w:type="dxa"/>
            <w:vMerge w:val="continue"/>
            <w:vAlign w:val="center"/>
          </w:tcPr>
          <w:p/>
        </w:tc>
        <w:tc>
          <w:tcPr>
            <w:tcW w:w="2955" w:type="dxa"/>
            <w:vAlign w:val="center"/>
          </w:tcPr>
          <w:p>
            <w:r>
              <w:rPr>
                <w:rFonts w:hint="eastAsia"/>
              </w:rPr>
              <w:t>周边建筑情况</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tc>
        <w:tc>
          <w:tcPr>
            <w:tcW w:w="1276" w:type="dxa"/>
            <w:vMerge w:val="continue"/>
            <w:vAlign w:val="center"/>
          </w:tcPr>
          <w:p/>
        </w:tc>
        <w:tc>
          <w:tcPr>
            <w:tcW w:w="1701" w:type="dxa"/>
            <w:vMerge w:val="continue"/>
            <w:vAlign w:val="center"/>
          </w:tcPr>
          <w:p/>
        </w:tc>
        <w:tc>
          <w:tcPr>
            <w:tcW w:w="2955" w:type="dxa"/>
            <w:vAlign w:val="center"/>
          </w:tcPr>
          <w:p>
            <w:r>
              <w:rPr>
                <w:rFonts w:hint="eastAsia"/>
              </w:rPr>
              <w:t>周边慢行、车行交通情况</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r>
              <w:rPr>
                <w:rFonts w:hint="eastAsia"/>
              </w:rPr>
              <w:t>3</w:t>
            </w:r>
          </w:p>
        </w:tc>
        <w:tc>
          <w:tcPr>
            <w:tcW w:w="1276" w:type="dxa"/>
            <w:vMerge w:val="continue"/>
            <w:vAlign w:val="center"/>
          </w:tcPr>
          <w:p/>
        </w:tc>
        <w:tc>
          <w:tcPr>
            <w:tcW w:w="1701" w:type="dxa"/>
            <w:vMerge w:val="restart"/>
            <w:vAlign w:val="center"/>
          </w:tcPr>
          <w:p>
            <w:r>
              <w:rPr>
                <w:rFonts w:hint="eastAsia"/>
              </w:rPr>
              <w:t>现状资源</w:t>
            </w:r>
          </w:p>
        </w:tc>
        <w:tc>
          <w:tcPr>
            <w:tcW w:w="2955" w:type="dxa"/>
            <w:vAlign w:val="center"/>
          </w:tcPr>
          <w:p>
            <w:r>
              <w:rPr>
                <w:rFonts w:hint="eastAsia"/>
              </w:rPr>
              <w:t>用地内部景观、水等资源状况</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tc>
        <w:tc>
          <w:tcPr>
            <w:tcW w:w="1276" w:type="dxa"/>
            <w:vMerge w:val="continue"/>
            <w:vAlign w:val="center"/>
          </w:tcPr>
          <w:p/>
        </w:tc>
        <w:tc>
          <w:tcPr>
            <w:tcW w:w="1701" w:type="dxa"/>
            <w:vMerge w:val="continue"/>
            <w:vAlign w:val="center"/>
          </w:tcPr>
          <w:p/>
        </w:tc>
        <w:tc>
          <w:tcPr>
            <w:tcW w:w="2955" w:type="dxa"/>
            <w:vAlign w:val="center"/>
          </w:tcPr>
          <w:p>
            <w:r>
              <w:rPr>
                <w:rFonts w:hint="eastAsia"/>
              </w:rPr>
              <w:t>用地外部景观、水等资源状况</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tc>
        <w:tc>
          <w:tcPr>
            <w:tcW w:w="1276" w:type="dxa"/>
            <w:vMerge w:val="continue"/>
            <w:vAlign w:val="center"/>
          </w:tcPr>
          <w:p/>
        </w:tc>
        <w:tc>
          <w:tcPr>
            <w:tcW w:w="1701" w:type="dxa"/>
            <w:vMerge w:val="continue"/>
            <w:vAlign w:val="center"/>
          </w:tcPr>
          <w:p/>
        </w:tc>
        <w:tc>
          <w:tcPr>
            <w:tcW w:w="2955" w:type="dxa"/>
            <w:vAlign w:val="center"/>
          </w:tcPr>
          <w:p>
            <w:r>
              <w:rPr>
                <w:rFonts w:hint="eastAsia"/>
              </w:rPr>
              <w:t>周地周边现状人口、旅游、公共服务设施等资源状况</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r>
              <w:rPr>
                <w:rFonts w:hint="eastAsia"/>
              </w:rPr>
              <w:t>4</w:t>
            </w:r>
          </w:p>
        </w:tc>
        <w:tc>
          <w:tcPr>
            <w:tcW w:w="1276" w:type="dxa"/>
            <w:vMerge w:val="restart"/>
            <w:vAlign w:val="center"/>
          </w:tcPr>
          <w:p>
            <w:r>
              <w:rPr>
                <w:rFonts w:hint="eastAsia"/>
              </w:rPr>
              <w:t>资源评估</w:t>
            </w:r>
          </w:p>
        </w:tc>
        <w:tc>
          <w:tcPr>
            <w:tcW w:w="1701" w:type="dxa"/>
            <w:vMerge w:val="restart"/>
            <w:vAlign w:val="center"/>
          </w:tcPr>
          <w:p>
            <w:r>
              <w:rPr>
                <w:rFonts w:hint="eastAsia"/>
              </w:rPr>
              <w:t>区位资源</w:t>
            </w:r>
          </w:p>
        </w:tc>
        <w:tc>
          <w:tcPr>
            <w:tcW w:w="2955" w:type="dxa"/>
            <w:vAlign w:val="center"/>
          </w:tcPr>
          <w:p>
            <w:r>
              <w:rPr>
                <w:rFonts w:hint="eastAsia"/>
              </w:rPr>
              <w:t>区域规划用地资源</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tc>
        <w:tc>
          <w:tcPr>
            <w:tcW w:w="1276" w:type="dxa"/>
            <w:vMerge w:val="continue"/>
            <w:vAlign w:val="center"/>
          </w:tcPr>
          <w:p/>
        </w:tc>
        <w:tc>
          <w:tcPr>
            <w:tcW w:w="1701" w:type="dxa"/>
            <w:vMerge w:val="continue"/>
            <w:vAlign w:val="center"/>
          </w:tcPr>
          <w:p/>
        </w:tc>
        <w:tc>
          <w:tcPr>
            <w:tcW w:w="2955" w:type="dxa"/>
            <w:vAlign w:val="center"/>
          </w:tcPr>
          <w:p>
            <w:r>
              <w:rPr>
                <w:rFonts w:hint="eastAsia"/>
              </w:rPr>
              <w:t>区域规划景观资源</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tc>
        <w:tc>
          <w:tcPr>
            <w:tcW w:w="1276" w:type="dxa"/>
            <w:vMerge w:val="continue"/>
            <w:vAlign w:val="center"/>
          </w:tcPr>
          <w:p/>
        </w:tc>
        <w:tc>
          <w:tcPr>
            <w:tcW w:w="1701" w:type="dxa"/>
            <w:vMerge w:val="continue"/>
            <w:vAlign w:val="center"/>
          </w:tcPr>
          <w:p/>
        </w:tc>
        <w:tc>
          <w:tcPr>
            <w:tcW w:w="2955" w:type="dxa"/>
            <w:vAlign w:val="center"/>
          </w:tcPr>
          <w:p>
            <w:r>
              <w:rPr>
                <w:rFonts w:hint="eastAsia"/>
              </w:rPr>
              <w:t>区域历史文化资源</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r>
              <w:rPr>
                <w:rFonts w:hint="eastAsia"/>
              </w:rPr>
              <w:t>5</w:t>
            </w:r>
          </w:p>
        </w:tc>
        <w:tc>
          <w:tcPr>
            <w:tcW w:w="1276" w:type="dxa"/>
            <w:vMerge w:val="continue"/>
            <w:vAlign w:val="center"/>
          </w:tcPr>
          <w:p/>
        </w:tc>
        <w:tc>
          <w:tcPr>
            <w:tcW w:w="1701" w:type="dxa"/>
            <w:vMerge w:val="restart"/>
            <w:vAlign w:val="center"/>
          </w:tcPr>
          <w:p>
            <w:r>
              <w:rPr>
                <w:rFonts w:hint="eastAsia"/>
              </w:rPr>
              <w:t>景观资源</w:t>
            </w:r>
          </w:p>
        </w:tc>
        <w:tc>
          <w:tcPr>
            <w:tcW w:w="2955" w:type="dxa"/>
            <w:vAlign w:val="center"/>
          </w:tcPr>
          <w:p>
            <w:r>
              <w:rPr>
                <w:rFonts w:hint="eastAsia"/>
              </w:rPr>
              <w:t>区域自然景观资源</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tc>
        <w:tc>
          <w:tcPr>
            <w:tcW w:w="1276" w:type="dxa"/>
            <w:vMerge w:val="continue"/>
            <w:vAlign w:val="center"/>
          </w:tcPr>
          <w:p/>
        </w:tc>
        <w:tc>
          <w:tcPr>
            <w:tcW w:w="1701" w:type="dxa"/>
            <w:vMerge w:val="continue"/>
            <w:vAlign w:val="center"/>
          </w:tcPr>
          <w:p/>
        </w:tc>
        <w:tc>
          <w:tcPr>
            <w:tcW w:w="2955" w:type="dxa"/>
            <w:vAlign w:val="center"/>
          </w:tcPr>
          <w:p>
            <w:r>
              <w:rPr>
                <w:rFonts w:hint="eastAsia"/>
              </w:rPr>
              <w:t>区域规划景观资源</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r>
              <w:rPr>
                <w:rFonts w:hint="eastAsia"/>
              </w:rPr>
              <w:t>6</w:t>
            </w:r>
          </w:p>
        </w:tc>
        <w:tc>
          <w:tcPr>
            <w:tcW w:w="1276" w:type="dxa"/>
            <w:vMerge w:val="continue"/>
            <w:vAlign w:val="center"/>
          </w:tcPr>
          <w:p/>
        </w:tc>
        <w:tc>
          <w:tcPr>
            <w:tcW w:w="1701" w:type="dxa"/>
            <w:vMerge w:val="restart"/>
            <w:vAlign w:val="center"/>
          </w:tcPr>
          <w:p>
            <w:r>
              <w:rPr>
                <w:rFonts w:hint="eastAsia"/>
              </w:rPr>
              <w:t>交通资源</w:t>
            </w:r>
          </w:p>
        </w:tc>
        <w:tc>
          <w:tcPr>
            <w:tcW w:w="2955" w:type="dxa"/>
            <w:vAlign w:val="center"/>
          </w:tcPr>
          <w:p>
            <w:r>
              <w:rPr>
                <w:rFonts w:hint="eastAsia"/>
              </w:rPr>
              <w:t>区域规划道路资源</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tc>
        <w:tc>
          <w:tcPr>
            <w:tcW w:w="1276" w:type="dxa"/>
            <w:vMerge w:val="continue"/>
            <w:vAlign w:val="center"/>
          </w:tcPr>
          <w:p/>
        </w:tc>
        <w:tc>
          <w:tcPr>
            <w:tcW w:w="1701" w:type="dxa"/>
            <w:vMerge w:val="continue"/>
            <w:vAlign w:val="center"/>
          </w:tcPr>
          <w:p/>
        </w:tc>
        <w:tc>
          <w:tcPr>
            <w:tcW w:w="2955" w:type="dxa"/>
            <w:vAlign w:val="center"/>
          </w:tcPr>
          <w:p>
            <w:r>
              <w:rPr>
                <w:rFonts w:hint="eastAsia"/>
              </w:rPr>
              <w:t>区域规划公共交通资源</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tc>
        <w:tc>
          <w:tcPr>
            <w:tcW w:w="1276" w:type="dxa"/>
            <w:vMerge w:val="continue"/>
            <w:vAlign w:val="center"/>
          </w:tcPr>
          <w:p/>
        </w:tc>
        <w:tc>
          <w:tcPr>
            <w:tcW w:w="1701" w:type="dxa"/>
            <w:vMerge w:val="continue"/>
            <w:vAlign w:val="center"/>
          </w:tcPr>
          <w:p/>
        </w:tc>
        <w:tc>
          <w:tcPr>
            <w:tcW w:w="2955" w:type="dxa"/>
            <w:vAlign w:val="center"/>
          </w:tcPr>
          <w:p>
            <w:r>
              <w:rPr>
                <w:rFonts w:hint="eastAsia"/>
              </w:rPr>
              <w:t>区域规划慢行系统资源</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r>
              <w:rPr>
                <w:rFonts w:hint="eastAsia"/>
              </w:rPr>
              <w:t>7</w:t>
            </w:r>
          </w:p>
        </w:tc>
        <w:tc>
          <w:tcPr>
            <w:tcW w:w="1276" w:type="dxa"/>
            <w:vMerge w:val="continue"/>
            <w:vAlign w:val="center"/>
          </w:tcPr>
          <w:p/>
        </w:tc>
        <w:tc>
          <w:tcPr>
            <w:tcW w:w="1701" w:type="dxa"/>
            <w:vMerge w:val="restart"/>
            <w:vAlign w:val="center"/>
          </w:tcPr>
          <w:p>
            <w:r>
              <w:rPr>
                <w:rFonts w:hint="eastAsia"/>
              </w:rPr>
              <w:t>政策支持</w:t>
            </w:r>
          </w:p>
        </w:tc>
        <w:tc>
          <w:tcPr>
            <w:tcW w:w="2955" w:type="dxa"/>
            <w:vAlign w:val="center"/>
          </w:tcPr>
          <w:p>
            <w:r>
              <w:rPr>
                <w:rFonts w:hint="eastAsia"/>
              </w:rPr>
              <w:t>国家、地方相关政策</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tc>
        <w:tc>
          <w:tcPr>
            <w:tcW w:w="1276" w:type="dxa"/>
            <w:vMerge w:val="continue"/>
            <w:vAlign w:val="center"/>
          </w:tcPr>
          <w:p/>
        </w:tc>
        <w:tc>
          <w:tcPr>
            <w:tcW w:w="1701" w:type="dxa"/>
            <w:vMerge w:val="continue"/>
            <w:vAlign w:val="center"/>
          </w:tcPr>
          <w:p/>
        </w:tc>
        <w:tc>
          <w:tcPr>
            <w:tcW w:w="2955" w:type="dxa"/>
            <w:vAlign w:val="center"/>
          </w:tcPr>
          <w:p>
            <w:r>
              <w:rPr>
                <w:rFonts w:hint="eastAsia"/>
              </w:rPr>
              <w:t>各部委政策指引</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tc>
        <w:tc>
          <w:tcPr>
            <w:tcW w:w="1276" w:type="dxa"/>
            <w:vMerge w:val="continue"/>
            <w:vAlign w:val="center"/>
          </w:tcPr>
          <w:p/>
        </w:tc>
        <w:tc>
          <w:tcPr>
            <w:tcW w:w="1701" w:type="dxa"/>
            <w:vMerge w:val="continue"/>
            <w:vAlign w:val="center"/>
          </w:tcPr>
          <w:p/>
        </w:tc>
        <w:tc>
          <w:tcPr>
            <w:tcW w:w="2955" w:type="dxa"/>
            <w:vAlign w:val="center"/>
          </w:tcPr>
          <w:p>
            <w:r>
              <w:rPr>
                <w:rFonts w:hint="eastAsia"/>
              </w:rPr>
              <w:t>产业发展导向</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r>
              <w:rPr>
                <w:rFonts w:hint="eastAsia"/>
              </w:rPr>
              <w:t>8</w:t>
            </w:r>
          </w:p>
        </w:tc>
        <w:tc>
          <w:tcPr>
            <w:tcW w:w="1276" w:type="dxa"/>
            <w:vMerge w:val="restart"/>
            <w:vAlign w:val="center"/>
          </w:tcPr>
          <w:p>
            <w:r>
              <w:rPr>
                <w:rFonts w:hint="eastAsia"/>
              </w:rPr>
              <w:t>房屋性能评估</w:t>
            </w:r>
          </w:p>
        </w:tc>
        <w:tc>
          <w:tcPr>
            <w:tcW w:w="1701" w:type="dxa"/>
            <w:vMerge w:val="restart"/>
            <w:vAlign w:val="center"/>
          </w:tcPr>
          <w:p>
            <w:r>
              <w:rPr>
                <w:rFonts w:hint="eastAsia"/>
                <w:bCs/>
              </w:rPr>
              <w:t>结构安全</w:t>
            </w:r>
          </w:p>
        </w:tc>
        <w:tc>
          <w:tcPr>
            <w:tcW w:w="2955" w:type="dxa"/>
            <w:vAlign w:val="center"/>
          </w:tcPr>
          <w:p>
            <w:r>
              <w:rPr>
                <w:rFonts w:hint="eastAsia"/>
                <w:bCs/>
              </w:rPr>
              <w:t>安全检测鉴定结论</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tc>
        <w:tc>
          <w:tcPr>
            <w:tcW w:w="1276" w:type="dxa"/>
            <w:vMerge w:val="continue"/>
            <w:vAlign w:val="center"/>
          </w:tcPr>
          <w:p/>
        </w:tc>
        <w:tc>
          <w:tcPr>
            <w:tcW w:w="1701" w:type="dxa"/>
            <w:vMerge w:val="continue"/>
            <w:vAlign w:val="center"/>
          </w:tcPr>
          <w:p/>
        </w:tc>
        <w:tc>
          <w:tcPr>
            <w:tcW w:w="2955" w:type="dxa"/>
            <w:vAlign w:val="center"/>
          </w:tcPr>
          <w:p>
            <w:r>
              <w:rPr>
                <w:rFonts w:hint="eastAsia"/>
                <w:bCs/>
              </w:rPr>
              <w:t>耐久性专项鉴定</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r>
              <w:rPr>
                <w:rFonts w:hint="eastAsia"/>
              </w:rPr>
              <w:t>9</w:t>
            </w:r>
          </w:p>
        </w:tc>
        <w:tc>
          <w:tcPr>
            <w:tcW w:w="1276" w:type="dxa"/>
            <w:vMerge w:val="continue"/>
            <w:vAlign w:val="center"/>
          </w:tcPr>
          <w:p/>
        </w:tc>
        <w:tc>
          <w:tcPr>
            <w:tcW w:w="1701" w:type="dxa"/>
            <w:vMerge w:val="restart"/>
            <w:vAlign w:val="center"/>
          </w:tcPr>
          <w:p>
            <w:r>
              <w:rPr>
                <w:rFonts w:hint="eastAsia"/>
                <w:bCs/>
              </w:rPr>
              <w:t>围护结构</w:t>
            </w:r>
          </w:p>
        </w:tc>
        <w:tc>
          <w:tcPr>
            <w:tcW w:w="2955" w:type="dxa"/>
            <w:vAlign w:val="center"/>
          </w:tcPr>
          <w:p>
            <w:pPr>
              <w:rPr>
                <w:bCs/>
              </w:rPr>
            </w:pPr>
            <w:r>
              <w:rPr>
                <w:rFonts w:hint="eastAsia"/>
                <w:bCs/>
              </w:rPr>
              <w:t>围护结构安全专项鉴定</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tc>
        <w:tc>
          <w:tcPr>
            <w:tcW w:w="1276" w:type="dxa"/>
            <w:vMerge w:val="continue"/>
            <w:vAlign w:val="center"/>
          </w:tcPr>
          <w:p/>
        </w:tc>
        <w:tc>
          <w:tcPr>
            <w:tcW w:w="1701" w:type="dxa"/>
            <w:vMerge w:val="continue"/>
            <w:vAlign w:val="center"/>
          </w:tcPr>
          <w:p/>
        </w:tc>
        <w:tc>
          <w:tcPr>
            <w:tcW w:w="2955" w:type="dxa"/>
            <w:vAlign w:val="center"/>
          </w:tcPr>
          <w:p>
            <w:pPr>
              <w:rPr>
                <w:bCs/>
              </w:rPr>
            </w:pPr>
            <w:r>
              <w:rPr>
                <w:rFonts w:hint="eastAsia"/>
                <w:bCs/>
              </w:rPr>
              <w:t>围护结构节能</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tc>
        <w:tc>
          <w:tcPr>
            <w:tcW w:w="1276" w:type="dxa"/>
            <w:vMerge w:val="continue"/>
            <w:vAlign w:val="center"/>
          </w:tcPr>
          <w:p/>
        </w:tc>
        <w:tc>
          <w:tcPr>
            <w:tcW w:w="1701" w:type="dxa"/>
            <w:vMerge w:val="continue"/>
            <w:vAlign w:val="center"/>
          </w:tcPr>
          <w:p/>
        </w:tc>
        <w:tc>
          <w:tcPr>
            <w:tcW w:w="2955" w:type="dxa"/>
            <w:vAlign w:val="center"/>
          </w:tcPr>
          <w:p>
            <w:pPr>
              <w:rPr>
                <w:bCs/>
              </w:rPr>
            </w:pPr>
            <w:r>
              <w:rPr>
                <w:rFonts w:hint="eastAsia"/>
                <w:bCs/>
              </w:rPr>
              <w:t>围护结构防水</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r>
              <w:rPr>
                <w:rFonts w:hint="eastAsia"/>
              </w:rPr>
              <w:t>1</w:t>
            </w:r>
            <w:r>
              <w:t>0</w:t>
            </w:r>
          </w:p>
        </w:tc>
        <w:tc>
          <w:tcPr>
            <w:tcW w:w="1276" w:type="dxa"/>
            <w:vMerge w:val="continue"/>
            <w:vAlign w:val="center"/>
          </w:tcPr>
          <w:p/>
        </w:tc>
        <w:tc>
          <w:tcPr>
            <w:tcW w:w="1701" w:type="dxa"/>
            <w:vMerge w:val="restart"/>
            <w:vAlign w:val="center"/>
          </w:tcPr>
          <w:p>
            <w:r>
              <w:rPr>
                <w:rFonts w:hint="eastAsia"/>
                <w:bCs/>
              </w:rPr>
              <w:t>室内环境</w:t>
            </w:r>
          </w:p>
        </w:tc>
        <w:tc>
          <w:tcPr>
            <w:tcW w:w="2955" w:type="dxa"/>
            <w:vAlign w:val="center"/>
          </w:tcPr>
          <w:p>
            <w:pPr>
              <w:rPr>
                <w:bCs/>
              </w:rPr>
            </w:pPr>
            <w:r>
              <w:rPr>
                <w:rFonts w:hint="eastAsia"/>
                <w:bCs/>
              </w:rPr>
              <w:t>自然通风</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tc>
        <w:tc>
          <w:tcPr>
            <w:tcW w:w="1276" w:type="dxa"/>
            <w:vMerge w:val="continue"/>
            <w:vAlign w:val="center"/>
          </w:tcPr>
          <w:p/>
        </w:tc>
        <w:tc>
          <w:tcPr>
            <w:tcW w:w="1701" w:type="dxa"/>
            <w:vMerge w:val="continue"/>
            <w:vAlign w:val="center"/>
          </w:tcPr>
          <w:p>
            <w:pPr>
              <w:rPr>
                <w:bCs/>
              </w:rPr>
            </w:pPr>
          </w:p>
        </w:tc>
        <w:tc>
          <w:tcPr>
            <w:tcW w:w="2955" w:type="dxa"/>
            <w:vAlign w:val="center"/>
          </w:tcPr>
          <w:p>
            <w:pPr>
              <w:rPr>
                <w:bCs/>
              </w:rPr>
            </w:pPr>
            <w:r>
              <w:rPr>
                <w:rFonts w:hint="eastAsia"/>
                <w:bCs/>
              </w:rPr>
              <w:t>自然采光</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tc>
        <w:tc>
          <w:tcPr>
            <w:tcW w:w="1276" w:type="dxa"/>
            <w:vMerge w:val="continue"/>
            <w:vAlign w:val="center"/>
          </w:tcPr>
          <w:p/>
        </w:tc>
        <w:tc>
          <w:tcPr>
            <w:tcW w:w="1701" w:type="dxa"/>
            <w:vMerge w:val="continue"/>
            <w:vAlign w:val="center"/>
          </w:tcPr>
          <w:p>
            <w:pPr>
              <w:rPr>
                <w:bCs/>
              </w:rPr>
            </w:pPr>
          </w:p>
        </w:tc>
        <w:tc>
          <w:tcPr>
            <w:tcW w:w="2955" w:type="dxa"/>
            <w:vAlign w:val="center"/>
          </w:tcPr>
          <w:p>
            <w:pPr>
              <w:rPr>
                <w:bCs/>
              </w:rPr>
            </w:pPr>
            <w:r>
              <w:rPr>
                <w:rFonts w:hint="eastAsia"/>
                <w:bCs/>
              </w:rPr>
              <w:t>遮阳设施</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r>
              <w:rPr>
                <w:rFonts w:hint="eastAsia"/>
              </w:rPr>
              <w:t>1</w:t>
            </w:r>
            <w:r>
              <w:t>1</w:t>
            </w:r>
          </w:p>
        </w:tc>
        <w:tc>
          <w:tcPr>
            <w:tcW w:w="1276" w:type="dxa"/>
            <w:vMerge w:val="continue"/>
            <w:vAlign w:val="center"/>
          </w:tcPr>
          <w:p/>
        </w:tc>
        <w:tc>
          <w:tcPr>
            <w:tcW w:w="1701" w:type="dxa"/>
            <w:vMerge w:val="restart"/>
            <w:vAlign w:val="center"/>
          </w:tcPr>
          <w:p>
            <w:pPr>
              <w:rPr>
                <w:bCs/>
              </w:rPr>
            </w:pPr>
            <w:r>
              <w:rPr>
                <w:rFonts w:hint="eastAsia"/>
                <w:bCs/>
              </w:rPr>
              <w:t>机电系统与设备</w:t>
            </w:r>
          </w:p>
        </w:tc>
        <w:tc>
          <w:tcPr>
            <w:tcW w:w="2955" w:type="dxa"/>
            <w:vAlign w:val="center"/>
          </w:tcPr>
          <w:p>
            <w:pPr>
              <w:rPr>
                <w:bCs/>
              </w:rPr>
            </w:pPr>
            <w:r>
              <w:rPr>
                <w:rFonts w:hint="eastAsia"/>
                <w:bCs/>
              </w:rPr>
              <w:t>供暖、通风和空调系统及设备</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tc>
        <w:tc>
          <w:tcPr>
            <w:tcW w:w="1276" w:type="dxa"/>
            <w:vMerge w:val="continue"/>
            <w:vAlign w:val="center"/>
          </w:tcPr>
          <w:p/>
        </w:tc>
        <w:tc>
          <w:tcPr>
            <w:tcW w:w="1701" w:type="dxa"/>
            <w:vMerge w:val="continue"/>
            <w:vAlign w:val="center"/>
          </w:tcPr>
          <w:p>
            <w:pPr>
              <w:rPr>
                <w:bCs/>
              </w:rPr>
            </w:pPr>
          </w:p>
        </w:tc>
        <w:tc>
          <w:tcPr>
            <w:tcW w:w="2955" w:type="dxa"/>
            <w:vAlign w:val="center"/>
          </w:tcPr>
          <w:p>
            <w:pPr>
              <w:rPr>
                <w:bCs/>
              </w:rPr>
            </w:pPr>
            <w:r>
              <w:rPr>
                <w:rFonts w:hint="eastAsia"/>
                <w:bCs/>
              </w:rPr>
              <w:t>给排水系统及设备</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tc>
        <w:tc>
          <w:tcPr>
            <w:tcW w:w="1276" w:type="dxa"/>
            <w:vMerge w:val="continue"/>
            <w:vAlign w:val="center"/>
          </w:tcPr>
          <w:p/>
        </w:tc>
        <w:tc>
          <w:tcPr>
            <w:tcW w:w="1701" w:type="dxa"/>
            <w:vMerge w:val="continue"/>
            <w:vAlign w:val="center"/>
          </w:tcPr>
          <w:p>
            <w:pPr>
              <w:rPr>
                <w:bCs/>
              </w:rPr>
            </w:pPr>
          </w:p>
        </w:tc>
        <w:tc>
          <w:tcPr>
            <w:tcW w:w="2955" w:type="dxa"/>
            <w:vAlign w:val="center"/>
          </w:tcPr>
          <w:p>
            <w:pPr>
              <w:rPr>
                <w:bCs/>
              </w:rPr>
            </w:pPr>
            <w:r>
              <w:rPr>
                <w:rFonts w:hint="eastAsia"/>
                <w:bCs/>
              </w:rPr>
              <w:t>电气供配电系统及设备</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tc>
        <w:tc>
          <w:tcPr>
            <w:tcW w:w="1276" w:type="dxa"/>
            <w:vMerge w:val="continue"/>
            <w:vAlign w:val="center"/>
          </w:tcPr>
          <w:p/>
        </w:tc>
        <w:tc>
          <w:tcPr>
            <w:tcW w:w="1701" w:type="dxa"/>
            <w:vMerge w:val="continue"/>
            <w:vAlign w:val="center"/>
          </w:tcPr>
          <w:p>
            <w:pPr>
              <w:rPr>
                <w:bCs/>
              </w:rPr>
            </w:pPr>
          </w:p>
        </w:tc>
        <w:tc>
          <w:tcPr>
            <w:tcW w:w="2955" w:type="dxa"/>
            <w:vAlign w:val="center"/>
          </w:tcPr>
          <w:p>
            <w:pPr>
              <w:rPr>
                <w:bCs/>
              </w:rPr>
            </w:pPr>
            <w:r>
              <w:rPr>
                <w:rFonts w:hint="eastAsia"/>
                <w:bCs/>
              </w:rPr>
              <w:t>电气照明系统及设备</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tc>
        <w:tc>
          <w:tcPr>
            <w:tcW w:w="1276" w:type="dxa"/>
            <w:vMerge w:val="continue"/>
            <w:vAlign w:val="center"/>
          </w:tcPr>
          <w:p/>
        </w:tc>
        <w:tc>
          <w:tcPr>
            <w:tcW w:w="1701" w:type="dxa"/>
            <w:vMerge w:val="continue"/>
            <w:vAlign w:val="center"/>
          </w:tcPr>
          <w:p>
            <w:pPr>
              <w:rPr>
                <w:bCs/>
              </w:rPr>
            </w:pPr>
          </w:p>
        </w:tc>
        <w:tc>
          <w:tcPr>
            <w:tcW w:w="2955" w:type="dxa"/>
            <w:vAlign w:val="center"/>
          </w:tcPr>
          <w:p>
            <w:pPr>
              <w:rPr>
                <w:bCs/>
              </w:rPr>
            </w:pPr>
            <w:r>
              <w:rPr>
                <w:rFonts w:hint="eastAsia"/>
                <w:bCs/>
              </w:rPr>
              <w:t>防雷及接地系统设施</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tc>
        <w:tc>
          <w:tcPr>
            <w:tcW w:w="1276" w:type="dxa"/>
            <w:vMerge w:val="continue"/>
            <w:vAlign w:val="center"/>
          </w:tcPr>
          <w:p/>
        </w:tc>
        <w:tc>
          <w:tcPr>
            <w:tcW w:w="1701" w:type="dxa"/>
            <w:vMerge w:val="continue"/>
            <w:vAlign w:val="center"/>
          </w:tcPr>
          <w:p>
            <w:pPr>
              <w:rPr>
                <w:bCs/>
              </w:rPr>
            </w:pPr>
          </w:p>
        </w:tc>
        <w:tc>
          <w:tcPr>
            <w:tcW w:w="2955" w:type="dxa"/>
            <w:vAlign w:val="center"/>
          </w:tcPr>
          <w:p>
            <w:pPr>
              <w:rPr>
                <w:bCs/>
              </w:rPr>
            </w:pPr>
            <w:r>
              <w:rPr>
                <w:rFonts w:hint="eastAsia"/>
                <w:bCs/>
              </w:rPr>
              <w:t>智能化系统及设备</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tc>
        <w:tc>
          <w:tcPr>
            <w:tcW w:w="1276" w:type="dxa"/>
            <w:vMerge w:val="continue"/>
            <w:vAlign w:val="center"/>
          </w:tcPr>
          <w:p/>
        </w:tc>
        <w:tc>
          <w:tcPr>
            <w:tcW w:w="1701" w:type="dxa"/>
            <w:vMerge w:val="continue"/>
            <w:vAlign w:val="center"/>
          </w:tcPr>
          <w:p>
            <w:pPr>
              <w:rPr>
                <w:bCs/>
              </w:rPr>
            </w:pPr>
          </w:p>
        </w:tc>
        <w:tc>
          <w:tcPr>
            <w:tcW w:w="2955" w:type="dxa"/>
            <w:vAlign w:val="center"/>
          </w:tcPr>
          <w:p>
            <w:pPr>
              <w:rPr>
                <w:bCs/>
              </w:rPr>
            </w:pPr>
            <w:r>
              <w:rPr>
                <w:rFonts w:hint="eastAsia"/>
                <w:bCs/>
              </w:rPr>
              <w:t>工艺设备</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tc>
        <w:tc>
          <w:tcPr>
            <w:tcW w:w="1276" w:type="dxa"/>
            <w:vMerge w:val="continue"/>
            <w:vAlign w:val="center"/>
          </w:tcPr>
          <w:p/>
        </w:tc>
        <w:tc>
          <w:tcPr>
            <w:tcW w:w="1701" w:type="dxa"/>
            <w:vMerge w:val="continue"/>
            <w:vAlign w:val="center"/>
          </w:tcPr>
          <w:p>
            <w:pPr>
              <w:rPr>
                <w:bCs/>
              </w:rPr>
            </w:pPr>
          </w:p>
        </w:tc>
        <w:tc>
          <w:tcPr>
            <w:tcW w:w="2955" w:type="dxa"/>
            <w:vAlign w:val="center"/>
          </w:tcPr>
          <w:p>
            <w:pPr>
              <w:rPr>
                <w:bCs/>
              </w:rPr>
            </w:pPr>
            <w:r>
              <w:rPr>
                <w:rFonts w:hint="eastAsia"/>
                <w:bCs/>
              </w:rPr>
              <w:t>其他设备设施，包括电梯、烟囱、起重设备等</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r>
              <w:rPr>
                <w:rFonts w:hint="eastAsia"/>
              </w:rPr>
              <w:t>1</w:t>
            </w:r>
            <w:r>
              <w:t>2</w:t>
            </w:r>
          </w:p>
        </w:tc>
        <w:tc>
          <w:tcPr>
            <w:tcW w:w="1276" w:type="dxa"/>
            <w:vMerge w:val="continue"/>
            <w:vAlign w:val="center"/>
          </w:tcPr>
          <w:p/>
        </w:tc>
        <w:tc>
          <w:tcPr>
            <w:tcW w:w="1701" w:type="dxa"/>
            <w:vMerge w:val="restart"/>
            <w:vAlign w:val="center"/>
          </w:tcPr>
          <w:p>
            <w:pPr>
              <w:rPr>
                <w:bCs/>
              </w:rPr>
            </w:pPr>
            <w:r>
              <w:rPr>
                <w:rFonts w:hint="eastAsia"/>
                <w:bCs/>
              </w:rPr>
              <w:t>市政资源与小市政</w:t>
            </w:r>
          </w:p>
        </w:tc>
        <w:tc>
          <w:tcPr>
            <w:tcW w:w="2955" w:type="dxa"/>
            <w:vAlign w:val="center"/>
          </w:tcPr>
          <w:p>
            <w:pPr>
              <w:rPr>
                <w:bCs/>
              </w:rPr>
            </w:pPr>
            <w:r>
              <w:rPr>
                <w:rFonts w:hint="eastAsia"/>
                <w:bCs/>
              </w:rPr>
              <w:t xml:space="preserve">工厂余热利用 </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tc>
        <w:tc>
          <w:tcPr>
            <w:tcW w:w="1276" w:type="dxa"/>
            <w:vMerge w:val="continue"/>
            <w:vAlign w:val="center"/>
          </w:tcPr>
          <w:p/>
        </w:tc>
        <w:tc>
          <w:tcPr>
            <w:tcW w:w="1701" w:type="dxa"/>
            <w:vMerge w:val="continue"/>
            <w:vAlign w:val="center"/>
          </w:tcPr>
          <w:p>
            <w:pPr>
              <w:rPr>
                <w:bCs/>
              </w:rPr>
            </w:pPr>
          </w:p>
        </w:tc>
        <w:tc>
          <w:tcPr>
            <w:tcW w:w="2955" w:type="dxa"/>
            <w:vAlign w:val="center"/>
          </w:tcPr>
          <w:p>
            <w:pPr>
              <w:rPr>
                <w:bCs/>
              </w:rPr>
            </w:pPr>
            <w:r>
              <w:rPr>
                <w:rFonts w:hint="eastAsia"/>
                <w:bCs/>
              </w:rPr>
              <w:t>水、电、暖等市政资源</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tc>
        <w:tc>
          <w:tcPr>
            <w:tcW w:w="1276" w:type="dxa"/>
            <w:vMerge w:val="continue"/>
            <w:vAlign w:val="center"/>
          </w:tcPr>
          <w:p/>
        </w:tc>
        <w:tc>
          <w:tcPr>
            <w:tcW w:w="1701" w:type="dxa"/>
            <w:vMerge w:val="continue"/>
            <w:vAlign w:val="center"/>
          </w:tcPr>
          <w:p>
            <w:pPr>
              <w:rPr>
                <w:bCs/>
              </w:rPr>
            </w:pPr>
          </w:p>
        </w:tc>
        <w:tc>
          <w:tcPr>
            <w:tcW w:w="2955" w:type="dxa"/>
            <w:vAlign w:val="center"/>
          </w:tcPr>
          <w:p>
            <w:pPr>
              <w:rPr>
                <w:bCs/>
              </w:rPr>
            </w:pPr>
            <w:r>
              <w:rPr>
                <w:rFonts w:hint="eastAsia"/>
                <w:bCs/>
              </w:rPr>
              <w:t>用地内部小市政管线及设备设施</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r>
              <w:rPr>
                <w:rFonts w:hint="eastAsia"/>
              </w:rPr>
              <w:t>1</w:t>
            </w:r>
            <w:r>
              <w:t>3</w:t>
            </w:r>
          </w:p>
        </w:tc>
        <w:tc>
          <w:tcPr>
            <w:tcW w:w="1276" w:type="dxa"/>
            <w:vMerge w:val="restart"/>
            <w:vAlign w:val="center"/>
          </w:tcPr>
          <w:p>
            <w:r>
              <w:rPr>
                <w:rFonts w:hint="eastAsia"/>
              </w:rPr>
              <w:t>场地环境评估</w:t>
            </w:r>
          </w:p>
        </w:tc>
        <w:tc>
          <w:tcPr>
            <w:tcW w:w="1701" w:type="dxa"/>
            <w:vMerge w:val="restart"/>
            <w:vAlign w:val="center"/>
          </w:tcPr>
          <w:p>
            <w:pPr>
              <w:rPr>
                <w:bCs/>
              </w:rPr>
            </w:pPr>
            <w:r>
              <w:rPr>
                <w:rFonts w:hint="eastAsia"/>
              </w:rPr>
              <w:t>场地安全性</w:t>
            </w:r>
          </w:p>
        </w:tc>
        <w:tc>
          <w:tcPr>
            <w:tcW w:w="2955" w:type="dxa"/>
            <w:vAlign w:val="center"/>
          </w:tcPr>
          <w:p>
            <w:pPr>
              <w:rPr>
                <w:bCs/>
              </w:rPr>
            </w:pPr>
            <w:r>
              <w:rPr>
                <w:rFonts w:hint="eastAsia"/>
                <w:bCs/>
              </w:rPr>
              <w:t>发生滑坡、崩塌、地陷、地裂、泥石流等地质灾害的可能性</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tc>
        <w:tc>
          <w:tcPr>
            <w:tcW w:w="1276" w:type="dxa"/>
            <w:vMerge w:val="continue"/>
            <w:vAlign w:val="center"/>
          </w:tcPr>
          <w:p/>
        </w:tc>
        <w:tc>
          <w:tcPr>
            <w:tcW w:w="1701" w:type="dxa"/>
            <w:vMerge w:val="continue"/>
            <w:vAlign w:val="center"/>
          </w:tcPr>
          <w:p>
            <w:pPr>
              <w:rPr>
                <w:bCs/>
              </w:rPr>
            </w:pPr>
          </w:p>
        </w:tc>
        <w:tc>
          <w:tcPr>
            <w:tcW w:w="2955" w:type="dxa"/>
            <w:vAlign w:val="center"/>
          </w:tcPr>
          <w:p>
            <w:pPr>
              <w:rPr>
                <w:bCs/>
              </w:rPr>
            </w:pPr>
            <w:r>
              <w:rPr>
                <w:rFonts w:hint="eastAsia"/>
                <w:bCs/>
              </w:rPr>
              <w:t>是否位于抗震危险地段</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tc>
        <w:tc>
          <w:tcPr>
            <w:tcW w:w="1276" w:type="dxa"/>
            <w:vMerge w:val="continue"/>
            <w:vAlign w:val="center"/>
          </w:tcPr>
          <w:p/>
        </w:tc>
        <w:tc>
          <w:tcPr>
            <w:tcW w:w="1701" w:type="dxa"/>
            <w:vMerge w:val="continue"/>
            <w:vAlign w:val="center"/>
          </w:tcPr>
          <w:p>
            <w:pPr>
              <w:rPr>
                <w:bCs/>
              </w:rPr>
            </w:pPr>
          </w:p>
        </w:tc>
        <w:tc>
          <w:tcPr>
            <w:tcW w:w="2955" w:type="dxa"/>
            <w:vAlign w:val="center"/>
          </w:tcPr>
          <w:p>
            <w:pPr>
              <w:rPr>
                <w:bCs/>
              </w:rPr>
            </w:pPr>
            <w:r>
              <w:rPr>
                <w:rFonts w:hint="eastAsia"/>
                <w:bCs/>
              </w:rPr>
              <w:t>是否位于分洪和退洪门附近及洪水主流区域</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tc>
        <w:tc>
          <w:tcPr>
            <w:tcW w:w="1276" w:type="dxa"/>
            <w:vMerge w:val="continue"/>
            <w:vAlign w:val="center"/>
          </w:tcPr>
          <w:p/>
        </w:tc>
        <w:tc>
          <w:tcPr>
            <w:tcW w:w="1701" w:type="dxa"/>
            <w:vMerge w:val="continue"/>
            <w:vAlign w:val="center"/>
          </w:tcPr>
          <w:p>
            <w:pPr>
              <w:rPr>
                <w:bCs/>
              </w:rPr>
            </w:pPr>
          </w:p>
        </w:tc>
        <w:tc>
          <w:tcPr>
            <w:tcW w:w="2955" w:type="dxa"/>
            <w:vAlign w:val="center"/>
          </w:tcPr>
          <w:p>
            <w:pPr>
              <w:rPr>
                <w:bCs/>
              </w:rPr>
            </w:pPr>
            <w:r>
              <w:rPr>
                <w:rFonts w:hint="eastAsia"/>
                <w:bCs/>
              </w:rPr>
              <w:t>是否存在其他难以整治和防御的灾害高危害影响区</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tc>
        <w:tc>
          <w:tcPr>
            <w:tcW w:w="1276" w:type="dxa"/>
            <w:vMerge w:val="continue"/>
            <w:vAlign w:val="center"/>
          </w:tcPr>
          <w:p/>
        </w:tc>
        <w:tc>
          <w:tcPr>
            <w:tcW w:w="1701" w:type="dxa"/>
            <w:vMerge w:val="continue"/>
            <w:vAlign w:val="center"/>
          </w:tcPr>
          <w:p>
            <w:pPr>
              <w:rPr>
                <w:bCs/>
              </w:rPr>
            </w:pPr>
          </w:p>
        </w:tc>
        <w:tc>
          <w:tcPr>
            <w:tcW w:w="2955" w:type="dxa"/>
            <w:vAlign w:val="center"/>
          </w:tcPr>
          <w:p>
            <w:pPr>
              <w:rPr>
                <w:bCs/>
              </w:rPr>
            </w:pPr>
            <w:r>
              <w:rPr>
                <w:rFonts w:hint="eastAsia"/>
                <w:bCs/>
              </w:rPr>
              <w:t>场地内及周边是否有危险品生产、存储运输、经营企业或设施，其生产及存储规模，以及具体工艺、安全措施及安全间距等</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tc>
        <w:tc>
          <w:tcPr>
            <w:tcW w:w="1276" w:type="dxa"/>
            <w:vMerge w:val="continue"/>
            <w:vAlign w:val="center"/>
          </w:tcPr>
          <w:p/>
        </w:tc>
        <w:tc>
          <w:tcPr>
            <w:tcW w:w="1701" w:type="dxa"/>
            <w:vMerge w:val="continue"/>
            <w:vAlign w:val="center"/>
          </w:tcPr>
          <w:p>
            <w:pPr>
              <w:rPr>
                <w:bCs/>
              </w:rPr>
            </w:pPr>
          </w:p>
        </w:tc>
        <w:tc>
          <w:tcPr>
            <w:tcW w:w="2955" w:type="dxa"/>
            <w:vAlign w:val="center"/>
          </w:tcPr>
          <w:p>
            <w:pPr>
              <w:rPr>
                <w:bCs/>
              </w:rPr>
            </w:pPr>
            <w:r>
              <w:rPr>
                <w:rFonts w:hint="eastAsia"/>
                <w:bCs/>
              </w:rPr>
              <w:t>场地内及周边是否有加油站、加气站、调压站等危险性较大的设施，其具体工艺、安全措施及安全间距等</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r>
              <w:rPr>
                <w:rFonts w:hint="eastAsia"/>
              </w:rPr>
              <w:t>1</w:t>
            </w:r>
            <w:r>
              <w:t>4</w:t>
            </w:r>
          </w:p>
        </w:tc>
        <w:tc>
          <w:tcPr>
            <w:tcW w:w="1276" w:type="dxa"/>
            <w:vMerge w:val="continue"/>
            <w:vAlign w:val="center"/>
          </w:tcPr>
          <w:p/>
        </w:tc>
        <w:tc>
          <w:tcPr>
            <w:tcW w:w="1701" w:type="dxa"/>
            <w:vMerge w:val="restart"/>
            <w:vAlign w:val="center"/>
          </w:tcPr>
          <w:p>
            <w:pPr>
              <w:rPr>
                <w:bCs/>
              </w:rPr>
            </w:pPr>
            <w:r>
              <w:rPr>
                <w:rFonts w:hint="eastAsia"/>
              </w:rPr>
              <w:t>污染源</w:t>
            </w:r>
          </w:p>
        </w:tc>
        <w:tc>
          <w:tcPr>
            <w:tcW w:w="2955" w:type="dxa"/>
            <w:vAlign w:val="center"/>
          </w:tcPr>
          <w:p>
            <w:pPr>
              <w:rPr>
                <w:bCs/>
              </w:rPr>
            </w:pPr>
            <w:r>
              <w:rPr>
                <w:rFonts w:hint="eastAsia"/>
                <w:bCs/>
              </w:rPr>
              <w:t>原厂房工艺污染情况分析</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tc>
        <w:tc>
          <w:tcPr>
            <w:tcW w:w="1276" w:type="dxa"/>
            <w:vMerge w:val="continue"/>
            <w:vAlign w:val="center"/>
          </w:tcPr>
          <w:p/>
        </w:tc>
        <w:tc>
          <w:tcPr>
            <w:tcW w:w="1701" w:type="dxa"/>
            <w:vMerge w:val="continue"/>
            <w:vAlign w:val="center"/>
          </w:tcPr>
          <w:p/>
        </w:tc>
        <w:tc>
          <w:tcPr>
            <w:tcW w:w="2955" w:type="dxa"/>
            <w:vAlign w:val="center"/>
          </w:tcPr>
          <w:p>
            <w:pPr>
              <w:rPr>
                <w:bCs/>
              </w:rPr>
            </w:pPr>
            <w:r>
              <w:rPr>
                <w:rFonts w:hint="eastAsia"/>
                <w:bCs/>
              </w:rPr>
              <w:t>土壤污染情况</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tc>
        <w:tc>
          <w:tcPr>
            <w:tcW w:w="1276" w:type="dxa"/>
            <w:vMerge w:val="continue"/>
            <w:vAlign w:val="center"/>
          </w:tcPr>
          <w:p/>
        </w:tc>
        <w:tc>
          <w:tcPr>
            <w:tcW w:w="1701" w:type="dxa"/>
            <w:vMerge w:val="continue"/>
            <w:vAlign w:val="center"/>
          </w:tcPr>
          <w:p/>
        </w:tc>
        <w:tc>
          <w:tcPr>
            <w:tcW w:w="2955" w:type="dxa"/>
            <w:vAlign w:val="center"/>
          </w:tcPr>
          <w:p>
            <w:pPr>
              <w:rPr>
                <w:bCs/>
              </w:rPr>
            </w:pPr>
            <w:r>
              <w:rPr>
                <w:rFonts w:hint="eastAsia"/>
                <w:bCs/>
              </w:rPr>
              <w:t>空气污染情况</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tc>
        <w:tc>
          <w:tcPr>
            <w:tcW w:w="1276" w:type="dxa"/>
            <w:vMerge w:val="continue"/>
            <w:vAlign w:val="center"/>
          </w:tcPr>
          <w:p/>
        </w:tc>
        <w:tc>
          <w:tcPr>
            <w:tcW w:w="1701" w:type="dxa"/>
            <w:vMerge w:val="continue"/>
            <w:vAlign w:val="center"/>
          </w:tcPr>
          <w:p/>
        </w:tc>
        <w:tc>
          <w:tcPr>
            <w:tcW w:w="2955" w:type="dxa"/>
            <w:vAlign w:val="center"/>
          </w:tcPr>
          <w:p>
            <w:pPr>
              <w:rPr>
                <w:bCs/>
              </w:rPr>
            </w:pPr>
            <w:r>
              <w:rPr>
                <w:rFonts w:hint="eastAsia"/>
                <w:bCs/>
              </w:rPr>
              <w:t>用水污染情况</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tc>
        <w:tc>
          <w:tcPr>
            <w:tcW w:w="1276" w:type="dxa"/>
            <w:vMerge w:val="continue"/>
            <w:vAlign w:val="center"/>
          </w:tcPr>
          <w:p/>
        </w:tc>
        <w:tc>
          <w:tcPr>
            <w:tcW w:w="1701" w:type="dxa"/>
            <w:vMerge w:val="continue"/>
            <w:vAlign w:val="center"/>
          </w:tcPr>
          <w:p/>
        </w:tc>
        <w:tc>
          <w:tcPr>
            <w:tcW w:w="2955" w:type="dxa"/>
            <w:vAlign w:val="center"/>
          </w:tcPr>
          <w:p>
            <w:pPr>
              <w:rPr>
                <w:bCs/>
              </w:rPr>
            </w:pPr>
            <w:r>
              <w:rPr>
                <w:rFonts w:hint="eastAsia"/>
                <w:bCs/>
              </w:rPr>
              <w:t>保留建筑物、构筑物及设备设施是否存留污染源</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r>
              <w:rPr>
                <w:rFonts w:hint="eastAsia"/>
              </w:rPr>
              <w:t>1</w:t>
            </w:r>
            <w:r>
              <w:t>5</w:t>
            </w:r>
          </w:p>
        </w:tc>
        <w:tc>
          <w:tcPr>
            <w:tcW w:w="1276" w:type="dxa"/>
            <w:vMerge w:val="continue"/>
            <w:vAlign w:val="center"/>
          </w:tcPr>
          <w:p/>
        </w:tc>
        <w:tc>
          <w:tcPr>
            <w:tcW w:w="1701" w:type="dxa"/>
            <w:vMerge w:val="restart"/>
            <w:vAlign w:val="center"/>
          </w:tcPr>
          <w:p>
            <w:r>
              <w:rPr>
                <w:rFonts w:hint="eastAsia"/>
              </w:rPr>
              <w:t>景观水体水质</w:t>
            </w:r>
          </w:p>
        </w:tc>
        <w:tc>
          <w:tcPr>
            <w:tcW w:w="2955" w:type="dxa"/>
            <w:vAlign w:val="center"/>
          </w:tcPr>
          <w:p>
            <w:pPr>
              <w:rPr>
                <w:bCs/>
              </w:rPr>
            </w:pPr>
            <w:r>
              <w:rPr>
                <w:rFonts w:hint="eastAsia"/>
                <w:bCs/>
              </w:rPr>
              <w:t>现状自然水体水质污染情况</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tc>
        <w:tc>
          <w:tcPr>
            <w:tcW w:w="1276" w:type="dxa"/>
            <w:vMerge w:val="continue"/>
            <w:vAlign w:val="center"/>
          </w:tcPr>
          <w:p/>
        </w:tc>
        <w:tc>
          <w:tcPr>
            <w:tcW w:w="1701" w:type="dxa"/>
            <w:vMerge w:val="continue"/>
            <w:vAlign w:val="center"/>
          </w:tcPr>
          <w:p/>
        </w:tc>
        <w:tc>
          <w:tcPr>
            <w:tcW w:w="2955" w:type="dxa"/>
            <w:vAlign w:val="center"/>
          </w:tcPr>
          <w:p>
            <w:pPr>
              <w:rPr>
                <w:bCs/>
              </w:rPr>
            </w:pPr>
            <w:r>
              <w:rPr>
                <w:rFonts w:hint="eastAsia"/>
                <w:bCs/>
              </w:rPr>
              <w:t>保留厂房、厂区内可以作为景观水体的水资源污染情况</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1</w:t>
            </w:r>
            <w:r>
              <w:t>6</w:t>
            </w:r>
          </w:p>
        </w:tc>
        <w:tc>
          <w:tcPr>
            <w:tcW w:w="1276" w:type="dxa"/>
            <w:vMerge w:val="continue"/>
            <w:vAlign w:val="center"/>
          </w:tcPr>
          <w:p/>
        </w:tc>
        <w:tc>
          <w:tcPr>
            <w:tcW w:w="1701" w:type="dxa"/>
            <w:vAlign w:val="center"/>
          </w:tcPr>
          <w:p>
            <w:r>
              <w:rPr>
                <w:rFonts w:hint="eastAsia"/>
              </w:rPr>
              <w:t>场地下垫面</w:t>
            </w:r>
          </w:p>
        </w:tc>
        <w:tc>
          <w:tcPr>
            <w:tcW w:w="2955" w:type="dxa"/>
            <w:vAlign w:val="center"/>
          </w:tcPr>
          <w:p>
            <w:pPr>
              <w:rPr>
                <w:bCs/>
              </w:rPr>
            </w:pPr>
            <w:r>
              <w:rPr>
                <w:rFonts w:hint="eastAsia"/>
                <w:bCs/>
              </w:rPr>
              <w:t>现状场地下垫面分析</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r>
              <w:rPr>
                <w:rFonts w:hint="eastAsia"/>
              </w:rPr>
              <w:t>1</w:t>
            </w:r>
            <w:r>
              <w:t>7</w:t>
            </w:r>
          </w:p>
        </w:tc>
        <w:tc>
          <w:tcPr>
            <w:tcW w:w="1276" w:type="dxa"/>
            <w:vMerge w:val="continue"/>
            <w:vAlign w:val="center"/>
          </w:tcPr>
          <w:p/>
        </w:tc>
        <w:tc>
          <w:tcPr>
            <w:tcW w:w="1701" w:type="dxa"/>
            <w:vMerge w:val="restart"/>
            <w:vAlign w:val="center"/>
          </w:tcPr>
          <w:p>
            <w:r>
              <w:rPr>
                <w:rFonts w:hint="eastAsia"/>
              </w:rPr>
              <w:t>日照环境</w:t>
            </w:r>
          </w:p>
        </w:tc>
        <w:tc>
          <w:tcPr>
            <w:tcW w:w="2955" w:type="dxa"/>
            <w:vAlign w:val="center"/>
          </w:tcPr>
          <w:p>
            <w:pPr>
              <w:rPr>
                <w:bCs/>
              </w:rPr>
            </w:pPr>
            <w:r>
              <w:rPr>
                <w:rFonts w:hint="eastAsia"/>
                <w:bCs/>
              </w:rPr>
              <w:t>现状厂房对周边建筑日照影响</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tc>
        <w:tc>
          <w:tcPr>
            <w:tcW w:w="1276" w:type="dxa"/>
            <w:vMerge w:val="continue"/>
            <w:vAlign w:val="center"/>
          </w:tcPr>
          <w:p/>
        </w:tc>
        <w:tc>
          <w:tcPr>
            <w:tcW w:w="1701" w:type="dxa"/>
            <w:vMerge w:val="continue"/>
            <w:vAlign w:val="center"/>
          </w:tcPr>
          <w:p/>
        </w:tc>
        <w:tc>
          <w:tcPr>
            <w:tcW w:w="2955" w:type="dxa"/>
            <w:vAlign w:val="center"/>
          </w:tcPr>
          <w:p>
            <w:pPr>
              <w:rPr>
                <w:bCs/>
              </w:rPr>
            </w:pPr>
            <w:r>
              <w:rPr>
                <w:rFonts w:hint="eastAsia"/>
                <w:bCs/>
              </w:rPr>
              <w:t>周边建筑对用地范围的日照影响情况</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1</w:t>
            </w:r>
            <w:r>
              <w:t>8</w:t>
            </w:r>
          </w:p>
        </w:tc>
        <w:tc>
          <w:tcPr>
            <w:tcW w:w="1276" w:type="dxa"/>
            <w:vMerge w:val="continue"/>
            <w:vAlign w:val="center"/>
          </w:tcPr>
          <w:p/>
        </w:tc>
        <w:tc>
          <w:tcPr>
            <w:tcW w:w="1701" w:type="dxa"/>
            <w:vAlign w:val="center"/>
          </w:tcPr>
          <w:p>
            <w:r>
              <w:rPr>
                <w:rFonts w:hint="eastAsia"/>
              </w:rPr>
              <w:t>风环境</w:t>
            </w:r>
          </w:p>
        </w:tc>
        <w:tc>
          <w:tcPr>
            <w:tcW w:w="2955" w:type="dxa"/>
            <w:vAlign w:val="center"/>
          </w:tcPr>
          <w:p>
            <w:pPr>
              <w:rPr>
                <w:bCs/>
              </w:rPr>
            </w:pPr>
            <w:r>
              <w:rPr>
                <w:rFonts w:hint="eastAsia"/>
                <w:bCs/>
              </w:rPr>
              <w:t>现状厂房人行风环境情况</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1</w:t>
            </w:r>
            <w:r>
              <w:t>9</w:t>
            </w:r>
          </w:p>
        </w:tc>
        <w:tc>
          <w:tcPr>
            <w:tcW w:w="1276" w:type="dxa"/>
            <w:vMerge w:val="continue"/>
            <w:vAlign w:val="center"/>
          </w:tcPr>
          <w:p/>
        </w:tc>
        <w:tc>
          <w:tcPr>
            <w:tcW w:w="1701" w:type="dxa"/>
            <w:vAlign w:val="center"/>
          </w:tcPr>
          <w:p>
            <w:r>
              <w:rPr>
                <w:rFonts w:hint="eastAsia"/>
              </w:rPr>
              <w:t>声环境</w:t>
            </w:r>
          </w:p>
        </w:tc>
        <w:tc>
          <w:tcPr>
            <w:tcW w:w="2955" w:type="dxa"/>
            <w:vAlign w:val="center"/>
          </w:tcPr>
          <w:p>
            <w:pPr>
              <w:rPr>
                <w:bCs/>
              </w:rPr>
            </w:pPr>
            <w:r>
              <w:rPr>
                <w:rFonts w:hint="eastAsia"/>
                <w:bCs/>
              </w:rPr>
              <w:t>现状场地噪声级及噪声源分析</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r>
              <w:rPr>
                <w:rFonts w:hint="eastAsia"/>
              </w:rPr>
              <w:t>2</w:t>
            </w:r>
            <w:r>
              <w:t>0</w:t>
            </w:r>
          </w:p>
        </w:tc>
        <w:tc>
          <w:tcPr>
            <w:tcW w:w="1276" w:type="dxa"/>
            <w:vMerge w:val="restart"/>
            <w:vAlign w:val="center"/>
          </w:tcPr>
          <w:p>
            <w:r>
              <w:rPr>
                <w:rFonts w:hint="eastAsia"/>
              </w:rPr>
              <w:t>地下空间评估</w:t>
            </w:r>
          </w:p>
        </w:tc>
        <w:tc>
          <w:tcPr>
            <w:tcW w:w="1701" w:type="dxa"/>
            <w:vMerge w:val="restart"/>
            <w:vAlign w:val="center"/>
          </w:tcPr>
          <w:p>
            <w:r>
              <w:rPr>
                <w:rFonts w:hint="eastAsia"/>
              </w:rPr>
              <w:t>现状地下空间资源</w:t>
            </w:r>
          </w:p>
        </w:tc>
        <w:tc>
          <w:tcPr>
            <w:tcW w:w="2955" w:type="dxa"/>
            <w:vAlign w:val="center"/>
          </w:tcPr>
          <w:p>
            <w:pPr>
              <w:rPr>
                <w:bCs/>
              </w:rPr>
            </w:pPr>
            <w:r>
              <w:rPr>
                <w:rFonts w:hint="eastAsia"/>
                <w:bCs/>
              </w:rPr>
              <w:t>现状地下空间使用功能、范围、高度</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tc>
        <w:tc>
          <w:tcPr>
            <w:tcW w:w="1276" w:type="dxa"/>
            <w:vMerge w:val="continue"/>
            <w:vAlign w:val="center"/>
          </w:tcPr>
          <w:p/>
        </w:tc>
        <w:tc>
          <w:tcPr>
            <w:tcW w:w="1701" w:type="dxa"/>
            <w:vMerge w:val="continue"/>
            <w:vAlign w:val="center"/>
          </w:tcPr>
          <w:p/>
        </w:tc>
        <w:tc>
          <w:tcPr>
            <w:tcW w:w="2955" w:type="dxa"/>
            <w:vAlign w:val="center"/>
          </w:tcPr>
          <w:p>
            <w:pPr>
              <w:rPr>
                <w:bCs/>
              </w:rPr>
            </w:pPr>
            <w:r>
              <w:rPr>
                <w:rFonts w:hint="eastAsia"/>
                <w:bCs/>
              </w:rPr>
              <w:t>地下空间现状防水情况</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tc>
        <w:tc>
          <w:tcPr>
            <w:tcW w:w="1276" w:type="dxa"/>
            <w:vMerge w:val="continue"/>
            <w:vAlign w:val="center"/>
          </w:tcPr>
          <w:p/>
        </w:tc>
        <w:tc>
          <w:tcPr>
            <w:tcW w:w="1701" w:type="dxa"/>
            <w:vMerge w:val="continue"/>
            <w:vAlign w:val="center"/>
          </w:tcPr>
          <w:p/>
        </w:tc>
        <w:tc>
          <w:tcPr>
            <w:tcW w:w="2955" w:type="dxa"/>
            <w:vAlign w:val="center"/>
          </w:tcPr>
          <w:p>
            <w:pPr>
              <w:rPr>
                <w:bCs/>
              </w:rPr>
            </w:pPr>
            <w:r>
              <w:rPr>
                <w:rFonts w:hint="eastAsia"/>
                <w:bCs/>
              </w:rPr>
              <w:t>是否可以利用</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r>
              <w:rPr>
                <w:rFonts w:hint="eastAsia"/>
              </w:rPr>
              <w:t>2</w:t>
            </w:r>
            <w:r>
              <w:t>1</w:t>
            </w:r>
          </w:p>
        </w:tc>
        <w:tc>
          <w:tcPr>
            <w:tcW w:w="1276" w:type="dxa"/>
            <w:vMerge w:val="continue"/>
            <w:vAlign w:val="center"/>
          </w:tcPr>
          <w:p/>
        </w:tc>
        <w:tc>
          <w:tcPr>
            <w:tcW w:w="1701" w:type="dxa"/>
            <w:vMerge w:val="restart"/>
            <w:vAlign w:val="center"/>
          </w:tcPr>
          <w:p>
            <w:r>
              <w:rPr>
                <w:rFonts w:hint="eastAsia"/>
              </w:rPr>
              <w:t>现状人防设施</w:t>
            </w:r>
          </w:p>
        </w:tc>
        <w:tc>
          <w:tcPr>
            <w:tcW w:w="2955" w:type="dxa"/>
            <w:vAlign w:val="center"/>
          </w:tcPr>
          <w:p>
            <w:pPr>
              <w:rPr>
                <w:bCs/>
              </w:rPr>
            </w:pPr>
            <w:r>
              <w:rPr>
                <w:rFonts w:hint="eastAsia"/>
                <w:bCs/>
              </w:rPr>
              <w:t>现状人防设施设置情况</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tc>
        <w:tc>
          <w:tcPr>
            <w:tcW w:w="1276" w:type="dxa"/>
            <w:vMerge w:val="continue"/>
            <w:vAlign w:val="center"/>
          </w:tcPr>
          <w:p/>
        </w:tc>
        <w:tc>
          <w:tcPr>
            <w:tcW w:w="1701" w:type="dxa"/>
            <w:vMerge w:val="continue"/>
            <w:vAlign w:val="center"/>
          </w:tcPr>
          <w:p/>
        </w:tc>
        <w:tc>
          <w:tcPr>
            <w:tcW w:w="2955" w:type="dxa"/>
            <w:vAlign w:val="center"/>
          </w:tcPr>
          <w:p>
            <w:pPr>
              <w:rPr>
                <w:bCs/>
              </w:rPr>
            </w:pPr>
            <w:r>
              <w:rPr>
                <w:rFonts w:hint="eastAsia"/>
                <w:bCs/>
              </w:rPr>
              <w:t>是否可利用</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2</w:t>
            </w:r>
            <w:r>
              <w:t>2</w:t>
            </w:r>
          </w:p>
        </w:tc>
        <w:tc>
          <w:tcPr>
            <w:tcW w:w="1276" w:type="dxa"/>
            <w:vMerge w:val="continue"/>
            <w:vAlign w:val="center"/>
          </w:tcPr>
          <w:p/>
        </w:tc>
        <w:tc>
          <w:tcPr>
            <w:tcW w:w="1701" w:type="dxa"/>
            <w:vAlign w:val="center"/>
          </w:tcPr>
          <w:p>
            <w:r>
              <w:rPr>
                <w:rFonts w:hint="eastAsia"/>
              </w:rPr>
              <w:t>可开发资源</w:t>
            </w:r>
          </w:p>
        </w:tc>
        <w:tc>
          <w:tcPr>
            <w:tcW w:w="2955" w:type="dxa"/>
            <w:vAlign w:val="center"/>
          </w:tcPr>
          <w:p>
            <w:pPr>
              <w:rPr>
                <w:bCs/>
              </w:rPr>
            </w:pPr>
            <w:r>
              <w:rPr>
                <w:rFonts w:hint="eastAsia"/>
                <w:bCs/>
              </w:rPr>
              <w:t>地下空间可利用资源分析</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2</w:t>
            </w:r>
            <w:r>
              <w:t>3</w:t>
            </w:r>
          </w:p>
        </w:tc>
        <w:tc>
          <w:tcPr>
            <w:tcW w:w="1276" w:type="dxa"/>
            <w:vMerge w:val="continue"/>
            <w:vAlign w:val="center"/>
          </w:tcPr>
          <w:p/>
        </w:tc>
        <w:tc>
          <w:tcPr>
            <w:tcW w:w="1701" w:type="dxa"/>
            <w:vAlign w:val="center"/>
          </w:tcPr>
          <w:p>
            <w:r>
              <w:rPr>
                <w:rFonts w:hint="eastAsia"/>
              </w:rPr>
              <w:t>地下污染物</w:t>
            </w:r>
          </w:p>
        </w:tc>
        <w:tc>
          <w:tcPr>
            <w:tcW w:w="2955" w:type="dxa"/>
            <w:vAlign w:val="center"/>
          </w:tcPr>
          <w:p>
            <w:pPr>
              <w:rPr>
                <w:bCs/>
              </w:rPr>
            </w:pPr>
            <w:r>
              <w:rPr>
                <w:rFonts w:hint="eastAsia"/>
                <w:bCs/>
              </w:rPr>
              <w:t>地下污染物对地下空间利用的影响</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2</w:t>
            </w:r>
            <w:r>
              <w:t>4</w:t>
            </w:r>
          </w:p>
        </w:tc>
        <w:tc>
          <w:tcPr>
            <w:tcW w:w="1276" w:type="dxa"/>
            <w:vMerge w:val="continue"/>
            <w:vAlign w:val="center"/>
          </w:tcPr>
          <w:p/>
        </w:tc>
        <w:tc>
          <w:tcPr>
            <w:tcW w:w="1701" w:type="dxa"/>
            <w:vAlign w:val="center"/>
          </w:tcPr>
          <w:p>
            <w:r>
              <w:rPr>
                <w:rFonts w:hint="eastAsia"/>
              </w:rPr>
              <w:t>现状管线</w:t>
            </w:r>
          </w:p>
        </w:tc>
        <w:tc>
          <w:tcPr>
            <w:tcW w:w="2955" w:type="dxa"/>
            <w:vAlign w:val="center"/>
          </w:tcPr>
          <w:p>
            <w:pPr>
              <w:rPr>
                <w:bCs/>
              </w:rPr>
            </w:pPr>
            <w:r>
              <w:rPr>
                <w:rFonts w:hint="eastAsia"/>
                <w:bCs/>
              </w:rPr>
              <w:t>现状管线情况</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2</w:t>
            </w:r>
            <w:r>
              <w:t>5</w:t>
            </w:r>
          </w:p>
        </w:tc>
        <w:tc>
          <w:tcPr>
            <w:tcW w:w="1276" w:type="dxa"/>
            <w:vMerge w:val="continue"/>
            <w:vAlign w:val="center"/>
          </w:tcPr>
          <w:p/>
        </w:tc>
        <w:tc>
          <w:tcPr>
            <w:tcW w:w="1701" w:type="dxa"/>
            <w:vAlign w:val="center"/>
          </w:tcPr>
          <w:p>
            <w:r>
              <w:rPr>
                <w:rFonts w:hint="eastAsia"/>
              </w:rPr>
              <w:t>地下联通性</w:t>
            </w:r>
          </w:p>
        </w:tc>
        <w:tc>
          <w:tcPr>
            <w:tcW w:w="2955" w:type="dxa"/>
            <w:vAlign w:val="center"/>
          </w:tcPr>
          <w:p>
            <w:pPr>
              <w:rPr>
                <w:bCs/>
              </w:rPr>
            </w:pPr>
            <w:r>
              <w:rPr>
                <w:rFonts w:hint="eastAsia"/>
                <w:bCs/>
              </w:rPr>
              <w:t>地下空间联通需求</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2</w:t>
            </w:r>
            <w:r>
              <w:t>6</w:t>
            </w:r>
          </w:p>
        </w:tc>
        <w:tc>
          <w:tcPr>
            <w:tcW w:w="1276" w:type="dxa"/>
            <w:vMerge w:val="continue"/>
            <w:vAlign w:val="center"/>
          </w:tcPr>
          <w:p/>
        </w:tc>
        <w:tc>
          <w:tcPr>
            <w:tcW w:w="1701" w:type="dxa"/>
            <w:vAlign w:val="center"/>
          </w:tcPr>
          <w:p>
            <w:r>
              <w:rPr>
                <w:rFonts w:hint="eastAsia"/>
              </w:rPr>
              <w:t>开发安全性</w:t>
            </w:r>
          </w:p>
        </w:tc>
        <w:tc>
          <w:tcPr>
            <w:tcW w:w="2955" w:type="dxa"/>
            <w:vAlign w:val="center"/>
          </w:tcPr>
          <w:p>
            <w:pPr>
              <w:rPr>
                <w:bCs/>
              </w:rPr>
            </w:pPr>
            <w:r>
              <w:rPr>
                <w:rFonts w:hint="eastAsia"/>
                <w:bCs/>
              </w:rPr>
              <w:t>地下空间开发的安全性，包括对保留厂房的影响、防水可行性</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r>
              <w:rPr>
                <w:rFonts w:hint="eastAsia"/>
              </w:rPr>
              <w:t>2</w:t>
            </w:r>
            <w:r>
              <w:t>7</w:t>
            </w:r>
          </w:p>
        </w:tc>
        <w:tc>
          <w:tcPr>
            <w:tcW w:w="1276" w:type="dxa"/>
            <w:vMerge w:val="continue"/>
            <w:vAlign w:val="center"/>
          </w:tcPr>
          <w:p/>
        </w:tc>
        <w:tc>
          <w:tcPr>
            <w:tcW w:w="1701" w:type="dxa"/>
            <w:vAlign w:val="center"/>
          </w:tcPr>
          <w:p>
            <w:r>
              <w:rPr>
                <w:rFonts w:hint="eastAsia"/>
              </w:rPr>
              <w:t>开发经济性</w:t>
            </w:r>
          </w:p>
        </w:tc>
        <w:tc>
          <w:tcPr>
            <w:tcW w:w="2955" w:type="dxa"/>
            <w:vAlign w:val="center"/>
          </w:tcPr>
          <w:p>
            <w:pPr>
              <w:rPr>
                <w:bCs/>
              </w:rPr>
            </w:pPr>
            <w:r>
              <w:rPr>
                <w:rFonts w:hint="eastAsia"/>
                <w:bCs/>
              </w:rPr>
              <w:t>地下空间开发的经济性</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r>
              <w:rPr>
                <w:rFonts w:hint="eastAsia"/>
              </w:rPr>
              <w:t>2</w:t>
            </w:r>
            <w:r>
              <w:t>8</w:t>
            </w:r>
          </w:p>
        </w:tc>
        <w:tc>
          <w:tcPr>
            <w:tcW w:w="1276" w:type="dxa"/>
            <w:vMerge w:val="restart"/>
            <w:vAlign w:val="center"/>
          </w:tcPr>
          <w:p>
            <w:pPr>
              <w:spacing w:line="240" w:lineRule="auto"/>
            </w:pPr>
            <w:r>
              <w:rPr>
                <w:rFonts w:hint="eastAsia"/>
              </w:rPr>
              <w:t>可再生能源利用潜力评估</w:t>
            </w:r>
          </w:p>
        </w:tc>
        <w:tc>
          <w:tcPr>
            <w:tcW w:w="1701" w:type="dxa"/>
            <w:vMerge w:val="restart"/>
            <w:vAlign w:val="center"/>
          </w:tcPr>
          <w:p/>
        </w:tc>
        <w:tc>
          <w:tcPr>
            <w:tcW w:w="2955" w:type="dxa"/>
            <w:vAlign w:val="center"/>
          </w:tcPr>
          <w:p>
            <w:pPr>
              <w:rPr>
                <w:bCs/>
              </w:rPr>
            </w:pPr>
            <w:r>
              <w:rPr>
                <w:rFonts w:hint="eastAsia"/>
                <w:bCs/>
              </w:rPr>
              <w:t>浅层地热能资源</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tc>
        <w:tc>
          <w:tcPr>
            <w:tcW w:w="1276" w:type="dxa"/>
            <w:vMerge w:val="continue"/>
            <w:vAlign w:val="center"/>
          </w:tcPr>
          <w:p/>
        </w:tc>
        <w:tc>
          <w:tcPr>
            <w:tcW w:w="1701" w:type="dxa"/>
            <w:vMerge w:val="continue"/>
            <w:vAlign w:val="center"/>
          </w:tcPr>
          <w:p/>
        </w:tc>
        <w:tc>
          <w:tcPr>
            <w:tcW w:w="2955" w:type="dxa"/>
            <w:vAlign w:val="center"/>
          </w:tcPr>
          <w:p>
            <w:pPr>
              <w:rPr>
                <w:bCs/>
              </w:rPr>
            </w:pPr>
            <w:r>
              <w:rPr>
                <w:rFonts w:hint="eastAsia"/>
                <w:bCs/>
              </w:rPr>
              <w:t>太阳能资源</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tc>
        <w:tc>
          <w:tcPr>
            <w:tcW w:w="1276" w:type="dxa"/>
            <w:vMerge w:val="continue"/>
            <w:vAlign w:val="center"/>
          </w:tcPr>
          <w:p/>
        </w:tc>
        <w:tc>
          <w:tcPr>
            <w:tcW w:w="1701" w:type="dxa"/>
            <w:vMerge w:val="continue"/>
            <w:vAlign w:val="center"/>
          </w:tcPr>
          <w:p/>
        </w:tc>
        <w:tc>
          <w:tcPr>
            <w:tcW w:w="2955" w:type="dxa"/>
            <w:vAlign w:val="center"/>
          </w:tcPr>
          <w:p>
            <w:pPr>
              <w:rPr>
                <w:bCs/>
              </w:rPr>
            </w:pPr>
            <w:r>
              <w:rPr>
                <w:rFonts w:hint="eastAsia"/>
                <w:bCs/>
              </w:rPr>
              <w:t>风能资源</w:t>
            </w:r>
          </w:p>
        </w:tc>
        <w:tc>
          <w:tcPr>
            <w:tcW w:w="1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tc>
        <w:tc>
          <w:tcPr>
            <w:tcW w:w="1276" w:type="dxa"/>
            <w:vMerge w:val="continue"/>
            <w:vAlign w:val="center"/>
          </w:tcPr>
          <w:p/>
        </w:tc>
        <w:tc>
          <w:tcPr>
            <w:tcW w:w="1701" w:type="dxa"/>
            <w:vMerge w:val="continue"/>
            <w:vAlign w:val="center"/>
          </w:tcPr>
          <w:p/>
        </w:tc>
        <w:tc>
          <w:tcPr>
            <w:tcW w:w="2955" w:type="dxa"/>
            <w:vAlign w:val="center"/>
          </w:tcPr>
          <w:p>
            <w:pPr>
              <w:rPr>
                <w:bCs/>
              </w:rPr>
            </w:pPr>
            <w:r>
              <w:rPr>
                <w:rFonts w:hint="eastAsia"/>
                <w:bCs/>
              </w:rPr>
              <w:t>其他可再生能源</w:t>
            </w:r>
          </w:p>
        </w:tc>
        <w:tc>
          <w:tcPr>
            <w:tcW w:w="1660" w:type="dxa"/>
            <w:vAlign w:val="center"/>
          </w:tcPr>
          <w:p/>
        </w:tc>
      </w:tr>
    </w:tbl>
    <w:p>
      <w:r>
        <w:rPr>
          <w:rFonts w:hint="eastAsia"/>
        </w:rPr>
        <w:t>注：区域交通承载力评估按照地方交通影响评价报告内容执行。</w:t>
      </w:r>
    </w:p>
    <w:bookmarkEnd w:id="332"/>
    <w:bookmarkEnd w:id="333"/>
    <w:p>
      <w:pPr>
        <w:pStyle w:val="2"/>
        <w:pageBreakBefore/>
        <w:spacing w:before="156" w:beforeLines="50" w:after="156" w:afterLines="50" w:line="360" w:lineRule="auto"/>
        <w:jc w:val="center"/>
        <w:rPr>
          <w:rFonts w:ascii="宋体" w:hAnsi="宋体"/>
          <w:sz w:val="32"/>
        </w:rPr>
      </w:pPr>
      <w:bookmarkStart w:id="342" w:name="_Toc150177041"/>
      <w:bookmarkStart w:id="343" w:name="_Toc150176875"/>
      <w:bookmarkStart w:id="344" w:name="_Toc150176321"/>
      <w:bookmarkStart w:id="345" w:name="_Toc149557716"/>
      <w:bookmarkStart w:id="346" w:name="_Toc149557068"/>
      <w:bookmarkStart w:id="347" w:name="_Toc149557009"/>
      <w:bookmarkStart w:id="348" w:name="_Toc149331232"/>
      <w:bookmarkStart w:id="349" w:name="_Toc149330744"/>
      <w:bookmarkStart w:id="350" w:name="_Toc511660205"/>
      <w:r>
        <w:rPr>
          <w:rFonts w:hint="eastAsia" w:ascii="宋体" w:hAnsi="宋体"/>
          <w:sz w:val="32"/>
        </w:rPr>
        <w:t>本标准用词说明</w:t>
      </w:r>
      <w:bookmarkEnd w:id="342"/>
      <w:bookmarkEnd w:id="343"/>
      <w:bookmarkEnd w:id="344"/>
      <w:bookmarkEnd w:id="345"/>
      <w:bookmarkEnd w:id="346"/>
      <w:bookmarkEnd w:id="347"/>
      <w:bookmarkEnd w:id="348"/>
      <w:bookmarkEnd w:id="349"/>
      <w:bookmarkEnd w:id="350"/>
    </w:p>
    <w:p>
      <w:pPr>
        <w:widowControl/>
        <w:snapToGrid w:val="0"/>
        <w:spacing w:line="300" w:lineRule="auto"/>
        <w:jc w:val="left"/>
        <w:rPr>
          <w:rFonts w:ascii="宋体" w:hAnsi="宋体"/>
          <w:sz w:val="28"/>
          <w:szCs w:val="28"/>
        </w:rPr>
      </w:pPr>
    </w:p>
    <w:p>
      <w:pPr>
        <w:widowControl/>
        <w:snapToGrid w:val="0"/>
        <w:jc w:val="left"/>
        <w:rPr>
          <w:rFonts w:ascii="宋体" w:hAnsi="宋体"/>
          <w:szCs w:val="28"/>
        </w:rPr>
      </w:pPr>
      <w:r>
        <w:rPr>
          <w:rFonts w:ascii="宋体" w:hAnsi="宋体"/>
          <w:szCs w:val="28"/>
        </w:rPr>
        <w:t>1  为便于在执行本</w:t>
      </w:r>
      <w:r>
        <w:rPr>
          <w:rFonts w:hint="eastAsia" w:ascii="宋体" w:hAnsi="宋体"/>
          <w:szCs w:val="28"/>
        </w:rPr>
        <w:t>标准</w:t>
      </w:r>
      <w:r>
        <w:rPr>
          <w:rFonts w:ascii="宋体" w:hAnsi="宋体"/>
          <w:szCs w:val="28"/>
        </w:rPr>
        <w:t>条文时区别对待，对要求严格程度不同的用词说明如下：</w:t>
      </w:r>
    </w:p>
    <w:p>
      <w:pPr>
        <w:widowControl/>
        <w:snapToGrid w:val="0"/>
        <w:ind w:left="653" w:leftChars="272"/>
        <w:jc w:val="left"/>
        <w:rPr>
          <w:rFonts w:ascii="宋体" w:hAnsi="宋体"/>
          <w:szCs w:val="28"/>
        </w:rPr>
      </w:pPr>
      <w:r>
        <w:rPr>
          <w:rFonts w:ascii="宋体" w:hAnsi="宋体"/>
          <w:szCs w:val="28"/>
        </w:rPr>
        <w:t>1）表示很严格，非这样做不可的：</w:t>
      </w:r>
    </w:p>
    <w:p>
      <w:pPr>
        <w:widowControl/>
        <w:snapToGrid w:val="0"/>
        <w:ind w:left="653" w:leftChars="272" w:firstLine="480" w:firstLineChars="200"/>
        <w:jc w:val="left"/>
        <w:rPr>
          <w:rFonts w:ascii="宋体" w:hAnsi="宋体"/>
          <w:szCs w:val="28"/>
        </w:rPr>
      </w:pPr>
      <w:r>
        <w:rPr>
          <w:rFonts w:hint="eastAsia" w:ascii="宋体" w:hAnsi="宋体"/>
          <w:szCs w:val="28"/>
        </w:rPr>
        <w:t>正面词采用“必须”，反面词采用“严禁”；</w:t>
      </w:r>
    </w:p>
    <w:p>
      <w:pPr>
        <w:widowControl/>
        <w:snapToGrid w:val="0"/>
        <w:ind w:left="653" w:leftChars="272"/>
        <w:jc w:val="left"/>
        <w:rPr>
          <w:rFonts w:ascii="宋体" w:hAnsi="宋体"/>
          <w:szCs w:val="28"/>
        </w:rPr>
      </w:pPr>
      <w:r>
        <w:rPr>
          <w:rFonts w:ascii="宋体" w:hAnsi="宋体"/>
          <w:szCs w:val="28"/>
        </w:rPr>
        <w:t>2）表示严格，在正常情况下均应这样做的：</w:t>
      </w:r>
    </w:p>
    <w:p>
      <w:pPr>
        <w:widowControl/>
        <w:snapToGrid w:val="0"/>
        <w:ind w:left="653" w:leftChars="272" w:firstLine="480" w:firstLineChars="200"/>
        <w:jc w:val="left"/>
        <w:rPr>
          <w:rFonts w:ascii="宋体" w:hAnsi="宋体"/>
          <w:szCs w:val="28"/>
        </w:rPr>
      </w:pPr>
      <w:r>
        <w:rPr>
          <w:rFonts w:hint="eastAsia" w:ascii="宋体" w:hAnsi="宋体"/>
          <w:szCs w:val="28"/>
        </w:rPr>
        <w:t>正面词采用“应”，反面词采用“不应”或“不得”；</w:t>
      </w:r>
    </w:p>
    <w:p>
      <w:pPr>
        <w:widowControl/>
        <w:snapToGrid w:val="0"/>
        <w:ind w:left="653" w:leftChars="272"/>
        <w:jc w:val="left"/>
        <w:rPr>
          <w:rFonts w:ascii="宋体" w:hAnsi="宋体"/>
          <w:szCs w:val="28"/>
        </w:rPr>
      </w:pPr>
      <w:r>
        <w:rPr>
          <w:rFonts w:ascii="宋体" w:hAnsi="宋体"/>
          <w:szCs w:val="28"/>
        </w:rPr>
        <w:t>3）表示允许稍有选择，在条件许可时首先应这样做的：</w:t>
      </w:r>
    </w:p>
    <w:p>
      <w:pPr>
        <w:widowControl/>
        <w:snapToGrid w:val="0"/>
        <w:ind w:left="653" w:leftChars="272" w:firstLine="480" w:firstLineChars="200"/>
        <w:jc w:val="left"/>
        <w:rPr>
          <w:rFonts w:ascii="宋体" w:hAnsi="宋体"/>
          <w:szCs w:val="28"/>
        </w:rPr>
      </w:pPr>
      <w:r>
        <w:rPr>
          <w:rFonts w:hint="eastAsia" w:ascii="宋体" w:hAnsi="宋体"/>
          <w:szCs w:val="28"/>
        </w:rPr>
        <w:t>正面词采用“宜”，反面词采用“不宜”；</w:t>
      </w:r>
    </w:p>
    <w:p>
      <w:pPr>
        <w:widowControl/>
        <w:snapToGrid w:val="0"/>
        <w:ind w:left="653" w:leftChars="272"/>
        <w:jc w:val="left"/>
        <w:rPr>
          <w:rFonts w:ascii="宋体" w:hAnsi="宋体"/>
          <w:szCs w:val="28"/>
        </w:rPr>
      </w:pPr>
      <w:r>
        <w:rPr>
          <w:rFonts w:ascii="宋体" w:hAnsi="宋体"/>
          <w:szCs w:val="28"/>
        </w:rPr>
        <w:t>4）表示有选择，在一定条件下可以这样做的，采用“可”。</w:t>
      </w:r>
    </w:p>
    <w:p>
      <w:pPr>
        <w:widowControl/>
        <w:snapToGrid w:val="0"/>
        <w:jc w:val="left"/>
        <w:rPr>
          <w:rFonts w:ascii="宋体" w:hAnsi="宋体"/>
          <w:szCs w:val="28"/>
        </w:rPr>
      </w:pPr>
    </w:p>
    <w:p>
      <w:pPr>
        <w:widowControl/>
        <w:snapToGrid w:val="0"/>
        <w:jc w:val="left"/>
        <w:rPr>
          <w:rFonts w:ascii="宋体" w:hAnsi="宋体"/>
          <w:szCs w:val="28"/>
        </w:rPr>
      </w:pPr>
      <w:r>
        <w:rPr>
          <w:rFonts w:ascii="宋体" w:hAnsi="宋体"/>
          <w:szCs w:val="28"/>
        </w:rPr>
        <w:t xml:space="preserve">2  </w:t>
      </w:r>
      <w:r>
        <w:rPr>
          <w:rFonts w:hint="eastAsia" w:ascii="宋体" w:hAnsi="宋体"/>
          <w:szCs w:val="28"/>
        </w:rPr>
        <w:t>本标准中指明应按其他有关标准执行的写法为:“应符合……的规定”或“应按……执行”</w:t>
      </w:r>
      <w:r>
        <w:rPr>
          <w:rFonts w:ascii="宋体" w:hAnsi="宋体"/>
          <w:szCs w:val="28"/>
        </w:rPr>
        <w:t>。</w:t>
      </w:r>
    </w:p>
    <w:p>
      <w:pPr>
        <w:pStyle w:val="2"/>
        <w:pageBreakBefore/>
        <w:spacing w:before="156" w:beforeLines="50" w:after="156" w:afterLines="50" w:line="360" w:lineRule="auto"/>
        <w:jc w:val="center"/>
        <w:rPr>
          <w:rFonts w:ascii="宋体" w:hAnsi="宋体"/>
          <w:sz w:val="32"/>
        </w:rPr>
      </w:pPr>
      <w:bookmarkStart w:id="351" w:name="_Toc150177042"/>
      <w:bookmarkStart w:id="352" w:name="_Toc150176876"/>
      <w:bookmarkStart w:id="353" w:name="_Toc150176322"/>
      <w:bookmarkStart w:id="354" w:name="_Toc149557717"/>
      <w:bookmarkStart w:id="355" w:name="_Toc149557069"/>
      <w:bookmarkStart w:id="356" w:name="_Toc149557010"/>
      <w:bookmarkStart w:id="357" w:name="_Toc149331233"/>
      <w:bookmarkStart w:id="358" w:name="_Toc149330745"/>
      <w:r>
        <w:rPr>
          <w:rFonts w:hint="eastAsia" w:ascii="宋体" w:hAnsi="宋体"/>
          <w:sz w:val="32"/>
        </w:rPr>
        <w:t>引用标准名录</w:t>
      </w:r>
      <w:bookmarkEnd w:id="351"/>
      <w:bookmarkEnd w:id="352"/>
      <w:bookmarkEnd w:id="353"/>
      <w:bookmarkEnd w:id="354"/>
      <w:bookmarkEnd w:id="355"/>
      <w:bookmarkEnd w:id="356"/>
      <w:bookmarkEnd w:id="357"/>
      <w:bookmarkEnd w:id="358"/>
    </w:p>
    <w:p>
      <w:pPr>
        <w:widowControl/>
        <w:snapToGrid w:val="0"/>
        <w:spacing w:line="300" w:lineRule="auto"/>
        <w:jc w:val="left"/>
        <w:rPr>
          <w:rFonts w:ascii="宋体" w:hAnsi="宋体"/>
          <w:sz w:val="28"/>
          <w:szCs w:val="28"/>
        </w:rPr>
      </w:pPr>
    </w:p>
    <w:p>
      <w:pPr>
        <w:pStyle w:val="62"/>
        <w:numPr>
          <w:ilvl w:val="0"/>
          <w:numId w:val="17"/>
        </w:numPr>
        <w:spacing w:line="360" w:lineRule="auto"/>
        <w:ind w:left="357" w:hanging="357" w:firstLineChars="0"/>
        <w:rPr>
          <w:rFonts w:eastAsia="宋体"/>
          <w:kern w:val="0"/>
          <w:sz w:val="24"/>
          <w:szCs w:val="24"/>
        </w:rPr>
      </w:pPr>
      <w:r>
        <w:rPr>
          <w:rFonts w:hint="eastAsia" w:eastAsia="宋体"/>
          <w:kern w:val="0"/>
          <w:sz w:val="24"/>
          <w:szCs w:val="24"/>
        </w:rPr>
        <w:t>《声环境质量标准》</w:t>
      </w:r>
      <w:r>
        <w:rPr>
          <w:rFonts w:eastAsia="宋体"/>
          <w:kern w:val="0"/>
          <w:sz w:val="24"/>
          <w:szCs w:val="24"/>
        </w:rPr>
        <w:tab/>
      </w:r>
      <w:r>
        <w:rPr>
          <w:rFonts w:eastAsia="宋体"/>
          <w:kern w:val="0"/>
          <w:sz w:val="24"/>
          <w:szCs w:val="24"/>
        </w:rPr>
        <w:t xml:space="preserve">GB </w:t>
      </w:r>
      <w:r>
        <w:rPr>
          <w:rFonts w:hint="eastAsia" w:eastAsia="宋体"/>
          <w:kern w:val="0"/>
          <w:sz w:val="24"/>
          <w:szCs w:val="24"/>
        </w:rPr>
        <w:t>3096</w:t>
      </w:r>
    </w:p>
    <w:p>
      <w:pPr>
        <w:pStyle w:val="62"/>
        <w:numPr>
          <w:ilvl w:val="0"/>
          <w:numId w:val="17"/>
        </w:numPr>
        <w:spacing w:line="360" w:lineRule="auto"/>
        <w:ind w:left="357" w:hanging="357" w:firstLineChars="0"/>
        <w:rPr>
          <w:rFonts w:eastAsia="宋体"/>
          <w:kern w:val="0"/>
          <w:sz w:val="24"/>
          <w:szCs w:val="24"/>
        </w:rPr>
      </w:pPr>
      <w:r>
        <w:rPr>
          <w:rFonts w:hint="eastAsia" w:eastAsia="宋体"/>
          <w:kern w:val="0"/>
          <w:sz w:val="24"/>
          <w:szCs w:val="24"/>
        </w:rPr>
        <w:t>《建筑给水排水设计标准》GB</w:t>
      </w:r>
      <w:r>
        <w:rPr>
          <w:rFonts w:eastAsia="宋体"/>
          <w:kern w:val="0"/>
          <w:sz w:val="24"/>
          <w:szCs w:val="24"/>
        </w:rPr>
        <w:t xml:space="preserve"> 50015</w:t>
      </w:r>
    </w:p>
    <w:p>
      <w:pPr>
        <w:pStyle w:val="62"/>
        <w:numPr>
          <w:ilvl w:val="0"/>
          <w:numId w:val="17"/>
        </w:numPr>
        <w:spacing w:line="360" w:lineRule="auto"/>
        <w:ind w:left="357" w:hanging="357" w:firstLineChars="0"/>
        <w:rPr>
          <w:rFonts w:eastAsia="宋体"/>
          <w:kern w:val="0"/>
          <w:sz w:val="24"/>
          <w:szCs w:val="24"/>
        </w:rPr>
      </w:pPr>
      <w:r>
        <w:rPr>
          <w:rFonts w:hint="eastAsia" w:eastAsia="宋体"/>
          <w:kern w:val="0"/>
          <w:sz w:val="24"/>
          <w:szCs w:val="24"/>
        </w:rPr>
        <w:t>《建筑设计防火规范》</w:t>
      </w:r>
      <w:r>
        <w:rPr>
          <w:rFonts w:eastAsia="宋体"/>
          <w:kern w:val="0"/>
          <w:sz w:val="24"/>
          <w:szCs w:val="24"/>
        </w:rPr>
        <w:t>GB 50016</w:t>
      </w:r>
    </w:p>
    <w:p>
      <w:pPr>
        <w:pStyle w:val="62"/>
        <w:numPr>
          <w:ilvl w:val="0"/>
          <w:numId w:val="17"/>
        </w:numPr>
        <w:spacing w:line="360" w:lineRule="auto"/>
        <w:ind w:left="357" w:hanging="357" w:firstLineChars="0"/>
        <w:rPr>
          <w:rFonts w:eastAsia="宋体"/>
          <w:kern w:val="0"/>
          <w:sz w:val="24"/>
          <w:szCs w:val="24"/>
        </w:rPr>
      </w:pPr>
      <w:r>
        <w:rPr>
          <w:rFonts w:hint="eastAsia" w:eastAsia="宋体"/>
          <w:kern w:val="0"/>
          <w:sz w:val="24"/>
          <w:szCs w:val="24"/>
        </w:rPr>
        <w:t>《建筑抗震鉴定标准》</w:t>
      </w:r>
      <w:r>
        <w:rPr>
          <w:rFonts w:eastAsia="宋体"/>
          <w:kern w:val="0"/>
          <w:sz w:val="24"/>
          <w:szCs w:val="24"/>
        </w:rPr>
        <w:t>GB 50023</w:t>
      </w:r>
    </w:p>
    <w:p>
      <w:pPr>
        <w:pStyle w:val="62"/>
        <w:numPr>
          <w:ilvl w:val="0"/>
          <w:numId w:val="17"/>
        </w:numPr>
        <w:spacing w:line="360" w:lineRule="auto"/>
        <w:ind w:left="357" w:hanging="357" w:firstLineChars="0"/>
        <w:rPr>
          <w:rFonts w:eastAsia="宋体"/>
          <w:kern w:val="0"/>
          <w:sz w:val="24"/>
          <w:szCs w:val="24"/>
        </w:rPr>
      </w:pPr>
      <w:r>
        <w:rPr>
          <w:rFonts w:hint="eastAsia" w:eastAsia="宋体"/>
          <w:kern w:val="0"/>
          <w:sz w:val="24"/>
          <w:szCs w:val="24"/>
        </w:rPr>
        <w:t>《民用建筑隔声设计规范》GB 50118</w:t>
      </w:r>
    </w:p>
    <w:p>
      <w:pPr>
        <w:pStyle w:val="62"/>
        <w:numPr>
          <w:ilvl w:val="0"/>
          <w:numId w:val="17"/>
        </w:numPr>
        <w:spacing w:line="360" w:lineRule="auto"/>
        <w:ind w:left="357" w:hanging="357" w:firstLineChars="0"/>
        <w:rPr>
          <w:rFonts w:eastAsia="宋体"/>
          <w:kern w:val="0"/>
          <w:sz w:val="24"/>
          <w:szCs w:val="24"/>
        </w:rPr>
      </w:pPr>
      <w:r>
        <w:rPr>
          <w:rFonts w:hint="eastAsia" w:eastAsia="宋体"/>
          <w:kern w:val="0"/>
          <w:sz w:val="24"/>
          <w:szCs w:val="24"/>
        </w:rPr>
        <w:t>《智能建筑设计标准》</w:t>
      </w:r>
      <w:r>
        <w:rPr>
          <w:rFonts w:eastAsia="宋体"/>
          <w:kern w:val="0"/>
          <w:sz w:val="24"/>
          <w:szCs w:val="24"/>
        </w:rPr>
        <w:t>GB 50314</w:t>
      </w:r>
    </w:p>
    <w:p>
      <w:pPr>
        <w:pStyle w:val="62"/>
        <w:numPr>
          <w:ilvl w:val="0"/>
          <w:numId w:val="17"/>
        </w:numPr>
        <w:spacing w:line="360" w:lineRule="auto"/>
        <w:ind w:left="357" w:hanging="357" w:firstLineChars="0"/>
        <w:rPr>
          <w:rFonts w:eastAsia="宋体"/>
          <w:kern w:val="0"/>
          <w:sz w:val="24"/>
          <w:szCs w:val="24"/>
        </w:rPr>
      </w:pPr>
      <w:r>
        <w:rPr>
          <w:rFonts w:eastAsia="宋体"/>
          <w:kern w:val="0"/>
          <w:sz w:val="24"/>
          <w:szCs w:val="24"/>
        </w:rPr>
        <w:t>《建筑物电子信息系统防雷技术规范》GB 50343</w:t>
      </w:r>
    </w:p>
    <w:p>
      <w:pPr>
        <w:pStyle w:val="62"/>
        <w:numPr>
          <w:ilvl w:val="0"/>
          <w:numId w:val="17"/>
        </w:numPr>
        <w:spacing w:line="360" w:lineRule="auto"/>
        <w:ind w:left="357" w:hanging="357" w:firstLineChars="0"/>
        <w:rPr>
          <w:rFonts w:eastAsia="宋体"/>
          <w:kern w:val="0"/>
          <w:sz w:val="24"/>
          <w:szCs w:val="24"/>
        </w:rPr>
      </w:pPr>
      <w:r>
        <w:rPr>
          <w:rFonts w:eastAsia="宋体"/>
          <w:kern w:val="0"/>
          <w:sz w:val="24"/>
          <w:szCs w:val="24"/>
        </w:rPr>
        <w:t>《</w:t>
      </w:r>
      <w:r>
        <w:rPr>
          <w:rFonts w:hint="eastAsia" w:eastAsia="宋体"/>
          <w:kern w:val="0"/>
          <w:sz w:val="24"/>
          <w:szCs w:val="24"/>
        </w:rPr>
        <w:t>消防给水及消火栓系统技术规范》</w:t>
      </w:r>
      <w:r>
        <w:rPr>
          <w:rFonts w:eastAsia="宋体"/>
          <w:kern w:val="0"/>
          <w:sz w:val="24"/>
          <w:szCs w:val="24"/>
        </w:rPr>
        <w:t>GB 50974</w:t>
      </w:r>
    </w:p>
    <w:p>
      <w:pPr>
        <w:pStyle w:val="62"/>
        <w:numPr>
          <w:ilvl w:val="0"/>
          <w:numId w:val="17"/>
        </w:numPr>
        <w:spacing w:line="360" w:lineRule="auto"/>
        <w:ind w:left="357" w:hanging="357" w:firstLineChars="0"/>
        <w:rPr>
          <w:rFonts w:eastAsia="宋体"/>
          <w:kern w:val="0"/>
          <w:sz w:val="24"/>
          <w:szCs w:val="24"/>
        </w:rPr>
      </w:pPr>
      <w:r>
        <w:rPr>
          <w:rFonts w:hint="eastAsia" w:eastAsia="宋体"/>
          <w:kern w:val="0"/>
          <w:sz w:val="24"/>
          <w:szCs w:val="24"/>
        </w:rPr>
        <w:t>《</w:t>
      </w:r>
      <w:r>
        <w:rPr>
          <w:rFonts w:eastAsia="宋体"/>
          <w:kern w:val="0"/>
          <w:sz w:val="24"/>
          <w:szCs w:val="24"/>
        </w:rPr>
        <w:t>建筑防烟排烟系统技术标准</w:t>
      </w:r>
      <w:r>
        <w:rPr>
          <w:rFonts w:hint="eastAsia" w:eastAsia="宋体"/>
          <w:kern w:val="0"/>
          <w:sz w:val="24"/>
          <w:szCs w:val="24"/>
        </w:rPr>
        <w:t>》</w:t>
      </w:r>
      <w:r>
        <w:rPr>
          <w:rFonts w:eastAsia="宋体"/>
          <w:kern w:val="0"/>
          <w:sz w:val="24"/>
          <w:szCs w:val="24"/>
        </w:rPr>
        <w:t>GB 51251</w:t>
      </w:r>
    </w:p>
    <w:p>
      <w:pPr>
        <w:pStyle w:val="62"/>
        <w:numPr>
          <w:ilvl w:val="0"/>
          <w:numId w:val="17"/>
        </w:numPr>
        <w:spacing w:line="360" w:lineRule="auto"/>
        <w:ind w:left="357" w:hanging="357" w:firstLineChars="0"/>
        <w:rPr>
          <w:rFonts w:eastAsia="宋体"/>
          <w:kern w:val="0"/>
          <w:sz w:val="24"/>
          <w:szCs w:val="24"/>
        </w:rPr>
      </w:pPr>
      <w:r>
        <w:rPr>
          <w:rFonts w:hint="eastAsia" w:eastAsia="宋体"/>
          <w:kern w:val="0"/>
          <w:sz w:val="24"/>
          <w:szCs w:val="24"/>
        </w:rPr>
        <w:t>《建筑节能与可再生能源利用通用规范》GB</w:t>
      </w:r>
      <w:r>
        <w:rPr>
          <w:rFonts w:eastAsia="宋体"/>
          <w:kern w:val="0"/>
          <w:sz w:val="24"/>
          <w:szCs w:val="24"/>
        </w:rPr>
        <w:t xml:space="preserve"> 55015</w:t>
      </w:r>
    </w:p>
    <w:p>
      <w:pPr>
        <w:pStyle w:val="62"/>
        <w:numPr>
          <w:ilvl w:val="0"/>
          <w:numId w:val="17"/>
        </w:numPr>
        <w:spacing w:line="360" w:lineRule="auto"/>
        <w:ind w:left="357" w:hanging="357" w:firstLineChars="0"/>
        <w:rPr>
          <w:rFonts w:eastAsia="宋体"/>
          <w:kern w:val="0"/>
          <w:sz w:val="24"/>
          <w:szCs w:val="24"/>
        </w:rPr>
      </w:pPr>
      <w:r>
        <w:rPr>
          <w:rFonts w:hint="eastAsia" w:eastAsia="宋体"/>
          <w:kern w:val="0"/>
          <w:sz w:val="24"/>
          <w:szCs w:val="24"/>
        </w:rPr>
        <w:t>《建筑环境通用规范》GB 55016</w:t>
      </w:r>
    </w:p>
    <w:p>
      <w:pPr>
        <w:pStyle w:val="62"/>
        <w:numPr>
          <w:ilvl w:val="0"/>
          <w:numId w:val="17"/>
        </w:numPr>
        <w:spacing w:line="360" w:lineRule="auto"/>
        <w:ind w:left="357" w:hanging="357" w:firstLineChars="0"/>
        <w:rPr>
          <w:rFonts w:eastAsia="宋体"/>
          <w:kern w:val="0"/>
          <w:sz w:val="24"/>
          <w:szCs w:val="24"/>
        </w:rPr>
      </w:pPr>
      <w:r>
        <w:rPr>
          <w:rFonts w:eastAsia="宋体"/>
          <w:kern w:val="0"/>
          <w:sz w:val="24"/>
          <w:szCs w:val="24"/>
        </w:rPr>
        <w:t>《既有建筑鉴定与加固通用规范》GB 55021</w:t>
      </w:r>
    </w:p>
    <w:p>
      <w:pPr>
        <w:pStyle w:val="62"/>
        <w:numPr>
          <w:ilvl w:val="0"/>
          <w:numId w:val="17"/>
        </w:numPr>
        <w:spacing w:line="360" w:lineRule="auto"/>
        <w:ind w:left="357" w:hanging="357" w:firstLineChars="0"/>
        <w:rPr>
          <w:rFonts w:eastAsia="宋体"/>
          <w:kern w:val="0"/>
          <w:sz w:val="24"/>
          <w:szCs w:val="24"/>
        </w:rPr>
      </w:pPr>
      <w:r>
        <w:rPr>
          <w:rFonts w:hint="eastAsia" w:eastAsia="宋体"/>
          <w:kern w:val="0"/>
          <w:sz w:val="24"/>
          <w:szCs w:val="24"/>
        </w:rPr>
        <w:t>《消防设施通用规范》GB</w:t>
      </w:r>
      <w:r>
        <w:rPr>
          <w:rFonts w:eastAsia="宋体"/>
          <w:kern w:val="0"/>
          <w:sz w:val="24"/>
          <w:szCs w:val="24"/>
        </w:rPr>
        <w:t xml:space="preserve"> </w:t>
      </w:r>
      <w:r>
        <w:rPr>
          <w:rFonts w:hint="eastAsia" w:eastAsia="宋体"/>
          <w:kern w:val="0"/>
          <w:sz w:val="24"/>
          <w:szCs w:val="24"/>
        </w:rPr>
        <w:t>55036</w:t>
      </w:r>
    </w:p>
    <w:p>
      <w:pPr>
        <w:pStyle w:val="62"/>
        <w:numPr>
          <w:ilvl w:val="0"/>
          <w:numId w:val="17"/>
        </w:numPr>
        <w:spacing w:line="360" w:lineRule="auto"/>
        <w:ind w:left="357" w:hanging="357" w:firstLineChars="0"/>
        <w:rPr>
          <w:rFonts w:eastAsia="宋体"/>
          <w:kern w:val="0"/>
          <w:sz w:val="24"/>
          <w:szCs w:val="24"/>
        </w:rPr>
      </w:pPr>
      <w:r>
        <w:rPr>
          <w:rFonts w:hint="eastAsia" w:eastAsia="宋体"/>
          <w:kern w:val="0"/>
          <w:sz w:val="24"/>
          <w:szCs w:val="24"/>
        </w:rPr>
        <w:t>《建筑防火通用规范》</w:t>
      </w:r>
      <w:r>
        <w:rPr>
          <w:rFonts w:eastAsia="宋体"/>
          <w:kern w:val="0"/>
          <w:sz w:val="24"/>
          <w:szCs w:val="24"/>
        </w:rPr>
        <w:t>GB 55037</w:t>
      </w:r>
    </w:p>
    <w:p>
      <w:pPr>
        <w:pStyle w:val="62"/>
        <w:numPr>
          <w:ilvl w:val="0"/>
          <w:numId w:val="17"/>
        </w:numPr>
        <w:spacing w:line="360" w:lineRule="auto"/>
        <w:ind w:left="357" w:hanging="357" w:firstLineChars="0"/>
        <w:rPr>
          <w:rFonts w:eastAsia="宋体"/>
          <w:kern w:val="0"/>
          <w:sz w:val="24"/>
          <w:szCs w:val="24"/>
        </w:rPr>
      </w:pPr>
      <w:r>
        <w:rPr>
          <w:rFonts w:hint="eastAsia" w:eastAsia="宋体"/>
          <w:kern w:val="0"/>
          <w:sz w:val="24"/>
          <w:szCs w:val="24"/>
        </w:rPr>
        <w:t>《建筑碳排放计算标准》</w:t>
      </w:r>
      <w:r>
        <w:rPr>
          <w:rFonts w:eastAsia="宋体"/>
          <w:kern w:val="0"/>
          <w:sz w:val="24"/>
          <w:szCs w:val="24"/>
        </w:rPr>
        <w:t>GB/T 51366</w:t>
      </w:r>
    </w:p>
    <w:p>
      <w:pPr>
        <w:pStyle w:val="62"/>
        <w:numPr>
          <w:ilvl w:val="0"/>
          <w:numId w:val="17"/>
        </w:numPr>
        <w:spacing w:line="360" w:lineRule="auto"/>
        <w:ind w:left="357" w:hanging="357" w:firstLineChars="0"/>
        <w:rPr>
          <w:rFonts w:eastAsia="宋体"/>
          <w:kern w:val="0"/>
          <w:sz w:val="24"/>
          <w:szCs w:val="24"/>
        </w:rPr>
      </w:pPr>
      <w:r>
        <w:rPr>
          <w:rFonts w:hint="eastAsia" w:eastAsia="宋体"/>
          <w:kern w:val="0"/>
          <w:sz w:val="24"/>
          <w:szCs w:val="24"/>
        </w:rPr>
        <w:t>《公共建筑节能设计标准》</w:t>
      </w:r>
      <w:r>
        <w:rPr>
          <w:rFonts w:eastAsia="宋体"/>
          <w:kern w:val="0"/>
          <w:sz w:val="24"/>
          <w:szCs w:val="24"/>
        </w:rPr>
        <w:t>DB11/687</w:t>
      </w:r>
    </w:p>
    <w:p>
      <w:pPr>
        <w:pStyle w:val="62"/>
        <w:numPr>
          <w:ilvl w:val="0"/>
          <w:numId w:val="17"/>
        </w:numPr>
        <w:spacing w:line="360" w:lineRule="auto"/>
        <w:ind w:left="357" w:hanging="357" w:firstLineChars="0"/>
        <w:rPr>
          <w:rFonts w:eastAsia="宋体"/>
          <w:kern w:val="0"/>
          <w:sz w:val="24"/>
          <w:szCs w:val="24"/>
        </w:rPr>
      </w:pPr>
      <w:r>
        <w:rPr>
          <w:rFonts w:eastAsia="宋体"/>
          <w:kern w:val="0"/>
          <w:sz w:val="24"/>
          <w:szCs w:val="24"/>
        </w:rPr>
        <w:t>《建筑抗震加固技术规程》DB11/689</w:t>
      </w:r>
    </w:p>
    <w:p>
      <w:pPr>
        <w:pStyle w:val="62"/>
        <w:numPr>
          <w:ilvl w:val="0"/>
          <w:numId w:val="17"/>
        </w:numPr>
        <w:spacing w:line="360" w:lineRule="auto"/>
        <w:ind w:left="357" w:hanging="357" w:firstLineChars="0"/>
        <w:rPr>
          <w:rFonts w:eastAsia="宋体"/>
          <w:kern w:val="0"/>
          <w:sz w:val="24"/>
          <w:szCs w:val="24"/>
        </w:rPr>
      </w:pPr>
      <w:r>
        <w:rPr>
          <w:rFonts w:hint="eastAsia" w:eastAsia="宋体"/>
          <w:kern w:val="0"/>
          <w:sz w:val="24"/>
          <w:szCs w:val="24"/>
        </w:rPr>
        <w:t>《海绵城市建设设计标准》D</w:t>
      </w:r>
      <w:r>
        <w:rPr>
          <w:rFonts w:eastAsia="宋体"/>
          <w:kern w:val="0"/>
          <w:sz w:val="24"/>
          <w:szCs w:val="24"/>
        </w:rPr>
        <w:t>B11/T 1743</w:t>
      </w:r>
    </w:p>
    <w:p>
      <w:pPr>
        <w:pStyle w:val="62"/>
        <w:numPr>
          <w:ilvl w:val="0"/>
          <w:numId w:val="17"/>
        </w:numPr>
        <w:spacing w:line="360" w:lineRule="auto"/>
        <w:ind w:left="357" w:hanging="357" w:firstLineChars="0"/>
        <w:rPr>
          <w:rFonts w:eastAsia="宋体"/>
          <w:kern w:val="0"/>
          <w:sz w:val="24"/>
          <w:szCs w:val="24"/>
        </w:rPr>
      </w:pPr>
      <w:r>
        <w:rPr>
          <w:rFonts w:hint="eastAsia" w:eastAsia="宋体"/>
          <w:kern w:val="0"/>
          <w:sz w:val="24"/>
          <w:szCs w:val="24"/>
        </w:rPr>
        <w:t>《公共建筑机动车停车配建指标》</w:t>
      </w:r>
      <w:r>
        <w:rPr>
          <w:rFonts w:eastAsia="宋体"/>
          <w:kern w:val="0"/>
          <w:sz w:val="24"/>
          <w:szCs w:val="24"/>
        </w:rPr>
        <w:t>DB11/T 1813</w:t>
      </w:r>
    </w:p>
    <w:p>
      <w:pPr>
        <w:pStyle w:val="62"/>
        <w:numPr>
          <w:ilvl w:val="0"/>
          <w:numId w:val="17"/>
        </w:numPr>
        <w:spacing w:line="360" w:lineRule="auto"/>
        <w:ind w:left="357" w:hanging="357" w:firstLineChars="0"/>
        <w:rPr>
          <w:rFonts w:eastAsia="宋体"/>
          <w:kern w:val="0"/>
          <w:sz w:val="24"/>
          <w:szCs w:val="24"/>
        </w:rPr>
      </w:pPr>
      <w:r>
        <w:rPr>
          <w:rFonts w:hint="eastAsia" w:eastAsia="宋体"/>
          <w:kern w:val="0"/>
          <w:sz w:val="24"/>
          <w:szCs w:val="24"/>
        </w:rPr>
        <w:t>《北京市居住建筑节能设计标准》D</w:t>
      </w:r>
      <w:r>
        <w:rPr>
          <w:rFonts w:eastAsia="宋体"/>
          <w:kern w:val="0"/>
          <w:sz w:val="24"/>
          <w:szCs w:val="24"/>
        </w:rPr>
        <w:t>B11/891</w:t>
      </w:r>
    </w:p>
    <w:p>
      <w:pPr>
        <w:pStyle w:val="62"/>
        <w:numPr>
          <w:ilvl w:val="0"/>
          <w:numId w:val="17"/>
        </w:numPr>
        <w:spacing w:line="360" w:lineRule="auto"/>
        <w:ind w:left="357" w:hanging="357" w:firstLineChars="0"/>
        <w:rPr>
          <w:rFonts w:eastAsia="宋体"/>
          <w:kern w:val="0"/>
          <w:sz w:val="24"/>
          <w:szCs w:val="24"/>
        </w:rPr>
      </w:pPr>
      <w:r>
        <w:rPr>
          <w:rFonts w:hint="eastAsia" w:eastAsia="宋体"/>
          <w:kern w:val="0"/>
          <w:sz w:val="24"/>
          <w:szCs w:val="24"/>
        </w:rPr>
        <w:t>《民用建筑节水设计标准》</w:t>
      </w:r>
      <w:r>
        <w:rPr>
          <w:rFonts w:eastAsia="宋体"/>
          <w:kern w:val="0"/>
          <w:sz w:val="24"/>
          <w:szCs w:val="24"/>
        </w:rPr>
        <w:t>DB11</w:t>
      </w:r>
      <w:r>
        <w:rPr>
          <w:rFonts w:hint="eastAsia" w:eastAsia="宋体"/>
          <w:kern w:val="0"/>
          <w:sz w:val="24"/>
          <w:szCs w:val="24"/>
        </w:rPr>
        <w:t>/</w:t>
      </w:r>
      <w:r>
        <w:rPr>
          <w:rFonts w:eastAsia="宋体"/>
          <w:kern w:val="0"/>
          <w:sz w:val="24"/>
          <w:szCs w:val="24"/>
        </w:rPr>
        <w:t>2076</w:t>
      </w:r>
    </w:p>
    <w:p>
      <w:pPr>
        <w:widowControl/>
        <w:jc w:val="left"/>
        <w:rPr>
          <w:rFonts w:eastAsia="黑体"/>
          <w:sz w:val="32"/>
        </w:rPr>
      </w:pPr>
    </w:p>
    <w:p>
      <w:pPr>
        <w:widowControl/>
        <w:jc w:val="left"/>
        <w:rPr>
          <w:rFonts w:eastAsia="黑体"/>
          <w:sz w:val="32"/>
        </w:rPr>
      </w:pPr>
    </w:p>
    <w:p>
      <w:pPr>
        <w:rPr>
          <w:szCs w:val="24"/>
        </w:rPr>
      </w:pPr>
      <w:bookmarkStart w:id="359" w:name="_GoBack"/>
      <w:bookmarkEnd w:id="359"/>
    </w:p>
    <w:sectPr>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5897"/>
      </w:tabs>
    </w:pPr>
    <w:r>
      <w:tab/>
    </w:r>
    <w:sdt>
      <w:sdtPr>
        <w:id w:val="50670694"/>
        <w:showingPlcHdr/>
      </w:sdtPr>
      <w:sdtContent>
        <w:r>
          <w:t xml:space="preserve">     </w:t>
        </w:r>
      </w:sdtContent>
    </w:sdt>
    <w:r>
      <w:tab/>
    </w:r>
  </w:p>
  <w:p>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5655484"/>
    </w:sdtPr>
    <w:sdtContent>
      <w:p>
        <w:pPr>
          <w:pStyle w:val="17"/>
          <w:jc w:val="center"/>
        </w:pPr>
        <w:r>
          <w:fldChar w:fldCharType="begin"/>
        </w:r>
        <w:r>
          <w:instrText xml:space="preserve">PAGE   \* MERGEFORMAT</w:instrText>
        </w:r>
        <w:r>
          <w:fldChar w:fldCharType="separate"/>
        </w:r>
        <w:r>
          <w:rPr>
            <w:lang w:val="zh-CN"/>
          </w:rPr>
          <w:t>61</w:t>
        </w:r>
        <w:r>
          <w:rPr>
            <w:lang w:val="zh-CN"/>
          </w:rPr>
          <w:fldChar w:fldCharType="end"/>
        </w:r>
      </w:p>
    </w:sdtContent>
  </w:sdt>
  <w:p>
    <w:pPr>
      <w:pStyle w:val="17"/>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63CA0"/>
    <w:multiLevelType w:val="multilevel"/>
    <w:tmpl w:val="00863CA0"/>
    <w:lvl w:ilvl="0" w:tentative="0">
      <w:start w:val="1"/>
      <w:numFmt w:val="decimal"/>
      <w:lvlText w:val="%1."/>
      <w:lvlJc w:val="left"/>
      <w:pPr>
        <w:ind w:left="2100" w:hanging="420"/>
      </w:pPr>
      <w:rPr>
        <w:b/>
      </w:rPr>
    </w:lvl>
    <w:lvl w:ilvl="1" w:tentative="0">
      <w:start w:val="1"/>
      <w:numFmt w:val="lowerLetter"/>
      <w:lvlText w:val="%2)"/>
      <w:lvlJc w:val="left"/>
      <w:pPr>
        <w:ind w:left="2520" w:hanging="420"/>
      </w:pPr>
    </w:lvl>
    <w:lvl w:ilvl="2" w:tentative="0">
      <w:start w:val="1"/>
      <w:numFmt w:val="lowerRoman"/>
      <w:lvlText w:val="%3."/>
      <w:lvlJc w:val="right"/>
      <w:pPr>
        <w:ind w:left="2940" w:hanging="420"/>
      </w:pPr>
    </w:lvl>
    <w:lvl w:ilvl="3" w:tentative="0">
      <w:start w:val="1"/>
      <w:numFmt w:val="decimal"/>
      <w:lvlText w:val="%4."/>
      <w:lvlJc w:val="left"/>
      <w:pPr>
        <w:ind w:left="3360" w:hanging="420"/>
      </w:pPr>
    </w:lvl>
    <w:lvl w:ilvl="4" w:tentative="0">
      <w:start w:val="1"/>
      <w:numFmt w:val="lowerLetter"/>
      <w:lvlText w:val="%5)"/>
      <w:lvlJc w:val="left"/>
      <w:pPr>
        <w:ind w:left="3780" w:hanging="420"/>
      </w:pPr>
    </w:lvl>
    <w:lvl w:ilvl="5" w:tentative="0">
      <w:start w:val="1"/>
      <w:numFmt w:val="lowerRoman"/>
      <w:lvlText w:val="%6."/>
      <w:lvlJc w:val="right"/>
      <w:pPr>
        <w:ind w:left="4200" w:hanging="420"/>
      </w:pPr>
    </w:lvl>
    <w:lvl w:ilvl="6" w:tentative="0">
      <w:start w:val="1"/>
      <w:numFmt w:val="decimal"/>
      <w:lvlText w:val="%7."/>
      <w:lvlJc w:val="left"/>
      <w:pPr>
        <w:ind w:left="4620" w:hanging="420"/>
      </w:pPr>
    </w:lvl>
    <w:lvl w:ilvl="7" w:tentative="0">
      <w:start w:val="1"/>
      <w:numFmt w:val="lowerLetter"/>
      <w:lvlText w:val="%8)"/>
      <w:lvlJc w:val="left"/>
      <w:pPr>
        <w:ind w:left="5040" w:hanging="420"/>
      </w:pPr>
    </w:lvl>
    <w:lvl w:ilvl="8" w:tentative="0">
      <w:start w:val="1"/>
      <w:numFmt w:val="lowerRoman"/>
      <w:lvlText w:val="%9."/>
      <w:lvlJc w:val="right"/>
      <w:pPr>
        <w:ind w:left="5460" w:hanging="420"/>
      </w:pPr>
    </w:lvl>
  </w:abstractNum>
  <w:abstractNum w:abstractNumId="1">
    <w:nsid w:val="0B130619"/>
    <w:multiLevelType w:val="multilevel"/>
    <w:tmpl w:val="0B130619"/>
    <w:lvl w:ilvl="0" w:tentative="0">
      <w:start w:val="1"/>
      <w:numFmt w:val="decimal"/>
      <w:lvlText w:val="%1."/>
      <w:lvlJc w:val="left"/>
      <w:pPr>
        <w:ind w:left="1680" w:hanging="420"/>
      </w:pPr>
      <w:rPr>
        <w:b/>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2">
    <w:nsid w:val="0B350F8B"/>
    <w:multiLevelType w:val="multilevel"/>
    <w:tmpl w:val="0B350F8B"/>
    <w:lvl w:ilvl="0" w:tentative="0">
      <w:start w:val="1"/>
      <w:numFmt w:val="decimal"/>
      <w:lvlText w:val="%1."/>
      <w:lvlJc w:val="left"/>
      <w:pPr>
        <w:ind w:left="1680" w:hanging="420"/>
      </w:pPr>
      <w:rPr>
        <w:b/>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3">
    <w:nsid w:val="0C024EAC"/>
    <w:multiLevelType w:val="multilevel"/>
    <w:tmpl w:val="0C024EAC"/>
    <w:lvl w:ilvl="0" w:tentative="0">
      <w:start w:val="1"/>
      <w:numFmt w:val="decimal"/>
      <w:lvlText w:val="%1."/>
      <w:lvlJc w:val="left"/>
      <w:pPr>
        <w:ind w:left="2100" w:hanging="420"/>
      </w:pPr>
      <w:rPr>
        <w:b/>
      </w:rPr>
    </w:lvl>
    <w:lvl w:ilvl="1" w:tentative="0">
      <w:start w:val="1"/>
      <w:numFmt w:val="lowerLetter"/>
      <w:lvlText w:val="%2)"/>
      <w:lvlJc w:val="left"/>
      <w:pPr>
        <w:ind w:left="2520" w:hanging="420"/>
      </w:pPr>
    </w:lvl>
    <w:lvl w:ilvl="2" w:tentative="0">
      <w:start w:val="1"/>
      <w:numFmt w:val="lowerRoman"/>
      <w:lvlText w:val="%3."/>
      <w:lvlJc w:val="right"/>
      <w:pPr>
        <w:ind w:left="2940" w:hanging="420"/>
      </w:pPr>
    </w:lvl>
    <w:lvl w:ilvl="3" w:tentative="0">
      <w:start w:val="1"/>
      <w:numFmt w:val="decimal"/>
      <w:lvlText w:val="%4."/>
      <w:lvlJc w:val="left"/>
      <w:pPr>
        <w:ind w:left="3360" w:hanging="420"/>
      </w:pPr>
    </w:lvl>
    <w:lvl w:ilvl="4" w:tentative="0">
      <w:start w:val="1"/>
      <w:numFmt w:val="lowerLetter"/>
      <w:lvlText w:val="%5)"/>
      <w:lvlJc w:val="left"/>
      <w:pPr>
        <w:ind w:left="3780" w:hanging="420"/>
      </w:pPr>
    </w:lvl>
    <w:lvl w:ilvl="5" w:tentative="0">
      <w:start w:val="1"/>
      <w:numFmt w:val="lowerRoman"/>
      <w:lvlText w:val="%6."/>
      <w:lvlJc w:val="right"/>
      <w:pPr>
        <w:ind w:left="4200" w:hanging="420"/>
      </w:pPr>
    </w:lvl>
    <w:lvl w:ilvl="6" w:tentative="0">
      <w:start w:val="1"/>
      <w:numFmt w:val="decimal"/>
      <w:lvlText w:val="%7."/>
      <w:lvlJc w:val="left"/>
      <w:pPr>
        <w:ind w:left="4620" w:hanging="420"/>
      </w:pPr>
    </w:lvl>
    <w:lvl w:ilvl="7" w:tentative="0">
      <w:start w:val="1"/>
      <w:numFmt w:val="lowerLetter"/>
      <w:lvlText w:val="%8)"/>
      <w:lvlJc w:val="left"/>
      <w:pPr>
        <w:ind w:left="5040" w:hanging="420"/>
      </w:pPr>
    </w:lvl>
    <w:lvl w:ilvl="8" w:tentative="0">
      <w:start w:val="1"/>
      <w:numFmt w:val="lowerRoman"/>
      <w:lvlText w:val="%9."/>
      <w:lvlJc w:val="right"/>
      <w:pPr>
        <w:ind w:left="5460" w:hanging="420"/>
      </w:pPr>
    </w:lvl>
  </w:abstractNum>
  <w:abstractNum w:abstractNumId="4">
    <w:nsid w:val="21B4262C"/>
    <w:multiLevelType w:val="multilevel"/>
    <w:tmpl w:val="21B4262C"/>
    <w:lvl w:ilvl="0" w:tentative="0">
      <w:start w:val="1"/>
      <w:numFmt w:val="decimal"/>
      <w:lvlText w:val="%1."/>
      <w:lvlJc w:val="left"/>
      <w:pPr>
        <w:ind w:left="1680" w:hanging="420"/>
      </w:pPr>
      <w:rPr>
        <w:b/>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5">
    <w:nsid w:val="223A418A"/>
    <w:multiLevelType w:val="multilevel"/>
    <w:tmpl w:val="223A418A"/>
    <w:lvl w:ilvl="0" w:tentative="0">
      <w:start w:val="1"/>
      <w:numFmt w:val="decimal"/>
      <w:lvlText w:val="%1."/>
      <w:lvlJc w:val="left"/>
      <w:pPr>
        <w:ind w:left="840" w:hanging="420"/>
      </w:pPr>
      <w:rPr>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253109AB"/>
    <w:multiLevelType w:val="multilevel"/>
    <w:tmpl w:val="253109A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rPr>
        <w:b/>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2297F43"/>
    <w:multiLevelType w:val="multilevel"/>
    <w:tmpl w:val="32297F43"/>
    <w:lvl w:ilvl="0" w:tentative="0">
      <w:start w:val="1"/>
      <w:numFmt w:val="decimal"/>
      <w:lvlText w:val="%1."/>
      <w:lvlJc w:val="left"/>
      <w:pPr>
        <w:ind w:left="840" w:hanging="420"/>
      </w:pPr>
      <w:rPr>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32B92DAD"/>
    <w:multiLevelType w:val="multilevel"/>
    <w:tmpl w:val="32B92D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rPr>
        <w:b/>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65922D9"/>
    <w:multiLevelType w:val="multilevel"/>
    <w:tmpl w:val="365922D9"/>
    <w:lvl w:ilvl="0" w:tentative="0">
      <w:start w:val="1"/>
      <w:numFmt w:val="decimal"/>
      <w:lvlText w:val="%1"/>
      <w:lvlJc w:val="left"/>
      <w:pPr>
        <w:ind w:left="630" w:hanging="630"/>
      </w:pPr>
      <w:rPr>
        <w:rFonts w:hint="default"/>
        <w:b/>
      </w:rPr>
    </w:lvl>
    <w:lvl w:ilvl="1" w:tentative="0">
      <w:start w:val="0"/>
      <w:numFmt w:val="decimal"/>
      <w:lvlText w:val="%1.%2"/>
      <w:lvlJc w:val="left"/>
      <w:pPr>
        <w:ind w:left="630" w:hanging="630"/>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080" w:hanging="108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440" w:hanging="1440"/>
      </w:pPr>
      <w:rPr>
        <w:rFonts w:hint="default"/>
        <w:b/>
      </w:rPr>
    </w:lvl>
  </w:abstractNum>
  <w:abstractNum w:abstractNumId="10">
    <w:nsid w:val="45E107D3"/>
    <w:multiLevelType w:val="multilevel"/>
    <w:tmpl w:val="45E107D3"/>
    <w:lvl w:ilvl="0" w:tentative="0">
      <w:start w:val="1"/>
      <w:numFmt w:val="decimal"/>
      <w:lvlText w:val="%1."/>
      <w:lvlJc w:val="left"/>
      <w:pPr>
        <w:ind w:left="2100" w:hanging="420"/>
      </w:pPr>
      <w:rPr>
        <w:b/>
      </w:rPr>
    </w:lvl>
    <w:lvl w:ilvl="1" w:tentative="0">
      <w:start w:val="1"/>
      <w:numFmt w:val="lowerLetter"/>
      <w:lvlText w:val="%2)"/>
      <w:lvlJc w:val="left"/>
      <w:pPr>
        <w:ind w:left="2520" w:hanging="420"/>
      </w:pPr>
    </w:lvl>
    <w:lvl w:ilvl="2" w:tentative="0">
      <w:start w:val="1"/>
      <w:numFmt w:val="lowerRoman"/>
      <w:lvlText w:val="%3."/>
      <w:lvlJc w:val="right"/>
      <w:pPr>
        <w:ind w:left="2940" w:hanging="420"/>
      </w:pPr>
    </w:lvl>
    <w:lvl w:ilvl="3" w:tentative="0">
      <w:start w:val="1"/>
      <w:numFmt w:val="decimal"/>
      <w:lvlText w:val="%4."/>
      <w:lvlJc w:val="left"/>
      <w:pPr>
        <w:ind w:left="3360" w:hanging="420"/>
      </w:pPr>
    </w:lvl>
    <w:lvl w:ilvl="4" w:tentative="0">
      <w:start w:val="1"/>
      <w:numFmt w:val="lowerLetter"/>
      <w:lvlText w:val="%5)"/>
      <w:lvlJc w:val="left"/>
      <w:pPr>
        <w:ind w:left="3780" w:hanging="420"/>
      </w:pPr>
    </w:lvl>
    <w:lvl w:ilvl="5" w:tentative="0">
      <w:start w:val="1"/>
      <w:numFmt w:val="lowerRoman"/>
      <w:lvlText w:val="%6."/>
      <w:lvlJc w:val="right"/>
      <w:pPr>
        <w:ind w:left="4200" w:hanging="420"/>
      </w:pPr>
    </w:lvl>
    <w:lvl w:ilvl="6" w:tentative="0">
      <w:start w:val="1"/>
      <w:numFmt w:val="decimal"/>
      <w:lvlText w:val="%7."/>
      <w:lvlJc w:val="left"/>
      <w:pPr>
        <w:ind w:left="4620" w:hanging="420"/>
      </w:pPr>
    </w:lvl>
    <w:lvl w:ilvl="7" w:tentative="0">
      <w:start w:val="1"/>
      <w:numFmt w:val="lowerLetter"/>
      <w:lvlText w:val="%8)"/>
      <w:lvlJc w:val="left"/>
      <w:pPr>
        <w:ind w:left="5040" w:hanging="420"/>
      </w:pPr>
    </w:lvl>
    <w:lvl w:ilvl="8" w:tentative="0">
      <w:start w:val="1"/>
      <w:numFmt w:val="lowerRoman"/>
      <w:lvlText w:val="%9."/>
      <w:lvlJc w:val="right"/>
      <w:pPr>
        <w:ind w:left="5460" w:hanging="420"/>
      </w:pPr>
    </w:lvl>
  </w:abstractNum>
  <w:abstractNum w:abstractNumId="11">
    <w:nsid w:val="4ECB0F66"/>
    <w:multiLevelType w:val="multilevel"/>
    <w:tmpl w:val="4ECB0F6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5A248F9"/>
    <w:multiLevelType w:val="multilevel"/>
    <w:tmpl w:val="65A248F9"/>
    <w:lvl w:ilvl="0" w:tentative="0">
      <w:start w:val="1"/>
      <w:numFmt w:val="decimal"/>
      <w:lvlText w:val="%1."/>
      <w:lvlJc w:val="left"/>
      <w:pPr>
        <w:ind w:left="1260" w:hanging="420"/>
      </w:pPr>
      <w:rPr>
        <w:b/>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6F8D48CD"/>
    <w:multiLevelType w:val="multilevel"/>
    <w:tmpl w:val="6F8D48CD"/>
    <w:lvl w:ilvl="0" w:tentative="0">
      <w:start w:val="1"/>
      <w:numFmt w:val="decimal"/>
      <w:lvlText w:val="%1."/>
      <w:lvlJc w:val="left"/>
      <w:pPr>
        <w:ind w:left="1680" w:hanging="420"/>
      </w:pPr>
      <w:rPr>
        <w:b/>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4">
    <w:nsid w:val="74CF05B8"/>
    <w:multiLevelType w:val="multilevel"/>
    <w:tmpl w:val="74CF05B8"/>
    <w:lvl w:ilvl="0" w:tentative="0">
      <w:start w:val="1"/>
      <w:numFmt w:val="decimal"/>
      <w:lvlText w:val="%1."/>
      <w:lvlJc w:val="left"/>
      <w:pPr>
        <w:ind w:left="840" w:hanging="420"/>
      </w:pPr>
      <w:rPr>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7111FF0"/>
    <w:multiLevelType w:val="multilevel"/>
    <w:tmpl w:val="77111FF0"/>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decimal"/>
      <w:lvlText w:val="%3."/>
      <w:lvlJc w:val="left"/>
      <w:pPr>
        <w:ind w:left="420" w:hanging="420"/>
      </w:pPr>
      <w:rPr>
        <w:b/>
      </w:r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16">
    <w:nsid w:val="7CD84AC8"/>
    <w:multiLevelType w:val="multilevel"/>
    <w:tmpl w:val="7CD84AC8"/>
    <w:lvl w:ilvl="0" w:tentative="0">
      <w:start w:val="1"/>
      <w:numFmt w:val="decimal"/>
      <w:lvlText w:val="%1."/>
      <w:lvlJc w:val="left"/>
      <w:pPr>
        <w:ind w:left="840" w:hanging="420"/>
      </w:pPr>
      <w:rPr>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9"/>
  </w:num>
  <w:num w:numId="2">
    <w:abstractNumId w:val="14"/>
  </w:num>
  <w:num w:numId="3">
    <w:abstractNumId w:val="7"/>
  </w:num>
  <w:num w:numId="4">
    <w:abstractNumId w:val="16"/>
  </w:num>
  <w:num w:numId="5">
    <w:abstractNumId w:val="15"/>
  </w:num>
  <w:num w:numId="6">
    <w:abstractNumId w:val="12"/>
  </w:num>
  <w:num w:numId="7">
    <w:abstractNumId w:val="1"/>
  </w:num>
  <w:num w:numId="8">
    <w:abstractNumId w:val="13"/>
  </w:num>
  <w:num w:numId="9">
    <w:abstractNumId w:val="5"/>
  </w:num>
  <w:num w:numId="10">
    <w:abstractNumId w:val="4"/>
  </w:num>
  <w:num w:numId="11">
    <w:abstractNumId w:val="2"/>
  </w:num>
  <w:num w:numId="12">
    <w:abstractNumId w:val="0"/>
  </w:num>
  <w:num w:numId="13">
    <w:abstractNumId w:val="10"/>
  </w:num>
  <w:num w:numId="14">
    <w:abstractNumId w:val="3"/>
  </w:num>
  <w:num w:numId="15">
    <w:abstractNumId w:val="6"/>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EE2"/>
    <w:rsid w:val="00000966"/>
    <w:rsid w:val="000013DC"/>
    <w:rsid w:val="00001574"/>
    <w:rsid w:val="00001920"/>
    <w:rsid w:val="00001A58"/>
    <w:rsid w:val="00002AEC"/>
    <w:rsid w:val="00002E33"/>
    <w:rsid w:val="00002E3E"/>
    <w:rsid w:val="00003196"/>
    <w:rsid w:val="0000339F"/>
    <w:rsid w:val="0000408B"/>
    <w:rsid w:val="000041B5"/>
    <w:rsid w:val="000100ED"/>
    <w:rsid w:val="0001066F"/>
    <w:rsid w:val="000129A9"/>
    <w:rsid w:val="00013AF4"/>
    <w:rsid w:val="000145DF"/>
    <w:rsid w:val="00015131"/>
    <w:rsid w:val="00015712"/>
    <w:rsid w:val="00021934"/>
    <w:rsid w:val="00021B36"/>
    <w:rsid w:val="000229E8"/>
    <w:rsid w:val="00022CDD"/>
    <w:rsid w:val="00024212"/>
    <w:rsid w:val="00024248"/>
    <w:rsid w:val="000267D8"/>
    <w:rsid w:val="0002774D"/>
    <w:rsid w:val="00031DC8"/>
    <w:rsid w:val="000335B7"/>
    <w:rsid w:val="00033B1F"/>
    <w:rsid w:val="00033CFF"/>
    <w:rsid w:val="00037B72"/>
    <w:rsid w:val="00041D4A"/>
    <w:rsid w:val="00042B24"/>
    <w:rsid w:val="00042DD2"/>
    <w:rsid w:val="000438C4"/>
    <w:rsid w:val="00044930"/>
    <w:rsid w:val="0004582F"/>
    <w:rsid w:val="00047146"/>
    <w:rsid w:val="0004779F"/>
    <w:rsid w:val="0005086A"/>
    <w:rsid w:val="00050E9D"/>
    <w:rsid w:val="00051E72"/>
    <w:rsid w:val="000525FA"/>
    <w:rsid w:val="00054B31"/>
    <w:rsid w:val="00054DCA"/>
    <w:rsid w:val="00056715"/>
    <w:rsid w:val="00056CAF"/>
    <w:rsid w:val="00057EB5"/>
    <w:rsid w:val="00057EBC"/>
    <w:rsid w:val="00057F82"/>
    <w:rsid w:val="00061083"/>
    <w:rsid w:val="00061CCD"/>
    <w:rsid w:val="0006669C"/>
    <w:rsid w:val="0006770F"/>
    <w:rsid w:val="0007399F"/>
    <w:rsid w:val="00074338"/>
    <w:rsid w:val="00075E87"/>
    <w:rsid w:val="00077330"/>
    <w:rsid w:val="00077F9D"/>
    <w:rsid w:val="000825D9"/>
    <w:rsid w:val="000832CA"/>
    <w:rsid w:val="00083D1D"/>
    <w:rsid w:val="00083DF9"/>
    <w:rsid w:val="00083F84"/>
    <w:rsid w:val="0008442C"/>
    <w:rsid w:val="00085025"/>
    <w:rsid w:val="000853F7"/>
    <w:rsid w:val="00087BD7"/>
    <w:rsid w:val="00090AD7"/>
    <w:rsid w:val="00090D87"/>
    <w:rsid w:val="0009191C"/>
    <w:rsid w:val="00091ACC"/>
    <w:rsid w:val="00092F14"/>
    <w:rsid w:val="000939EE"/>
    <w:rsid w:val="00097B3E"/>
    <w:rsid w:val="000A161B"/>
    <w:rsid w:val="000A1E9A"/>
    <w:rsid w:val="000A214E"/>
    <w:rsid w:val="000A51BB"/>
    <w:rsid w:val="000A5AD1"/>
    <w:rsid w:val="000A6DE4"/>
    <w:rsid w:val="000A739D"/>
    <w:rsid w:val="000A767B"/>
    <w:rsid w:val="000A7D22"/>
    <w:rsid w:val="000B24DF"/>
    <w:rsid w:val="000B2F9B"/>
    <w:rsid w:val="000B397B"/>
    <w:rsid w:val="000B456F"/>
    <w:rsid w:val="000B5357"/>
    <w:rsid w:val="000B5370"/>
    <w:rsid w:val="000B5F21"/>
    <w:rsid w:val="000B6EF8"/>
    <w:rsid w:val="000C0E40"/>
    <w:rsid w:val="000C2FCA"/>
    <w:rsid w:val="000C31DC"/>
    <w:rsid w:val="000C4267"/>
    <w:rsid w:val="000C4DDE"/>
    <w:rsid w:val="000C4F59"/>
    <w:rsid w:val="000C5035"/>
    <w:rsid w:val="000C568B"/>
    <w:rsid w:val="000C616B"/>
    <w:rsid w:val="000C6DD0"/>
    <w:rsid w:val="000C742E"/>
    <w:rsid w:val="000D0506"/>
    <w:rsid w:val="000D0DA9"/>
    <w:rsid w:val="000D133A"/>
    <w:rsid w:val="000D1844"/>
    <w:rsid w:val="000D1F23"/>
    <w:rsid w:val="000D3410"/>
    <w:rsid w:val="000D73FD"/>
    <w:rsid w:val="000D7EB4"/>
    <w:rsid w:val="000E0003"/>
    <w:rsid w:val="000E0535"/>
    <w:rsid w:val="000E4AE9"/>
    <w:rsid w:val="000E4E43"/>
    <w:rsid w:val="000E5B57"/>
    <w:rsid w:val="000E6404"/>
    <w:rsid w:val="000E7B87"/>
    <w:rsid w:val="000F03BA"/>
    <w:rsid w:val="000F0B39"/>
    <w:rsid w:val="000F11A2"/>
    <w:rsid w:val="000F13AB"/>
    <w:rsid w:val="000F1C08"/>
    <w:rsid w:val="000F22C9"/>
    <w:rsid w:val="000F455F"/>
    <w:rsid w:val="000F58FE"/>
    <w:rsid w:val="00100791"/>
    <w:rsid w:val="0010225D"/>
    <w:rsid w:val="00102A85"/>
    <w:rsid w:val="00104579"/>
    <w:rsid w:val="00106100"/>
    <w:rsid w:val="001061E2"/>
    <w:rsid w:val="00106526"/>
    <w:rsid w:val="001067BC"/>
    <w:rsid w:val="001072B4"/>
    <w:rsid w:val="00110185"/>
    <w:rsid w:val="0011083C"/>
    <w:rsid w:val="00110F14"/>
    <w:rsid w:val="0011197C"/>
    <w:rsid w:val="00112813"/>
    <w:rsid w:val="00114C8F"/>
    <w:rsid w:val="00116FC0"/>
    <w:rsid w:val="00117B1A"/>
    <w:rsid w:val="001231B3"/>
    <w:rsid w:val="00124A52"/>
    <w:rsid w:val="00130567"/>
    <w:rsid w:val="00130B35"/>
    <w:rsid w:val="00133E4C"/>
    <w:rsid w:val="0013478B"/>
    <w:rsid w:val="00135821"/>
    <w:rsid w:val="00136D42"/>
    <w:rsid w:val="001416E4"/>
    <w:rsid w:val="00142ADD"/>
    <w:rsid w:val="0014310B"/>
    <w:rsid w:val="001433BB"/>
    <w:rsid w:val="001447A4"/>
    <w:rsid w:val="00144CFD"/>
    <w:rsid w:val="0015045B"/>
    <w:rsid w:val="0015075E"/>
    <w:rsid w:val="00150E4E"/>
    <w:rsid w:val="00150FE9"/>
    <w:rsid w:val="0015233E"/>
    <w:rsid w:val="00152601"/>
    <w:rsid w:val="00152C76"/>
    <w:rsid w:val="00155023"/>
    <w:rsid w:val="00157C3B"/>
    <w:rsid w:val="00157EA0"/>
    <w:rsid w:val="00160989"/>
    <w:rsid w:val="00160AD5"/>
    <w:rsid w:val="00160E2E"/>
    <w:rsid w:val="001622C1"/>
    <w:rsid w:val="00163BD0"/>
    <w:rsid w:val="00165491"/>
    <w:rsid w:val="001654CF"/>
    <w:rsid w:val="00165787"/>
    <w:rsid w:val="00166864"/>
    <w:rsid w:val="00167A41"/>
    <w:rsid w:val="001702AB"/>
    <w:rsid w:val="00171E0C"/>
    <w:rsid w:val="001721E8"/>
    <w:rsid w:val="0017373B"/>
    <w:rsid w:val="00173DEC"/>
    <w:rsid w:val="00176B18"/>
    <w:rsid w:val="0018634F"/>
    <w:rsid w:val="00186995"/>
    <w:rsid w:val="0018783D"/>
    <w:rsid w:val="0019189E"/>
    <w:rsid w:val="00194C33"/>
    <w:rsid w:val="00195151"/>
    <w:rsid w:val="001954D7"/>
    <w:rsid w:val="00196814"/>
    <w:rsid w:val="001A118C"/>
    <w:rsid w:val="001A1616"/>
    <w:rsid w:val="001A1A7C"/>
    <w:rsid w:val="001A2CDF"/>
    <w:rsid w:val="001A36C3"/>
    <w:rsid w:val="001A4458"/>
    <w:rsid w:val="001A4DE7"/>
    <w:rsid w:val="001A68EB"/>
    <w:rsid w:val="001A70CC"/>
    <w:rsid w:val="001B2B02"/>
    <w:rsid w:val="001B309C"/>
    <w:rsid w:val="001B320B"/>
    <w:rsid w:val="001B3BD6"/>
    <w:rsid w:val="001B43DD"/>
    <w:rsid w:val="001B48CB"/>
    <w:rsid w:val="001B4A9C"/>
    <w:rsid w:val="001B55C4"/>
    <w:rsid w:val="001B60A6"/>
    <w:rsid w:val="001B7EE2"/>
    <w:rsid w:val="001C01B4"/>
    <w:rsid w:val="001C04BC"/>
    <w:rsid w:val="001C09DA"/>
    <w:rsid w:val="001C2825"/>
    <w:rsid w:val="001D1768"/>
    <w:rsid w:val="001D2532"/>
    <w:rsid w:val="001D3D2C"/>
    <w:rsid w:val="001D4F78"/>
    <w:rsid w:val="001D55EF"/>
    <w:rsid w:val="001D61D3"/>
    <w:rsid w:val="001D6FD7"/>
    <w:rsid w:val="001D7B07"/>
    <w:rsid w:val="001E0AC5"/>
    <w:rsid w:val="001E2D1B"/>
    <w:rsid w:val="001E39D7"/>
    <w:rsid w:val="001E40AA"/>
    <w:rsid w:val="001E44CD"/>
    <w:rsid w:val="001E467A"/>
    <w:rsid w:val="001E74DA"/>
    <w:rsid w:val="001E7A1A"/>
    <w:rsid w:val="001E7CF1"/>
    <w:rsid w:val="001F0B2C"/>
    <w:rsid w:val="001F1E72"/>
    <w:rsid w:val="001F2ED9"/>
    <w:rsid w:val="001F2EE1"/>
    <w:rsid w:val="001F6BEB"/>
    <w:rsid w:val="0020022D"/>
    <w:rsid w:val="002009C3"/>
    <w:rsid w:val="00200FA7"/>
    <w:rsid w:val="0020173F"/>
    <w:rsid w:val="002030DD"/>
    <w:rsid w:val="002039BE"/>
    <w:rsid w:val="00204B05"/>
    <w:rsid w:val="00206F3C"/>
    <w:rsid w:val="00207FF9"/>
    <w:rsid w:val="002101A8"/>
    <w:rsid w:val="002103CD"/>
    <w:rsid w:val="00212BCD"/>
    <w:rsid w:val="002154AA"/>
    <w:rsid w:val="00216DB8"/>
    <w:rsid w:val="002219A9"/>
    <w:rsid w:val="00221F4D"/>
    <w:rsid w:val="00222095"/>
    <w:rsid w:val="0022354A"/>
    <w:rsid w:val="0022415E"/>
    <w:rsid w:val="00226B63"/>
    <w:rsid w:val="002315A1"/>
    <w:rsid w:val="00231ED0"/>
    <w:rsid w:val="0023309C"/>
    <w:rsid w:val="00233BB0"/>
    <w:rsid w:val="002356C3"/>
    <w:rsid w:val="002367EC"/>
    <w:rsid w:val="00236AD5"/>
    <w:rsid w:val="002377C2"/>
    <w:rsid w:val="00240A8F"/>
    <w:rsid w:val="00240AF0"/>
    <w:rsid w:val="00242CE5"/>
    <w:rsid w:val="002433F6"/>
    <w:rsid w:val="0024520E"/>
    <w:rsid w:val="0024539D"/>
    <w:rsid w:val="00245804"/>
    <w:rsid w:val="00246198"/>
    <w:rsid w:val="0025130E"/>
    <w:rsid w:val="00251317"/>
    <w:rsid w:val="0025191F"/>
    <w:rsid w:val="002520BE"/>
    <w:rsid w:val="002530CC"/>
    <w:rsid w:val="00253796"/>
    <w:rsid w:val="00253C31"/>
    <w:rsid w:val="00253EBD"/>
    <w:rsid w:val="0025444C"/>
    <w:rsid w:val="00257193"/>
    <w:rsid w:val="00260A14"/>
    <w:rsid w:val="00261657"/>
    <w:rsid w:val="00261ADF"/>
    <w:rsid w:val="002624AE"/>
    <w:rsid w:val="0026389D"/>
    <w:rsid w:val="00265F6C"/>
    <w:rsid w:val="00266633"/>
    <w:rsid w:val="002675C2"/>
    <w:rsid w:val="00267EC0"/>
    <w:rsid w:val="002709AE"/>
    <w:rsid w:val="00271772"/>
    <w:rsid w:val="00271FD0"/>
    <w:rsid w:val="00272DBE"/>
    <w:rsid w:val="002731CD"/>
    <w:rsid w:val="00273C11"/>
    <w:rsid w:val="002750D8"/>
    <w:rsid w:val="00276952"/>
    <w:rsid w:val="00282BED"/>
    <w:rsid w:val="00283080"/>
    <w:rsid w:val="00283FD8"/>
    <w:rsid w:val="00285A6B"/>
    <w:rsid w:val="00286EB1"/>
    <w:rsid w:val="002912C9"/>
    <w:rsid w:val="00291C5A"/>
    <w:rsid w:val="00292ED5"/>
    <w:rsid w:val="00295EAF"/>
    <w:rsid w:val="002A193C"/>
    <w:rsid w:val="002A1F0F"/>
    <w:rsid w:val="002A2047"/>
    <w:rsid w:val="002A344F"/>
    <w:rsid w:val="002A4587"/>
    <w:rsid w:val="002A472E"/>
    <w:rsid w:val="002A58B5"/>
    <w:rsid w:val="002A5A18"/>
    <w:rsid w:val="002A5A95"/>
    <w:rsid w:val="002A655A"/>
    <w:rsid w:val="002A6DEE"/>
    <w:rsid w:val="002B0289"/>
    <w:rsid w:val="002B2AA2"/>
    <w:rsid w:val="002B2E45"/>
    <w:rsid w:val="002B3F92"/>
    <w:rsid w:val="002B474C"/>
    <w:rsid w:val="002B5229"/>
    <w:rsid w:val="002B6865"/>
    <w:rsid w:val="002B6908"/>
    <w:rsid w:val="002C2C50"/>
    <w:rsid w:val="002C3BD6"/>
    <w:rsid w:val="002C51D6"/>
    <w:rsid w:val="002C6891"/>
    <w:rsid w:val="002C68BB"/>
    <w:rsid w:val="002C6C6B"/>
    <w:rsid w:val="002C6F0D"/>
    <w:rsid w:val="002C70F8"/>
    <w:rsid w:val="002D0AB4"/>
    <w:rsid w:val="002D1837"/>
    <w:rsid w:val="002D3076"/>
    <w:rsid w:val="002D4158"/>
    <w:rsid w:val="002D4666"/>
    <w:rsid w:val="002D571F"/>
    <w:rsid w:val="002D5726"/>
    <w:rsid w:val="002D6A30"/>
    <w:rsid w:val="002D70B0"/>
    <w:rsid w:val="002D7535"/>
    <w:rsid w:val="002D7893"/>
    <w:rsid w:val="002D7E1F"/>
    <w:rsid w:val="002E366D"/>
    <w:rsid w:val="002E3AE6"/>
    <w:rsid w:val="002E3DA9"/>
    <w:rsid w:val="002E4E90"/>
    <w:rsid w:val="002E4ECE"/>
    <w:rsid w:val="002E65E1"/>
    <w:rsid w:val="002E6A7E"/>
    <w:rsid w:val="002E7B07"/>
    <w:rsid w:val="002F101F"/>
    <w:rsid w:val="002F1B7B"/>
    <w:rsid w:val="002F67B1"/>
    <w:rsid w:val="002F739E"/>
    <w:rsid w:val="003005D2"/>
    <w:rsid w:val="00300664"/>
    <w:rsid w:val="00300774"/>
    <w:rsid w:val="003008EC"/>
    <w:rsid w:val="00304166"/>
    <w:rsid w:val="00305883"/>
    <w:rsid w:val="00306C9C"/>
    <w:rsid w:val="0030754B"/>
    <w:rsid w:val="00310AE3"/>
    <w:rsid w:val="00311100"/>
    <w:rsid w:val="00311717"/>
    <w:rsid w:val="00312837"/>
    <w:rsid w:val="003128AF"/>
    <w:rsid w:val="00313080"/>
    <w:rsid w:val="003134AB"/>
    <w:rsid w:val="003141AD"/>
    <w:rsid w:val="0031540C"/>
    <w:rsid w:val="00315576"/>
    <w:rsid w:val="00317507"/>
    <w:rsid w:val="003175A0"/>
    <w:rsid w:val="00320BC4"/>
    <w:rsid w:val="00320E88"/>
    <w:rsid w:val="00322D30"/>
    <w:rsid w:val="00325E75"/>
    <w:rsid w:val="003262FE"/>
    <w:rsid w:val="003265A4"/>
    <w:rsid w:val="00326B11"/>
    <w:rsid w:val="00326CDE"/>
    <w:rsid w:val="00326F60"/>
    <w:rsid w:val="0033021A"/>
    <w:rsid w:val="003305BE"/>
    <w:rsid w:val="00332430"/>
    <w:rsid w:val="00332C2E"/>
    <w:rsid w:val="003333E7"/>
    <w:rsid w:val="00335E24"/>
    <w:rsid w:val="003379D9"/>
    <w:rsid w:val="00340FE4"/>
    <w:rsid w:val="003430E7"/>
    <w:rsid w:val="0034317C"/>
    <w:rsid w:val="0034347C"/>
    <w:rsid w:val="00344BBB"/>
    <w:rsid w:val="00345ECB"/>
    <w:rsid w:val="003462B0"/>
    <w:rsid w:val="003471A8"/>
    <w:rsid w:val="0035086E"/>
    <w:rsid w:val="00351DB0"/>
    <w:rsid w:val="00352F03"/>
    <w:rsid w:val="0035426C"/>
    <w:rsid w:val="00354E8B"/>
    <w:rsid w:val="00355A91"/>
    <w:rsid w:val="00360748"/>
    <w:rsid w:val="00360E8B"/>
    <w:rsid w:val="00361AC6"/>
    <w:rsid w:val="00362F5F"/>
    <w:rsid w:val="003630C7"/>
    <w:rsid w:val="00363583"/>
    <w:rsid w:val="003635A8"/>
    <w:rsid w:val="00364CD2"/>
    <w:rsid w:val="00364FBB"/>
    <w:rsid w:val="0036722A"/>
    <w:rsid w:val="003672E9"/>
    <w:rsid w:val="00367C87"/>
    <w:rsid w:val="00367EB2"/>
    <w:rsid w:val="00370147"/>
    <w:rsid w:val="0037134A"/>
    <w:rsid w:val="0037144F"/>
    <w:rsid w:val="003728AE"/>
    <w:rsid w:val="00372F89"/>
    <w:rsid w:val="0037302A"/>
    <w:rsid w:val="0037400C"/>
    <w:rsid w:val="00374C82"/>
    <w:rsid w:val="0037534B"/>
    <w:rsid w:val="00375DAA"/>
    <w:rsid w:val="00377140"/>
    <w:rsid w:val="00377E4A"/>
    <w:rsid w:val="00380AEF"/>
    <w:rsid w:val="00381B65"/>
    <w:rsid w:val="00381D44"/>
    <w:rsid w:val="0038216A"/>
    <w:rsid w:val="00385440"/>
    <w:rsid w:val="003859AA"/>
    <w:rsid w:val="00386C11"/>
    <w:rsid w:val="00391C83"/>
    <w:rsid w:val="0039212E"/>
    <w:rsid w:val="00395194"/>
    <w:rsid w:val="003966EC"/>
    <w:rsid w:val="00396821"/>
    <w:rsid w:val="00396E9C"/>
    <w:rsid w:val="003A3BF7"/>
    <w:rsid w:val="003A450C"/>
    <w:rsid w:val="003A67FD"/>
    <w:rsid w:val="003B006C"/>
    <w:rsid w:val="003B04A0"/>
    <w:rsid w:val="003B2DEE"/>
    <w:rsid w:val="003B36BF"/>
    <w:rsid w:val="003B40DD"/>
    <w:rsid w:val="003B4D60"/>
    <w:rsid w:val="003B51D9"/>
    <w:rsid w:val="003C12E3"/>
    <w:rsid w:val="003C393C"/>
    <w:rsid w:val="003C3A49"/>
    <w:rsid w:val="003C4034"/>
    <w:rsid w:val="003C4501"/>
    <w:rsid w:val="003C4BC1"/>
    <w:rsid w:val="003C51ED"/>
    <w:rsid w:val="003C55B6"/>
    <w:rsid w:val="003C6220"/>
    <w:rsid w:val="003C65B5"/>
    <w:rsid w:val="003C716E"/>
    <w:rsid w:val="003C7EF5"/>
    <w:rsid w:val="003D020A"/>
    <w:rsid w:val="003D18C5"/>
    <w:rsid w:val="003D3137"/>
    <w:rsid w:val="003D3312"/>
    <w:rsid w:val="003D336E"/>
    <w:rsid w:val="003D4998"/>
    <w:rsid w:val="003D4AE4"/>
    <w:rsid w:val="003D59E6"/>
    <w:rsid w:val="003D5B13"/>
    <w:rsid w:val="003D6A05"/>
    <w:rsid w:val="003D7239"/>
    <w:rsid w:val="003E0B38"/>
    <w:rsid w:val="003E0E91"/>
    <w:rsid w:val="003E14ED"/>
    <w:rsid w:val="003E16E0"/>
    <w:rsid w:val="003E3CDB"/>
    <w:rsid w:val="003E4D90"/>
    <w:rsid w:val="003E6CD9"/>
    <w:rsid w:val="003E7FE0"/>
    <w:rsid w:val="003F23A1"/>
    <w:rsid w:val="003F245A"/>
    <w:rsid w:val="003F5DBB"/>
    <w:rsid w:val="003F5F16"/>
    <w:rsid w:val="003F6CA5"/>
    <w:rsid w:val="003F7AB7"/>
    <w:rsid w:val="0040030F"/>
    <w:rsid w:val="00403135"/>
    <w:rsid w:val="00403247"/>
    <w:rsid w:val="004055D5"/>
    <w:rsid w:val="004065EB"/>
    <w:rsid w:val="0040718D"/>
    <w:rsid w:val="00407C92"/>
    <w:rsid w:val="00407E00"/>
    <w:rsid w:val="0041052F"/>
    <w:rsid w:val="00411900"/>
    <w:rsid w:val="00413505"/>
    <w:rsid w:val="0041399D"/>
    <w:rsid w:val="00413E42"/>
    <w:rsid w:val="004141B9"/>
    <w:rsid w:val="004148CE"/>
    <w:rsid w:val="00416AA2"/>
    <w:rsid w:val="00416E96"/>
    <w:rsid w:val="0041734F"/>
    <w:rsid w:val="00417941"/>
    <w:rsid w:val="00420810"/>
    <w:rsid w:val="00420A8F"/>
    <w:rsid w:val="00420D4C"/>
    <w:rsid w:val="00421489"/>
    <w:rsid w:val="004231AC"/>
    <w:rsid w:val="004232F3"/>
    <w:rsid w:val="00426348"/>
    <w:rsid w:val="004274D3"/>
    <w:rsid w:val="004278B9"/>
    <w:rsid w:val="00427CAA"/>
    <w:rsid w:val="00430BEF"/>
    <w:rsid w:val="00432725"/>
    <w:rsid w:val="004331C2"/>
    <w:rsid w:val="00433998"/>
    <w:rsid w:val="00433D68"/>
    <w:rsid w:val="00434159"/>
    <w:rsid w:val="00440389"/>
    <w:rsid w:val="004412E8"/>
    <w:rsid w:val="004429F1"/>
    <w:rsid w:val="00443E8C"/>
    <w:rsid w:val="00447F37"/>
    <w:rsid w:val="00450391"/>
    <w:rsid w:val="00450724"/>
    <w:rsid w:val="00450760"/>
    <w:rsid w:val="00450DF1"/>
    <w:rsid w:val="00451F01"/>
    <w:rsid w:val="004532C9"/>
    <w:rsid w:val="004536F3"/>
    <w:rsid w:val="00453A2B"/>
    <w:rsid w:val="00454B29"/>
    <w:rsid w:val="0045652E"/>
    <w:rsid w:val="004574FB"/>
    <w:rsid w:val="0046018A"/>
    <w:rsid w:val="00460C27"/>
    <w:rsid w:val="004616BE"/>
    <w:rsid w:val="004616DA"/>
    <w:rsid w:val="0046239A"/>
    <w:rsid w:val="00463601"/>
    <w:rsid w:val="004638F4"/>
    <w:rsid w:val="00464356"/>
    <w:rsid w:val="00464547"/>
    <w:rsid w:val="00464CC9"/>
    <w:rsid w:val="004653CB"/>
    <w:rsid w:val="00466096"/>
    <w:rsid w:val="00466DE0"/>
    <w:rsid w:val="004674E7"/>
    <w:rsid w:val="004735BB"/>
    <w:rsid w:val="00473A92"/>
    <w:rsid w:val="00473E60"/>
    <w:rsid w:val="00473EA1"/>
    <w:rsid w:val="00475718"/>
    <w:rsid w:val="00477223"/>
    <w:rsid w:val="004802B7"/>
    <w:rsid w:val="004813F7"/>
    <w:rsid w:val="00481501"/>
    <w:rsid w:val="004850C5"/>
    <w:rsid w:val="0048516F"/>
    <w:rsid w:val="0048543A"/>
    <w:rsid w:val="0048609D"/>
    <w:rsid w:val="00486655"/>
    <w:rsid w:val="004869A9"/>
    <w:rsid w:val="00487697"/>
    <w:rsid w:val="0049002A"/>
    <w:rsid w:val="00490594"/>
    <w:rsid w:val="004906C2"/>
    <w:rsid w:val="00490B7C"/>
    <w:rsid w:val="00491151"/>
    <w:rsid w:val="004915BA"/>
    <w:rsid w:val="004936F7"/>
    <w:rsid w:val="00494536"/>
    <w:rsid w:val="00496A28"/>
    <w:rsid w:val="00497A14"/>
    <w:rsid w:val="004A0D7D"/>
    <w:rsid w:val="004A664F"/>
    <w:rsid w:val="004A6FA0"/>
    <w:rsid w:val="004A76B4"/>
    <w:rsid w:val="004A77E7"/>
    <w:rsid w:val="004A7FFA"/>
    <w:rsid w:val="004B0EAA"/>
    <w:rsid w:val="004B262D"/>
    <w:rsid w:val="004B3869"/>
    <w:rsid w:val="004B5225"/>
    <w:rsid w:val="004B623A"/>
    <w:rsid w:val="004B6BDB"/>
    <w:rsid w:val="004B6E09"/>
    <w:rsid w:val="004B72B3"/>
    <w:rsid w:val="004C0D4E"/>
    <w:rsid w:val="004C0F94"/>
    <w:rsid w:val="004C1B7A"/>
    <w:rsid w:val="004C1DB9"/>
    <w:rsid w:val="004C1DEB"/>
    <w:rsid w:val="004C460B"/>
    <w:rsid w:val="004C58F3"/>
    <w:rsid w:val="004C7E68"/>
    <w:rsid w:val="004D26DB"/>
    <w:rsid w:val="004D5332"/>
    <w:rsid w:val="004D5984"/>
    <w:rsid w:val="004D72AC"/>
    <w:rsid w:val="004D7630"/>
    <w:rsid w:val="004D7B79"/>
    <w:rsid w:val="004E1777"/>
    <w:rsid w:val="004E2477"/>
    <w:rsid w:val="004E2DCD"/>
    <w:rsid w:val="004E2E72"/>
    <w:rsid w:val="004E3300"/>
    <w:rsid w:val="004E4600"/>
    <w:rsid w:val="004E5DB7"/>
    <w:rsid w:val="004E6453"/>
    <w:rsid w:val="004E6657"/>
    <w:rsid w:val="004E748E"/>
    <w:rsid w:val="004F38CD"/>
    <w:rsid w:val="004F4DAA"/>
    <w:rsid w:val="004F60E7"/>
    <w:rsid w:val="004F6368"/>
    <w:rsid w:val="004F6528"/>
    <w:rsid w:val="004F6A71"/>
    <w:rsid w:val="00500002"/>
    <w:rsid w:val="0050038D"/>
    <w:rsid w:val="005028D2"/>
    <w:rsid w:val="00502C24"/>
    <w:rsid w:val="0050458A"/>
    <w:rsid w:val="00504D99"/>
    <w:rsid w:val="005054CE"/>
    <w:rsid w:val="00505902"/>
    <w:rsid w:val="00506005"/>
    <w:rsid w:val="0051000E"/>
    <w:rsid w:val="00512262"/>
    <w:rsid w:val="00514A8E"/>
    <w:rsid w:val="00516DCE"/>
    <w:rsid w:val="00521E75"/>
    <w:rsid w:val="00522A37"/>
    <w:rsid w:val="00523412"/>
    <w:rsid w:val="005257EF"/>
    <w:rsid w:val="00526440"/>
    <w:rsid w:val="00531689"/>
    <w:rsid w:val="0053178F"/>
    <w:rsid w:val="00532112"/>
    <w:rsid w:val="005325C4"/>
    <w:rsid w:val="005329C1"/>
    <w:rsid w:val="00532B09"/>
    <w:rsid w:val="00534597"/>
    <w:rsid w:val="005352F7"/>
    <w:rsid w:val="00536281"/>
    <w:rsid w:val="00536948"/>
    <w:rsid w:val="0053743C"/>
    <w:rsid w:val="005407E8"/>
    <w:rsid w:val="0054111E"/>
    <w:rsid w:val="005421B1"/>
    <w:rsid w:val="00546FAA"/>
    <w:rsid w:val="00550AA2"/>
    <w:rsid w:val="005525FE"/>
    <w:rsid w:val="00552E0D"/>
    <w:rsid w:val="00553182"/>
    <w:rsid w:val="005533F8"/>
    <w:rsid w:val="0055416E"/>
    <w:rsid w:val="00560885"/>
    <w:rsid w:val="00561D48"/>
    <w:rsid w:val="005643AC"/>
    <w:rsid w:val="005665B6"/>
    <w:rsid w:val="00570389"/>
    <w:rsid w:val="00570928"/>
    <w:rsid w:val="00572FE8"/>
    <w:rsid w:val="0057467B"/>
    <w:rsid w:val="00574693"/>
    <w:rsid w:val="005748CB"/>
    <w:rsid w:val="00576C19"/>
    <w:rsid w:val="00580A06"/>
    <w:rsid w:val="005817E7"/>
    <w:rsid w:val="005826BF"/>
    <w:rsid w:val="00582E5D"/>
    <w:rsid w:val="00583271"/>
    <w:rsid w:val="005858B8"/>
    <w:rsid w:val="00587569"/>
    <w:rsid w:val="00587A17"/>
    <w:rsid w:val="00590B93"/>
    <w:rsid w:val="005913D2"/>
    <w:rsid w:val="0059458D"/>
    <w:rsid w:val="00595AA1"/>
    <w:rsid w:val="0059738B"/>
    <w:rsid w:val="00597D5E"/>
    <w:rsid w:val="00597E71"/>
    <w:rsid w:val="005A07EF"/>
    <w:rsid w:val="005A261D"/>
    <w:rsid w:val="005A3369"/>
    <w:rsid w:val="005A5108"/>
    <w:rsid w:val="005A563F"/>
    <w:rsid w:val="005A59E4"/>
    <w:rsid w:val="005A7135"/>
    <w:rsid w:val="005B362A"/>
    <w:rsid w:val="005B3D4B"/>
    <w:rsid w:val="005C0241"/>
    <w:rsid w:val="005C03E1"/>
    <w:rsid w:val="005C08F9"/>
    <w:rsid w:val="005C1BEA"/>
    <w:rsid w:val="005C1CDC"/>
    <w:rsid w:val="005C1F94"/>
    <w:rsid w:val="005C497F"/>
    <w:rsid w:val="005C5052"/>
    <w:rsid w:val="005C5880"/>
    <w:rsid w:val="005C706A"/>
    <w:rsid w:val="005C75F9"/>
    <w:rsid w:val="005D116D"/>
    <w:rsid w:val="005D19DD"/>
    <w:rsid w:val="005D24CF"/>
    <w:rsid w:val="005D33FC"/>
    <w:rsid w:val="005D626D"/>
    <w:rsid w:val="005D644E"/>
    <w:rsid w:val="005D68E2"/>
    <w:rsid w:val="005D7D8D"/>
    <w:rsid w:val="005E258E"/>
    <w:rsid w:val="005E3D4D"/>
    <w:rsid w:val="005E57CE"/>
    <w:rsid w:val="005E59CC"/>
    <w:rsid w:val="005E77A5"/>
    <w:rsid w:val="005F1E7B"/>
    <w:rsid w:val="005F2531"/>
    <w:rsid w:val="005F301F"/>
    <w:rsid w:val="005F49C8"/>
    <w:rsid w:val="005F5C9C"/>
    <w:rsid w:val="005F6A9A"/>
    <w:rsid w:val="0060017B"/>
    <w:rsid w:val="006003CB"/>
    <w:rsid w:val="00601B63"/>
    <w:rsid w:val="006023F5"/>
    <w:rsid w:val="00602CBE"/>
    <w:rsid w:val="00602EFF"/>
    <w:rsid w:val="006032AF"/>
    <w:rsid w:val="00605EA1"/>
    <w:rsid w:val="00606BB9"/>
    <w:rsid w:val="00610332"/>
    <w:rsid w:val="006114EF"/>
    <w:rsid w:val="00613ACF"/>
    <w:rsid w:val="00615AB6"/>
    <w:rsid w:val="00616227"/>
    <w:rsid w:val="0061777D"/>
    <w:rsid w:val="00617F1B"/>
    <w:rsid w:val="00621042"/>
    <w:rsid w:val="006216C7"/>
    <w:rsid w:val="006224F6"/>
    <w:rsid w:val="00622CE7"/>
    <w:rsid w:val="00624EE7"/>
    <w:rsid w:val="006257B1"/>
    <w:rsid w:val="0062691D"/>
    <w:rsid w:val="00626D02"/>
    <w:rsid w:val="00627418"/>
    <w:rsid w:val="00627B21"/>
    <w:rsid w:val="00632836"/>
    <w:rsid w:val="0063383D"/>
    <w:rsid w:val="00633A79"/>
    <w:rsid w:val="00637D69"/>
    <w:rsid w:val="0064126E"/>
    <w:rsid w:val="00641A82"/>
    <w:rsid w:val="00644033"/>
    <w:rsid w:val="0064484E"/>
    <w:rsid w:val="006453E8"/>
    <w:rsid w:val="0064695E"/>
    <w:rsid w:val="00646B03"/>
    <w:rsid w:val="00647A4E"/>
    <w:rsid w:val="00650071"/>
    <w:rsid w:val="00650440"/>
    <w:rsid w:val="006508D2"/>
    <w:rsid w:val="0065090D"/>
    <w:rsid w:val="00650AB4"/>
    <w:rsid w:val="00651C13"/>
    <w:rsid w:val="006522CB"/>
    <w:rsid w:val="00652D3A"/>
    <w:rsid w:val="00654C18"/>
    <w:rsid w:val="006550C8"/>
    <w:rsid w:val="0065575C"/>
    <w:rsid w:val="006558A8"/>
    <w:rsid w:val="00657812"/>
    <w:rsid w:val="00662589"/>
    <w:rsid w:val="00665986"/>
    <w:rsid w:val="0066705D"/>
    <w:rsid w:val="006676D8"/>
    <w:rsid w:val="00670EE0"/>
    <w:rsid w:val="00671B4C"/>
    <w:rsid w:val="00671FE9"/>
    <w:rsid w:val="0067333E"/>
    <w:rsid w:val="006733BC"/>
    <w:rsid w:val="00673F0B"/>
    <w:rsid w:val="006747FF"/>
    <w:rsid w:val="006757B9"/>
    <w:rsid w:val="00675F14"/>
    <w:rsid w:val="006762B7"/>
    <w:rsid w:val="006766FC"/>
    <w:rsid w:val="00677ED5"/>
    <w:rsid w:val="00680026"/>
    <w:rsid w:val="00682636"/>
    <w:rsid w:val="006829F6"/>
    <w:rsid w:val="006858A5"/>
    <w:rsid w:val="006859A1"/>
    <w:rsid w:val="00685A9B"/>
    <w:rsid w:val="00685FA5"/>
    <w:rsid w:val="00690577"/>
    <w:rsid w:val="006907F0"/>
    <w:rsid w:val="0069255A"/>
    <w:rsid w:val="006940F5"/>
    <w:rsid w:val="0069425B"/>
    <w:rsid w:val="006963C1"/>
    <w:rsid w:val="00696EE2"/>
    <w:rsid w:val="00696FD0"/>
    <w:rsid w:val="0069725C"/>
    <w:rsid w:val="006A0B12"/>
    <w:rsid w:val="006A15CE"/>
    <w:rsid w:val="006A2225"/>
    <w:rsid w:val="006A25D4"/>
    <w:rsid w:val="006A4277"/>
    <w:rsid w:val="006A5518"/>
    <w:rsid w:val="006A5696"/>
    <w:rsid w:val="006A7F38"/>
    <w:rsid w:val="006B00C1"/>
    <w:rsid w:val="006B13D5"/>
    <w:rsid w:val="006B1691"/>
    <w:rsid w:val="006B2C24"/>
    <w:rsid w:val="006B3CD2"/>
    <w:rsid w:val="006C0A96"/>
    <w:rsid w:val="006C140C"/>
    <w:rsid w:val="006C1D04"/>
    <w:rsid w:val="006C2944"/>
    <w:rsid w:val="006C3BC8"/>
    <w:rsid w:val="006C3FE8"/>
    <w:rsid w:val="006C54C3"/>
    <w:rsid w:val="006C59F1"/>
    <w:rsid w:val="006C6B71"/>
    <w:rsid w:val="006C6CAE"/>
    <w:rsid w:val="006C7E6B"/>
    <w:rsid w:val="006D0216"/>
    <w:rsid w:val="006D262B"/>
    <w:rsid w:val="006D3402"/>
    <w:rsid w:val="006D6170"/>
    <w:rsid w:val="006D72D6"/>
    <w:rsid w:val="006E01FB"/>
    <w:rsid w:val="006E0522"/>
    <w:rsid w:val="006E3A25"/>
    <w:rsid w:val="006E40FA"/>
    <w:rsid w:val="006E60E8"/>
    <w:rsid w:val="006E67CD"/>
    <w:rsid w:val="006E6884"/>
    <w:rsid w:val="006E6BFD"/>
    <w:rsid w:val="006F13DB"/>
    <w:rsid w:val="006F2410"/>
    <w:rsid w:val="006F251A"/>
    <w:rsid w:val="006F31EE"/>
    <w:rsid w:val="006F35E8"/>
    <w:rsid w:val="006F381A"/>
    <w:rsid w:val="006F403F"/>
    <w:rsid w:val="006F5D30"/>
    <w:rsid w:val="006F67C4"/>
    <w:rsid w:val="006F6F44"/>
    <w:rsid w:val="00700C07"/>
    <w:rsid w:val="0070584E"/>
    <w:rsid w:val="007060C6"/>
    <w:rsid w:val="0070716C"/>
    <w:rsid w:val="0070763D"/>
    <w:rsid w:val="00711220"/>
    <w:rsid w:val="007116D8"/>
    <w:rsid w:val="00712C4E"/>
    <w:rsid w:val="00713513"/>
    <w:rsid w:val="00713A2B"/>
    <w:rsid w:val="007167F8"/>
    <w:rsid w:val="00717806"/>
    <w:rsid w:val="00722AF8"/>
    <w:rsid w:val="00722D12"/>
    <w:rsid w:val="00724AC7"/>
    <w:rsid w:val="00726741"/>
    <w:rsid w:val="00726C89"/>
    <w:rsid w:val="0073086C"/>
    <w:rsid w:val="00731CDD"/>
    <w:rsid w:val="007325BA"/>
    <w:rsid w:val="0073309C"/>
    <w:rsid w:val="00733DA4"/>
    <w:rsid w:val="007355C1"/>
    <w:rsid w:val="00735642"/>
    <w:rsid w:val="00735C75"/>
    <w:rsid w:val="007360E1"/>
    <w:rsid w:val="00737210"/>
    <w:rsid w:val="0073739C"/>
    <w:rsid w:val="00740028"/>
    <w:rsid w:val="00740B4E"/>
    <w:rsid w:val="00740E07"/>
    <w:rsid w:val="00741294"/>
    <w:rsid w:val="007430AF"/>
    <w:rsid w:val="007438B9"/>
    <w:rsid w:val="00744581"/>
    <w:rsid w:val="0074561A"/>
    <w:rsid w:val="0075283D"/>
    <w:rsid w:val="00754A59"/>
    <w:rsid w:val="00754B5D"/>
    <w:rsid w:val="007553C8"/>
    <w:rsid w:val="00757585"/>
    <w:rsid w:val="00760246"/>
    <w:rsid w:val="007606BE"/>
    <w:rsid w:val="00760A93"/>
    <w:rsid w:val="00760C11"/>
    <w:rsid w:val="00761CF5"/>
    <w:rsid w:val="007622F6"/>
    <w:rsid w:val="0076401B"/>
    <w:rsid w:val="00764D14"/>
    <w:rsid w:val="00767C59"/>
    <w:rsid w:val="007700FE"/>
    <w:rsid w:val="00770981"/>
    <w:rsid w:val="00771049"/>
    <w:rsid w:val="0077180D"/>
    <w:rsid w:val="007719C3"/>
    <w:rsid w:val="00772ED0"/>
    <w:rsid w:val="00775633"/>
    <w:rsid w:val="00776518"/>
    <w:rsid w:val="00777CB3"/>
    <w:rsid w:val="00780023"/>
    <w:rsid w:val="007803D3"/>
    <w:rsid w:val="00780DC9"/>
    <w:rsid w:val="00781B00"/>
    <w:rsid w:val="00782253"/>
    <w:rsid w:val="00782F21"/>
    <w:rsid w:val="00786CCE"/>
    <w:rsid w:val="0078773E"/>
    <w:rsid w:val="00790AC0"/>
    <w:rsid w:val="00792FF3"/>
    <w:rsid w:val="007933F8"/>
    <w:rsid w:val="007942B1"/>
    <w:rsid w:val="00795B8B"/>
    <w:rsid w:val="00797952"/>
    <w:rsid w:val="00797CD5"/>
    <w:rsid w:val="007A13D8"/>
    <w:rsid w:val="007A2575"/>
    <w:rsid w:val="007A348D"/>
    <w:rsid w:val="007A41E3"/>
    <w:rsid w:val="007A5133"/>
    <w:rsid w:val="007A6369"/>
    <w:rsid w:val="007A65F1"/>
    <w:rsid w:val="007B1701"/>
    <w:rsid w:val="007B2D84"/>
    <w:rsid w:val="007B37F7"/>
    <w:rsid w:val="007B3837"/>
    <w:rsid w:val="007B47B3"/>
    <w:rsid w:val="007B492C"/>
    <w:rsid w:val="007B6B2E"/>
    <w:rsid w:val="007C2128"/>
    <w:rsid w:val="007C22A9"/>
    <w:rsid w:val="007C25BF"/>
    <w:rsid w:val="007C2B17"/>
    <w:rsid w:val="007C3A9B"/>
    <w:rsid w:val="007C4371"/>
    <w:rsid w:val="007C4D14"/>
    <w:rsid w:val="007C4E98"/>
    <w:rsid w:val="007C7B6B"/>
    <w:rsid w:val="007D208B"/>
    <w:rsid w:val="007D2152"/>
    <w:rsid w:val="007D275F"/>
    <w:rsid w:val="007D2B48"/>
    <w:rsid w:val="007D3279"/>
    <w:rsid w:val="007D3E1D"/>
    <w:rsid w:val="007D3F64"/>
    <w:rsid w:val="007D7A14"/>
    <w:rsid w:val="007D7A27"/>
    <w:rsid w:val="007D7D82"/>
    <w:rsid w:val="007E05F9"/>
    <w:rsid w:val="007E109B"/>
    <w:rsid w:val="007E147D"/>
    <w:rsid w:val="007E16E2"/>
    <w:rsid w:val="007E1D6F"/>
    <w:rsid w:val="007E1EF5"/>
    <w:rsid w:val="007E2522"/>
    <w:rsid w:val="007E50B3"/>
    <w:rsid w:val="007E5BB2"/>
    <w:rsid w:val="007E5CF6"/>
    <w:rsid w:val="007E628F"/>
    <w:rsid w:val="007E76C8"/>
    <w:rsid w:val="007E7721"/>
    <w:rsid w:val="007F4057"/>
    <w:rsid w:val="007F48F4"/>
    <w:rsid w:val="007F5624"/>
    <w:rsid w:val="007F77EF"/>
    <w:rsid w:val="007F7C53"/>
    <w:rsid w:val="007F7D60"/>
    <w:rsid w:val="0080016F"/>
    <w:rsid w:val="00801F32"/>
    <w:rsid w:val="00803FEF"/>
    <w:rsid w:val="008045A3"/>
    <w:rsid w:val="00804BD3"/>
    <w:rsid w:val="00807C28"/>
    <w:rsid w:val="008113E6"/>
    <w:rsid w:val="00815EE1"/>
    <w:rsid w:val="00821589"/>
    <w:rsid w:val="00825058"/>
    <w:rsid w:val="00826801"/>
    <w:rsid w:val="00826D39"/>
    <w:rsid w:val="008277DC"/>
    <w:rsid w:val="008278C5"/>
    <w:rsid w:val="00830C10"/>
    <w:rsid w:val="008329FD"/>
    <w:rsid w:val="0083397C"/>
    <w:rsid w:val="00834919"/>
    <w:rsid w:val="00834963"/>
    <w:rsid w:val="008366F1"/>
    <w:rsid w:val="00836AED"/>
    <w:rsid w:val="008376F8"/>
    <w:rsid w:val="00841BD0"/>
    <w:rsid w:val="00843FF4"/>
    <w:rsid w:val="0084477E"/>
    <w:rsid w:val="008448C2"/>
    <w:rsid w:val="00844A65"/>
    <w:rsid w:val="00844B4E"/>
    <w:rsid w:val="00845C4D"/>
    <w:rsid w:val="00845F33"/>
    <w:rsid w:val="00846675"/>
    <w:rsid w:val="008477DB"/>
    <w:rsid w:val="00850624"/>
    <w:rsid w:val="00852FA9"/>
    <w:rsid w:val="00854059"/>
    <w:rsid w:val="00855232"/>
    <w:rsid w:val="0085583B"/>
    <w:rsid w:val="00857365"/>
    <w:rsid w:val="00861374"/>
    <w:rsid w:val="00861F19"/>
    <w:rsid w:val="00863219"/>
    <w:rsid w:val="00863DE8"/>
    <w:rsid w:val="00866F50"/>
    <w:rsid w:val="00867D0F"/>
    <w:rsid w:val="00870678"/>
    <w:rsid w:val="00871B9B"/>
    <w:rsid w:val="008726C9"/>
    <w:rsid w:val="0087390C"/>
    <w:rsid w:val="008743C9"/>
    <w:rsid w:val="008757A1"/>
    <w:rsid w:val="008762FF"/>
    <w:rsid w:val="008779DE"/>
    <w:rsid w:val="00877BD1"/>
    <w:rsid w:val="008809F2"/>
    <w:rsid w:val="00881DBC"/>
    <w:rsid w:val="008820E1"/>
    <w:rsid w:val="00882930"/>
    <w:rsid w:val="008845C7"/>
    <w:rsid w:val="0088502C"/>
    <w:rsid w:val="00886BE6"/>
    <w:rsid w:val="00886F30"/>
    <w:rsid w:val="00887040"/>
    <w:rsid w:val="00887EEB"/>
    <w:rsid w:val="00891338"/>
    <w:rsid w:val="008934E7"/>
    <w:rsid w:val="00893782"/>
    <w:rsid w:val="00894658"/>
    <w:rsid w:val="00894D0C"/>
    <w:rsid w:val="00894F27"/>
    <w:rsid w:val="00896299"/>
    <w:rsid w:val="00896F71"/>
    <w:rsid w:val="00897572"/>
    <w:rsid w:val="00897B9E"/>
    <w:rsid w:val="00897FD6"/>
    <w:rsid w:val="008A021A"/>
    <w:rsid w:val="008A156D"/>
    <w:rsid w:val="008A2475"/>
    <w:rsid w:val="008A3992"/>
    <w:rsid w:val="008A47E9"/>
    <w:rsid w:val="008A6366"/>
    <w:rsid w:val="008B0253"/>
    <w:rsid w:val="008B1C72"/>
    <w:rsid w:val="008B1EAB"/>
    <w:rsid w:val="008B2578"/>
    <w:rsid w:val="008B46C2"/>
    <w:rsid w:val="008B5017"/>
    <w:rsid w:val="008B6641"/>
    <w:rsid w:val="008B705A"/>
    <w:rsid w:val="008C05A1"/>
    <w:rsid w:val="008C2217"/>
    <w:rsid w:val="008C3DDD"/>
    <w:rsid w:val="008C4037"/>
    <w:rsid w:val="008C4A62"/>
    <w:rsid w:val="008C68C6"/>
    <w:rsid w:val="008C7BFD"/>
    <w:rsid w:val="008D0BD3"/>
    <w:rsid w:val="008D1888"/>
    <w:rsid w:val="008D3307"/>
    <w:rsid w:val="008D3D4E"/>
    <w:rsid w:val="008D3FBB"/>
    <w:rsid w:val="008D4B8A"/>
    <w:rsid w:val="008D699E"/>
    <w:rsid w:val="008D6FD6"/>
    <w:rsid w:val="008D72F3"/>
    <w:rsid w:val="008E07AE"/>
    <w:rsid w:val="008E1A0D"/>
    <w:rsid w:val="008E2A5D"/>
    <w:rsid w:val="008E4248"/>
    <w:rsid w:val="008E4803"/>
    <w:rsid w:val="008E4916"/>
    <w:rsid w:val="008E7259"/>
    <w:rsid w:val="008F1077"/>
    <w:rsid w:val="008F2009"/>
    <w:rsid w:val="008F5977"/>
    <w:rsid w:val="008F6A07"/>
    <w:rsid w:val="008F7D23"/>
    <w:rsid w:val="00900794"/>
    <w:rsid w:val="00901A78"/>
    <w:rsid w:val="00902895"/>
    <w:rsid w:val="00902940"/>
    <w:rsid w:val="00902A8A"/>
    <w:rsid w:val="009045EE"/>
    <w:rsid w:val="00905289"/>
    <w:rsid w:val="0090612C"/>
    <w:rsid w:val="009077BA"/>
    <w:rsid w:val="00907A7F"/>
    <w:rsid w:val="009101EA"/>
    <w:rsid w:val="00910FD6"/>
    <w:rsid w:val="00912BEA"/>
    <w:rsid w:val="00912EDB"/>
    <w:rsid w:val="00913545"/>
    <w:rsid w:val="009154E1"/>
    <w:rsid w:val="00917BD1"/>
    <w:rsid w:val="00921BA4"/>
    <w:rsid w:val="009230FD"/>
    <w:rsid w:val="00925029"/>
    <w:rsid w:val="009255FE"/>
    <w:rsid w:val="009269A3"/>
    <w:rsid w:val="009271F1"/>
    <w:rsid w:val="00927FC0"/>
    <w:rsid w:val="009301BD"/>
    <w:rsid w:val="009314AD"/>
    <w:rsid w:val="00931B67"/>
    <w:rsid w:val="0093248E"/>
    <w:rsid w:val="00934A65"/>
    <w:rsid w:val="009358CF"/>
    <w:rsid w:val="00935F96"/>
    <w:rsid w:val="009370DB"/>
    <w:rsid w:val="00937624"/>
    <w:rsid w:val="00937E6E"/>
    <w:rsid w:val="00937F61"/>
    <w:rsid w:val="00940D13"/>
    <w:rsid w:val="0094345E"/>
    <w:rsid w:val="00945D2B"/>
    <w:rsid w:val="009464FA"/>
    <w:rsid w:val="00947FCC"/>
    <w:rsid w:val="009503C6"/>
    <w:rsid w:val="00950F90"/>
    <w:rsid w:val="00951A7B"/>
    <w:rsid w:val="0095202D"/>
    <w:rsid w:val="009524EC"/>
    <w:rsid w:val="00952E1D"/>
    <w:rsid w:val="00953FB1"/>
    <w:rsid w:val="00954C5A"/>
    <w:rsid w:val="00955050"/>
    <w:rsid w:val="009550FD"/>
    <w:rsid w:val="00955652"/>
    <w:rsid w:val="0095598E"/>
    <w:rsid w:val="00957603"/>
    <w:rsid w:val="009604E0"/>
    <w:rsid w:val="00960690"/>
    <w:rsid w:val="00960927"/>
    <w:rsid w:val="00960957"/>
    <w:rsid w:val="00961034"/>
    <w:rsid w:val="009660B4"/>
    <w:rsid w:val="00966B85"/>
    <w:rsid w:val="00973420"/>
    <w:rsid w:val="009741B0"/>
    <w:rsid w:val="00975092"/>
    <w:rsid w:val="00975244"/>
    <w:rsid w:val="009765D9"/>
    <w:rsid w:val="009775FD"/>
    <w:rsid w:val="00977B59"/>
    <w:rsid w:val="00977F18"/>
    <w:rsid w:val="009806B0"/>
    <w:rsid w:val="00982F10"/>
    <w:rsid w:val="00983ACA"/>
    <w:rsid w:val="00987627"/>
    <w:rsid w:val="009913FC"/>
    <w:rsid w:val="009914A4"/>
    <w:rsid w:val="009920FC"/>
    <w:rsid w:val="009925E3"/>
    <w:rsid w:val="009926A0"/>
    <w:rsid w:val="009943BB"/>
    <w:rsid w:val="00995072"/>
    <w:rsid w:val="009950AB"/>
    <w:rsid w:val="009964DC"/>
    <w:rsid w:val="00996DD6"/>
    <w:rsid w:val="009976DA"/>
    <w:rsid w:val="009A0A38"/>
    <w:rsid w:val="009A2F84"/>
    <w:rsid w:val="009A3A0C"/>
    <w:rsid w:val="009A48BC"/>
    <w:rsid w:val="009A6E2D"/>
    <w:rsid w:val="009B0E4D"/>
    <w:rsid w:val="009B1B2D"/>
    <w:rsid w:val="009B24F3"/>
    <w:rsid w:val="009B2DBD"/>
    <w:rsid w:val="009B46E1"/>
    <w:rsid w:val="009B5AD3"/>
    <w:rsid w:val="009B658F"/>
    <w:rsid w:val="009B68FB"/>
    <w:rsid w:val="009B6D07"/>
    <w:rsid w:val="009C088C"/>
    <w:rsid w:val="009C15C0"/>
    <w:rsid w:val="009C415E"/>
    <w:rsid w:val="009C42E2"/>
    <w:rsid w:val="009C4A76"/>
    <w:rsid w:val="009D47A2"/>
    <w:rsid w:val="009D61F8"/>
    <w:rsid w:val="009D6770"/>
    <w:rsid w:val="009D718F"/>
    <w:rsid w:val="009D7963"/>
    <w:rsid w:val="009E3B8F"/>
    <w:rsid w:val="009E45A8"/>
    <w:rsid w:val="009E64FE"/>
    <w:rsid w:val="009E769B"/>
    <w:rsid w:val="009E77F0"/>
    <w:rsid w:val="009E7EE0"/>
    <w:rsid w:val="009F06EF"/>
    <w:rsid w:val="009F0DC1"/>
    <w:rsid w:val="009F1FBB"/>
    <w:rsid w:val="009F2214"/>
    <w:rsid w:val="009F2490"/>
    <w:rsid w:val="009F2883"/>
    <w:rsid w:val="009F362F"/>
    <w:rsid w:val="009F3984"/>
    <w:rsid w:val="009F4B59"/>
    <w:rsid w:val="009F536A"/>
    <w:rsid w:val="009F5DC9"/>
    <w:rsid w:val="009F6163"/>
    <w:rsid w:val="009F6F88"/>
    <w:rsid w:val="009F703B"/>
    <w:rsid w:val="00A01467"/>
    <w:rsid w:val="00A01C19"/>
    <w:rsid w:val="00A02312"/>
    <w:rsid w:val="00A029FA"/>
    <w:rsid w:val="00A03D71"/>
    <w:rsid w:val="00A0781B"/>
    <w:rsid w:val="00A07EA6"/>
    <w:rsid w:val="00A136D1"/>
    <w:rsid w:val="00A13783"/>
    <w:rsid w:val="00A15D7F"/>
    <w:rsid w:val="00A172EA"/>
    <w:rsid w:val="00A21583"/>
    <w:rsid w:val="00A23B3F"/>
    <w:rsid w:val="00A23DB6"/>
    <w:rsid w:val="00A2532B"/>
    <w:rsid w:val="00A27DB7"/>
    <w:rsid w:val="00A27E52"/>
    <w:rsid w:val="00A3244E"/>
    <w:rsid w:val="00A32DB4"/>
    <w:rsid w:val="00A334C3"/>
    <w:rsid w:val="00A338E5"/>
    <w:rsid w:val="00A33B67"/>
    <w:rsid w:val="00A36EE8"/>
    <w:rsid w:val="00A3735F"/>
    <w:rsid w:val="00A41CE8"/>
    <w:rsid w:val="00A43541"/>
    <w:rsid w:val="00A45DF4"/>
    <w:rsid w:val="00A464F2"/>
    <w:rsid w:val="00A46FFD"/>
    <w:rsid w:val="00A47665"/>
    <w:rsid w:val="00A4788D"/>
    <w:rsid w:val="00A47A3F"/>
    <w:rsid w:val="00A51611"/>
    <w:rsid w:val="00A51734"/>
    <w:rsid w:val="00A51931"/>
    <w:rsid w:val="00A51B4B"/>
    <w:rsid w:val="00A5208B"/>
    <w:rsid w:val="00A52735"/>
    <w:rsid w:val="00A53338"/>
    <w:rsid w:val="00A54044"/>
    <w:rsid w:val="00A54177"/>
    <w:rsid w:val="00A5581B"/>
    <w:rsid w:val="00A55CAE"/>
    <w:rsid w:val="00A55E80"/>
    <w:rsid w:val="00A5660E"/>
    <w:rsid w:val="00A56637"/>
    <w:rsid w:val="00A57956"/>
    <w:rsid w:val="00A604BD"/>
    <w:rsid w:val="00A615F1"/>
    <w:rsid w:val="00A6325D"/>
    <w:rsid w:val="00A63B88"/>
    <w:rsid w:val="00A6592D"/>
    <w:rsid w:val="00A66B1D"/>
    <w:rsid w:val="00A67AB9"/>
    <w:rsid w:val="00A67D56"/>
    <w:rsid w:val="00A7067C"/>
    <w:rsid w:val="00A71F94"/>
    <w:rsid w:val="00A74AAA"/>
    <w:rsid w:val="00A7526B"/>
    <w:rsid w:val="00A76663"/>
    <w:rsid w:val="00A76A33"/>
    <w:rsid w:val="00A77410"/>
    <w:rsid w:val="00A77AEE"/>
    <w:rsid w:val="00A80BD1"/>
    <w:rsid w:val="00A80F6F"/>
    <w:rsid w:val="00A81F36"/>
    <w:rsid w:val="00A82583"/>
    <w:rsid w:val="00A82A27"/>
    <w:rsid w:val="00A83125"/>
    <w:rsid w:val="00A84331"/>
    <w:rsid w:val="00A92487"/>
    <w:rsid w:val="00A9341A"/>
    <w:rsid w:val="00A9477C"/>
    <w:rsid w:val="00A96AA9"/>
    <w:rsid w:val="00A9774E"/>
    <w:rsid w:val="00A978E1"/>
    <w:rsid w:val="00A97E16"/>
    <w:rsid w:val="00AA1989"/>
    <w:rsid w:val="00AA2006"/>
    <w:rsid w:val="00AA262E"/>
    <w:rsid w:val="00AA3750"/>
    <w:rsid w:val="00AA53AC"/>
    <w:rsid w:val="00AA5ACA"/>
    <w:rsid w:val="00AA68BE"/>
    <w:rsid w:val="00AA6DE9"/>
    <w:rsid w:val="00AA7292"/>
    <w:rsid w:val="00AB0C1F"/>
    <w:rsid w:val="00AB0C38"/>
    <w:rsid w:val="00AB2B12"/>
    <w:rsid w:val="00AB3017"/>
    <w:rsid w:val="00AB312D"/>
    <w:rsid w:val="00AB35A7"/>
    <w:rsid w:val="00AB43C2"/>
    <w:rsid w:val="00AB74C6"/>
    <w:rsid w:val="00AC13F7"/>
    <w:rsid w:val="00AC1E4D"/>
    <w:rsid w:val="00AC20E8"/>
    <w:rsid w:val="00AC5EF8"/>
    <w:rsid w:val="00AC71FB"/>
    <w:rsid w:val="00AC7831"/>
    <w:rsid w:val="00AC7FCF"/>
    <w:rsid w:val="00AD07C8"/>
    <w:rsid w:val="00AD107A"/>
    <w:rsid w:val="00AD135B"/>
    <w:rsid w:val="00AD26EB"/>
    <w:rsid w:val="00AD5033"/>
    <w:rsid w:val="00AD6467"/>
    <w:rsid w:val="00AD6CC1"/>
    <w:rsid w:val="00AD77AD"/>
    <w:rsid w:val="00AE0326"/>
    <w:rsid w:val="00AE1483"/>
    <w:rsid w:val="00AE1ACA"/>
    <w:rsid w:val="00AE35F5"/>
    <w:rsid w:val="00AE42C8"/>
    <w:rsid w:val="00AE439E"/>
    <w:rsid w:val="00AE468D"/>
    <w:rsid w:val="00AE5154"/>
    <w:rsid w:val="00AE5669"/>
    <w:rsid w:val="00AE7548"/>
    <w:rsid w:val="00AF017E"/>
    <w:rsid w:val="00AF12CD"/>
    <w:rsid w:val="00AF3870"/>
    <w:rsid w:val="00AF3C93"/>
    <w:rsid w:val="00AF40D7"/>
    <w:rsid w:val="00AF4117"/>
    <w:rsid w:val="00AF4D03"/>
    <w:rsid w:val="00B01CF6"/>
    <w:rsid w:val="00B02944"/>
    <w:rsid w:val="00B079AC"/>
    <w:rsid w:val="00B105D2"/>
    <w:rsid w:val="00B11445"/>
    <w:rsid w:val="00B11C3F"/>
    <w:rsid w:val="00B12642"/>
    <w:rsid w:val="00B13B79"/>
    <w:rsid w:val="00B13BAA"/>
    <w:rsid w:val="00B13E55"/>
    <w:rsid w:val="00B15AC1"/>
    <w:rsid w:val="00B15BAE"/>
    <w:rsid w:val="00B239F4"/>
    <w:rsid w:val="00B250DC"/>
    <w:rsid w:val="00B26869"/>
    <w:rsid w:val="00B26BD1"/>
    <w:rsid w:val="00B27246"/>
    <w:rsid w:val="00B27CC1"/>
    <w:rsid w:val="00B33038"/>
    <w:rsid w:val="00B33C19"/>
    <w:rsid w:val="00B3402A"/>
    <w:rsid w:val="00B34BB9"/>
    <w:rsid w:val="00B36C47"/>
    <w:rsid w:val="00B40953"/>
    <w:rsid w:val="00B43B33"/>
    <w:rsid w:val="00B44E1F"/>
    <w:rsid w:val="00B45383"/>
    <w:rsid w:val="00B45CE9"/>
    <w:rsid w:val="00B5171F"/>
    <w:rsid w:val="00B5319B"/>
    <w:rsid w:val="00B538F4"/>
    <w:rsid w:val="00B552B6"/>
    <w:rsid w:val="00B55BEB"/>
    <w:rsid w:val="00B601F4"/>
    <w:rsid w:val="00B63B9E"/>
    <w:rsid w:val="00B64778"/>
    <w:rsid w:val="00B65096"/>
    <w:rsid w:val="00B73080"/>
    <w:rsid w:val="00B74595"/>
    <w:rsid w:val="00B74F08"/>
    <w:rsid w:val="00B75624"/>
    <w:rsid w:val="00B76DBB"/>
    <w:rsid w:val="00B77983"/>
    <w:rsid w:val="00B77EBA"/>
    <w:rsid w:val="00B803A9"/>
    <w:rsid w:val="00B82884"/>
    <w:rsid w:val="00B835B9"/>
    <w:rsid w:val="00B85208"/>
    <w:rsid w:val="00B86399"/>
    <w:rsid w:val="00B90976"/>
    <w:rsid w:val="00B909F1"/>
    <w:rsid w:val="00B92150"/>
    <w:rsid w:val="00B93687"/>
    <w:rsid w:val="00B93BD9"/>
    <w:rsid w:val="00B943D1"/>
    <w:rsid w:val="00B966AD"/>
    <w:rsid w:val="00B967C9"/>
    <w:rsid w:val="00BA17FA"/>
    <w:rsid w:val="00BA2A85"/>
    <w:rsid w:val="00BA3D23"/>
    <w:rsid w:val="00BA4D52"/>
    <w:rsid w:val="00BA5706"/>
    <w:rsid w:val="00BA65C1"/>
    <w:rsid w:val="00BB0410"/>
    <w:rsid w:val="00BB1FA8"/>
    <w:rsid w:val="00BB393B"/>
    <w:rsid w:val="00BB3C55"/>
    <w:rsid w:val="00BB51C1"/>
    <w:rsid w:val="00BB7A02"/>
    <w:rsid w:val="00BC14FB"/>
    <w:rsid w:val="00BC2DCE"/>
    <w:rsid w:val="00BC4AF8"/>
    <w:rsid w:val="00BC4CCE"/>
    <w:rsid w:val="00BC547F"/>
    <w:rsid w:val="00BC600B"/>
    <w:rsid w:val="00BC63C8"/>
    <w:rsid w:val="00BD0192"/>
    <w:rsid w:val="00BD0D04"/>
    <w:rsid w:val="00BD1B51"/>
    <w:rsid w:val="00BD4A42"/>
    <w:rsid w:val="00BD54F8"/>
    <w:rsid w:val="00BD55A7"/>
    <w:rsid w:val="00BD75E2"/>
    <w:rsid w:val="00BD771C"/>
    <w:rsid w:val="00BE1CB4"/>
    <w:rsid w:val="00BE1EA2"/>
    <w:rsid w:val="00BE3303"/>
    <w:rsid w:val="00BE48BB"/>
    <w:rsid w:val="00BE4F31"/>
    <w:rsid w:val="00BE56EF"/>
    <w:rsid w:val="00BE7B1F"/>
    <w:rsid w:val="00BF12FB"/>
    <w:rsid w:val="00BF35C7"/>
    <w:rsid w:val="00BF38D6"/>
    <w:rsid w:val="00BF3995"/>
    <w:rsid w:val="00BF582C"/>
    <w:rsid w:val="00BF660F"/>
    <w:rsid w:val="00BF7927"/>
    <w:rsid w:val="00C00A7F"/>
    <w:rsid w:val="00C01328"/>
    <w:rsid w:val="00C0188A"/>
    <w:rsid w:val="00C0315B"/>
    <w:rsid w:val="00C0433E"/>
    <w:rsid w:val="00C048EB"/>
    <w:rsid w:val="00C05371"/>
    <w:rsid w:val="00C05620"/>
    <w:rsid w:val="00C05D63"/>
    <w:rsid w:val="00C075A3"/>
    <w:rsid w:val="00C10F5B"/>
    <w:rsid w:val="00C11DC4"/>
    <w:rsid w:val="00C11F16"/>
    <w:rsid w:val="00C12914"/>
    <w:rsid w:val="00C14765"/>
    <w:rsid w:val="00C14988"/>
    <w:rsid w:val="00C15602"/>
    <w:rsid w:val="00C157E8"/>
    <w:rsid w:val="00C15A5E"/>
    <w:rsid w:val="00C15D39"/>
    <w:rsid w:val="00C16BBA"/>
    <w:rsid w:val="00C23369"/>
    <w:rsid w:val="00C24182"/>
    <w:rsid w:val="00C24DF7"/>
    <w:rsid w:val="00C25922"/>
    <w:rsid w:val="00C25D98"/>
    <w:rsid w:val="00C27B01"/>
    <w:rsid w:val="00C302F9"/>
    <w:rsid w:val="00C31518"/>
    <w:rsid w:val="00C3301F"/>
    <w:rsid w:val="00C334F9"/>
    <w:rsid w:val="00C3578D"/>
    <w:rsid w:val="00C374E5"/>
    <w:rsid w:val="00C406EC"/>
    <w:rsid w:val="00C413D5"/>
    <w:rsid w:val="00C41CAE"/>
    <w:rsid w:val="00C42D37"/>
    <w:rsid w:val="00C43CD1"/>
    <w:rsid w:val="00C45FA4"/>
    <w:rsid w:val="00C4609A"/>
    <w:rsid w:val="00C46379"/>
    <w:rsid w:val="00C4695A"/>
    <w:rsid w:val="00C46FB0"/>
    <w:rsid w:val="00C474C7"/>
    <w:rsid w:val="00C47692"/>
    <w:rsid w:val="00C50CD2"/>
    <w:rsid w:val="00C534B0"/>
    <w:rsid w:val="00C53DB5"/>
    <w:rsid w:val="00C5403C"/>
    <w:rsid w:val="00C54B81"/>
    <w:rsid w:val="00C56059"/>
    <w:rsid w:val="00C56B0E"/>
    <w:rsid w:val="00C56FA4"/>
    <w:rsid w:val="00C5709C"/>
    <w:rsid w:val="00C5763D"/>
    <w:rsid w:val="00C605E8"/>
    <w:rsid w:val="00C609DE"/>
    <w:rsid w:val="00C60BAA"/>
    <w:rsid w:val="00C6142D"/>
    <w:rsid w:val="00C6233F"/>
    <w:rsid w:val="00C62E69"/>
    <w:rsid w:val="00C63F4C"/>
    <w:rsid w:val="00C64429"/>
    <w:rsid w:val="00C65D72"/>
    <w:rsid w:val="00C67884"/>
    <w:rsid w:val="00C7098C"/>
    <w:rsid w:val="00C71032"/>
    <w:rsid w:val="00C71566"/>
    <w:rsid w:val="00C7209F"/>
    <w:rsid w:val="00C72E44"/>
    <w:rsid w:val="00C75035"/>
    <w:rsid w:val="00C75492"/>
    <w:rsid w:val="00C75594"/>
    <w:rsid w:val="00C75E8A"/>
    <w:rsid w:val="00C7713B"/>
    <w:rsid w:val="00C77D26"/>
    <w:rsid w:val="00C77F55"/>
    <w:rsid w:val="00C80689"/>
    <w:rsid w:val="00C827F9"/>
    <w:rsid w:val="00C84C7A"/>
    <w:rsid w:val="00C84DE6"/>
    <w:rsid w:val="00C851DB"/>
    <w:rsid w:val="00C852FC"/>
    <w:rsid w:val="00C87A1B"/>
    <w:rsid w:val="00C90FEC"/>
    <w:rsid w:val="00C91042"/>
    <w:rsid w:val="00C92EAD"/>
    <w:rsid w:val="00C94EE6"/>
    <w:rsid w:val="00C95702"/>
    <w:rsid w:val="00CA0E2E"/>
    <w:rsid w:val="00CA1028"/>
    <w:rsid w:val="00CA12CA"/>
    <w:rsid w:val="00CA1696"/>
    <w:rsid w:val="00CA1727"/>
    <w:rsid w:val="00CA1970"/>
    <w:rsid w:val="00CA20CA"/>
    <w:rsid w:val="00CA3C80"/>
    <w:rsid w:val="00CA7141"/>
    <w:rsid w:val="00CB0199"/>
    <w:rsid w:val="00CB029E"/>
    <w:rsid w:val="00CB075E"/>
    <w:rsid w:val="00CB0AC5"/>
    <w:rsid w:val="00CB12F3"/>
    <w:rsid w:val="00CB38FC"/>
    <w:rsid w:val="00CB3D56"/>
    <w:rsid w:val="00CB4F90"/>
    <w:rsid w:val="00CB5B9A"/>
    <w:rsid w:val="00CB6064"/>
    <w:rsid w:val="00CB6260"/>
    <w:rsid w:val="00CC1FB8"/>
    <w:rsid w:val="00CC2453"/>
    <w:rsid w:val="00CC27C0"/>
    <w:rsid w:val="00CC2B75"/>
    <w:rsid w:val="00CC4C32"/>
    <w:rsid w:val="00CC7A3E"/>
    <w:rsid w:val="00CD042F"/>
    <w:rsid w:val="00CD06D1"/>
    <w:rsid w:val="00CD1616"/>
    <w:rsid w:val="00CD193F"/>
    <w:rsid w:val="00CD24BB"/>
    <w:rsid w:val="00CD282A"/>
    <w:rsid w:val="00CD2DBE"/>
    <w:rsid w:val="00CD338D"/>
    <w:rsid w:val="00CD4D38"/>
    <w:rsid w:val="00CD5FA5"/>
    <w:rsid w:val="00CD6EEE"/>
    <w:rsid w:val="00CD7A67"/>
    <w:rsid w:val="00CE41D2"/>
    <w:rsid w:val="00CE445E"/>
    <w:rsid w:val="00CE4FBE"/>
    <w:rsid w:val="00CE68BF"/>
    <w:rsid w:val="00CE6F9F"/>
    <w:rsid w:val="00CF0A39"/>
    <w:rsid w:val="00CF1417"/>
    <w:rsid w:val="00CF2D48"/>
    <w:rsid w:val="00CF3105"/>
    <w:rsid w:val="00CF4D44"/>
    <w:rsid w:val="00CF55CB"/>
    <w:rsid w:val="00CF667A"/>
    <w:rsid w:val="00D010E7"/>
    <w:rsid w:val="00D01C98"/>
    <w:rsid w:val="00D020CB"/>
    <w:rsid w:val="00D020CE"/>
    <w:rsid w:val="00D02658"/>
    <w:rsid w:val="00D02B16"/>
    <w:rsid w:val="00D02B39"/>
    <w:rsid w:val="00D046F1"/>
    <w:rsid w:val="00D05108"/>
    <w:rsid w:val="00D05C36"/>
    <w:rsid w:val="00D05CEC"/>
    <w:rsid w:val="00D05EBC"/>
    <w:rsid w:val="00D05EDA"/>
    <w:rsid w:val="00D06BB9"/>
    <w:rsid w:val="00D06D37"/>
    <w:rsid w:val="00D0700D"/>
    <w:rsid w:val="00D10599"/>
    <w:rsid w:val="00D11702"/>
    <w:rsid w:val="00D119C4"/>
    <w:rsid w:val="00D11B3C"/>
    <w:rsid w:val="00D11D06"/>
    <w:rsid w:val="00D12423"/>
    <w:rsid w:val="00D12554"/>
    <w:rsid w:val="00D12624"/>
    <w:rsid w:val="00D16DB4"/>
    <w:rsid w:val="00D20A82"/>
    <w:rsid w:val="00D221CA"/>
    <w:rsid w:val="00D223DE"/>
    <w:rsid w:val="00D2246E"/>
    <w:rsid w:val="00D225B2"/>
    <w:rsid w:val="00D2595C"/>
    <w:rsid w:val="00D259CE"/>
    <w:rsid w:val="00D26B17"/>
    <w:rsid w:val="00D26B96"/>
    <w:rsid w:val="00D27561"/>
    <w:rsid w:val="00D325E2"/>
    <w:rsid w:val="00D32DE1"/>
    <w:rsid w:val="00D342B6"/>
    <w:rsid w:val="00D346A8"/>
    <w:rsid w:val="00D34BC7"/>
    <w:rsid w:val="00D350E6"/>
    <w:rsid w:val="00D37C3F"/>
    <w:rsid w:val="00D37CE7"/>
    <w:rsid w:val="00D430A6"/>
    <w:rsid w:val="00D44D6E"/>
    <w:rsid w:val="00D4514E"/>
    <w:rsid w:val="00D46147"/>
    <w:rsid w:val="00D46D5D"/>
    <w:rsid w:val="00D4727C"/>
    <w:rsid w:val="00D5099E"/>
    <w:rsid w:val="00D526A0"/>
    <w:rsid w:val="00D53BC9"/>
    <w:rsid w:val="00D57536"/>
    <w:rsid w:val="00D611F8"/>
    <w:rsid w:val="00D6257B"/>
    <w:rsid w:val="00D62A8B"/>
    <w:rsid w:val="00D63BEC"/>
    <w:rsid w:val="00D64E69"/>
    <w:rsid w:val="00D64EB1"/>
    <w:rsid w:val="00D654BA"/>
    <w:rsid w:val="00D66F2E"/>
    <w:rsid w:val="00D67218"/>
    <w:rsid w:val="00D67575"/>
    <w:rsid w:val="00D71404"/>
    <w:rsid w:val="00D723C4"/>
    <w:rsid w:val="00D7256C"/>
    <w:rsid w:val="00D73009"/>
    <w:rsid w:val="00D73299"/>
    <w:rsid w:val="00D74645"/>
    <w:rsid w:val="00D74D32"/>
    <w:rsid w:val="00D75FDC"/>
    <w:rsid w:val="00D801FC"/>
    <w:rsid w:val="00D81BE9"/>
    <w:rsid w:val="00D81D74"/>
    <w:rsid w:val="00D81F38"/>
    <w:rsid w:val="00D81FC7"/>
    <w:rsid w:val="00D82F0F"/>
    <w:rsid w:val="00D82F43"/>
    <w:rsid w:val="00D84066"/>
    <w:rsid w:val="00D84AD1"/>
    <w:rsid w:val="00D86D21"/>
    <w:rsid w:val="00D90A99"/>
    <w:rsid w:val="00D9247D"/>
    <w:rsid w:val="00DA1A45"/>
    <w:rsid w:val="00DA25A8"/>
    <w:rsid w:val="00DA2EDB"/>
    <w:rsid w:val="00DA41F5"/>
    <w:rsid w:val="00DA4726"/>
    <w:rsid w:val="00DA59E1"/>
    <w:rsid w:val="00DA679E"/>
    <w:rsid w:val="00DA759D"/>
    <w:rsid w:val="00DA75CE"/>
    <w:rsid w:val="00DB0F12"/>
    <w:rsid w:val="00DB1774"/>
    <w:rsid w:val="00DB250D"/>
    <w:rsid w:val="00DB2B90"/>
    <w:rsid w:val="00DB5806"/>
    <w:rsid w:val="00DB6F56"/>
    <w:rsid w:val="00DC0512"/>
    <w:rsid w:val="00DC0B05"/>
    <w:rsid w:val="00DC1774"/>
    <w:rsid w:val="00DC25E6"/>
    <w:rsid w:val="00DC2DD0"/>
    <w:rsid w:val="00DC3710"/>
    <w:rsid w:val="00DC57B1"/>
    <w:rsid w:val="00DC6221"/>
    <w:rsid w:val="00DC629B"/>
    <w:rsid w:val="00DD07E7"/>
    <w:rsid w:val="00DD11C0"/>
    <w:rsid w:val="00DD28F2"/>
    <w:rsid w:val="00DD3836"/>
    <w:rsid w:val="00DD3E9A"/>
    <w:rsid w:val="00DD3F13"/>
    <w:rsid w:val="00DD7B42"/>
    <w:rsid w:val="00DE076A"/>
    <w:rsid w:val="00DE0A4C"/>
    <w:rsid w:val="00DE174C"/>
    <w:rsid w:val="00DE2629"/>
    <w:rsid w:val="00DE3490"/>
    <w:rsid w:val="00DE36D9"/>
    <w:rsid w:val="00DE5B98"/>
    <w:rsid w:val="00DF0BD9"/>
    <w:rsid w:val="00DF1883"/>
    <w:rsid w:val="00DF2CDA"/>
    <w:rsid w:val="00DF5F60"/>
    <w:rsid w:val="00E00250"/>
    <w:rsid w:val="00E03346"/>
    <w:rsid w:val="00E06913"/>
    <w:rsid w:val="00E07DF4"/>
    <w:rsid w:val="00E101E4"/>
    <w:rsid w:val="00E108F5"/>
    <w:rsid w:val="00E11CAE"/>
    <w:rsid w:val="00E12497"/>
    <w:rsid w:val="00E14A34"/>
    <w:rsid w:val="00E162E3"/>
    <w:rsid w:val="00E16484"/>
    <w:rsid w:val="00E16B1A"/>
    <w:rsid w:val="00E2485F"/>
    <w:rsid w:val="00E24C40"/>
    <w:rsid w:val="00E26834"/>
    <w:rsid w:val="00E26B49"/>
    <w:rsid w:val="00E275A3"/>
    <w:rsid w:val="00E30E51"/>
    <w:rsid w:val="00E310B6"/>
    <w:rsid w:val="00E31DDD"/>
    <w:rsid w:val="00E350D0"/>
    <w:rsid w:val="00E35279"/>
    <w:rsid w:val="00E36277"/>
    <w:rsid w:val="00E36DB8"/>
    <w:rsid w:val="00E377D6"/>
    <w:rsid w:val="00E40DA3"/>
    <w:rsid w:val="00E411A2"/>
    <w:rsid w:val="00E44EFE"/>
    <w:rsid w:val="00E454C8"/>
    <w:rsid w:val="00E457E7"/>
    <w:rsid w:val="00E45D48"/>
    <w:rsid w:val="00E46061"/>
    <w:rsid w:val="00E479CF"/>
    <w:rsid w:val="00E53688"/>
    <w:rsid w:val="00E5398B"/>
    <w:rsid w:val="00E56663"/>
    <w:rsid w:val="00E56A81"/>
    <w:rsid w:val="00E56D04"/>
    <w:rsid w:val="00E57FE4"/>
    <w:rsid w:val="00E60B72"/>
    <w:rsid w:val="00E6202B"/>
    <w:rsid w:val="00E62450"/>
    <w:rsid w:val="00E634D0"/>
    <w:rsid w:val="00E63E31"/>
    <w:rsid w:val="00E63F0A"/>
    <w:rsid w:val="00E64AAE"/>
    <w:rsid w:val="00E64C76"/>
    <w:rsid w:val="00E64D2D"/>
    <w:rsid w:val="00E65054"/>
    <w:rsid w:val="00E66B29"/>
    <w:rsid w:val="00E66DD7"/>
    <w:rsid w:val="00E72673"/>
    <w:rsid w:val="00E72D0D"/>
    <w:rsid w:val="00E73F35"/>
    <w:rsid w:val="00E743F8"/>
    <w:rsid w:val="00E75723"/>
    <w:rsid w:val="00E75D90"/>
    <w:rsid w:val="00E77DB1"/>
    <w:rsid w:val="00E77EF3"/>
    <w:rsid w:val="00E77FB5"/>
    <w:rsid w:val="00E81883"/>
    <w:rsid w:val="00E82DE5"/>
    <w:rsid w:val="00E8405A"/>
    <w:rsid w:val="00E8572F"/>
    <w:rsid w:val="00E872D3"/>
    <w:rsid w:val="00E873AE"/>
    <w:rsid w:val="00E90CDC"/>
    <w:rsid w:val="00E912BE"/>
    <w:rsid w:val="00E917E0"/>
    <w:rsid w:val="00E930E0"/>
    <w:rsid w:val="00E93331"/>
    <w:rsid w:val="00E93DD2"/>
    <w:rsid w:val="00E94692"/>
    <w:rsid w:val="00E97480"/>
    <w:rsid w:val="00E974F3"/>
    <w:rsid w:val="00EA0D2E"/>
    <w:rsid w:val="00EA0D69"/>
    <w:rsid w:val="00EA3288"/>
    <w:rsid w:val="00EA6578"/>
    <w:rsid w:val="00EB04DE"/>
    <w:rsid w:val="00EB05E4"/>
    <w:rsid w:val="00EB099F"/>
    <w:rsid w:val="00EB0B07"/>
    <w:rsid w:val="00EB2815"/>
    <w:rsid w:val="00EB2C2A"/>
    <w:rsid w:val="00EB2E17"/>
    <w:rsid w:val="00EB461B"/>
    <w:rsid w:val="00EB543A"/>
    <w:rsid w:val="00EB5966"/>
    <w:rsid w:val="00EB59AE"/>
    <w:rsid w:val="00EB5B04"/>
    <w:rsid w:val="00EB6088"/>
    <w:rsid w:val="00EB6979"/>
    <w:rsid w:val="00EB70BA"/>
    <w:rsid w:val="00EB714B"/>
    <w:rsid w:val="00EB74C0"/>
    <w:rsid w:val="00EC02B8"/>
    <w:rsid w:val="00EC43F0"/>
    <w:rsid w:val="00EC4858"/>
    <w:rsid w:val="00EC5841"/>
    <w:rsid w:val="00EC7059"/>
    <w:rsid w:val="00EC7DFA"/>
    <w:rsid w:val="00ED090B"/>
    <w:rsid w:val="00ED1E14"/>
    <w:rsid w:val="00ED2543"/>
    <w:rsid w:val="00ED270B"/>
    <w:rsid w:val="00ED2FCA"/>
    <w:rsid w:val="00ED316A"/>
    <w:rsid w:val="00ED4640"/>
    <w:rsid w:val="00ED5504"/>
    <w:rsid w:val="00ED6C7E"/>
    <w:rsid w:val="00EE129D"/>
    <w:rsid w:val="00EE146D"/>
    <w:rsid w:val="00EE170C"/>
    <w:rsid w:val="00EE26F7"/>
    <w:rsid w:val="00EE3A0B"/>
    <w:rsid w:val="00EE4BC6"/>
    <w:rsid w:val="00EE4BE7"/>
    <w:rsid w:val="00EE4C41"/>
    <w:rsid w:val="00EE7432"/>
    <w:rsid w:val="00EE78FE"/>
    <w:rsid w:val="00EF0F60"/>
    <w:rsid w:val="00EF2365"/>
    <w:rsid w:val="00EF2C15"/>
    <w:rsid w:val="00EF32C4"/>
    <w:rsid w:val="00EF3F6A"/>
    <w:rsid w:val="00EF605C"/>
    <w:rsid w:val="00F008AC"/>
    <w:rsid w:val="00F00B9D"/>
    <w:rsid w:val="00F02A35"/>
    <w:rsid w:val="00F03E2C"/>
    <w:rsid w:val="00F05E9F"/>
    <w:rsid w:val="00F0622C"/>
    <w:rsid w:val="00F06DD8"/>
    <w:rsid w:val="00F104DF"/>
    <w:rsid w:val="00F16242"/>
    <w:rsid w:val="00F167DA"/>
    <w:rsid w:val="00F167F0"/>
    <w:rsid w:val="00F169EA"/>
    <w:rsid w:val="00F2056C"/>
    <w:rsid w:val="00F21420"/>
    <w:rsid w:val="00F2175C"/>
    <w:rsid w:val="00F27E2C"/>
    <w:rsid w:val="00F31570"/>
    <w:rsid w:val="00F3296E"/>
    <w:rsid w:val="00F32DF1"/>
    <w:rsid w:val="00F33174"/>
    <w:rsid w:val="00F33841"/>
    <w:rsid w:val="00F3611F"/>
    <w:rsid w:val="00F36732"/>
    <w:rsid w:val="00F37295"/>
    <w:rsid w:val="00F37B0E"/>
    <w:rsid w:val="00F40308"/>
    <w:rsid w:val="00F4056F"/>
    <w:rsid w:val="00F40D3F"/>
    <w:rsid w:val="00F420BB"/>
    <w:rsid w:val="00F43C33"/>
    <w:rsid w:val="00F4577B"/>
    <w:rsid w:val="00F4628C"/>
    <w:rsid w:val="00F4722E"/>
    <w:rsid w:val="00F473B0"/>
    <w:rsid w:val="00F50DDC"/>
    <w:rsid w:val="00F51160"/>
    <w:rsid w:val="00F516C9"/>
    <w:rsid w:val="00F5371B"/>
    <w:rsid w:val="00F53ED0"/>
    <w:rsid w:val="00F54374"/>
    <w:rsid w:val="00F54BFE"/>
    <w:rsid w:val="00F57718"/>
    <w:rsid w:val="00F602D6"/>
    <w:rsid w:val="00F62355"/>
    <w:rsid w:val="00F63FC6"/>
    <w:rsid w:val="00F64789"/>
    <w:rsid w:val="00F64863"/>
    <w:rsid w:val="00F64E3A"/>
    <w:rsid w:val="00F65A25"/>
    <w:rsid w:val="00F669AB"/>
    <w:rsid w:val="00F66ED3"/>
    <w:rsid w:val="00F71F27"/>
    <w:rsid w:val="00F756E3"/>
    <w:rsid w:val="00F757B6"/>
    <w:rsid w:val="00F76D95"/>
    <w:rsid w:val="00F77BF6"/>
    <w:rsid w:val="00F77CBC"/>
    <w:rsid w:val="00F803A0"/>
    <w:rsid w:val="00F8060D"/>
    <w:rsid w:val="00F80695"/>
    <w:rsid w:val="00F81C63"/>
    <w:rsid w:val="00F82166"/>
    <w:rsid w:val="00F8248A"/>
    <w:rsid w:val="00F828E6"/>
    <w:rsid w:val="00F84D5D"/>
    <w:rsid w:val="00F85704"/>
    <w:rsid w:val="00F86C49"/>
    <w:rsid w:val="00F9042B"/>
    <w:rsid w:val="00F90CC5"/>
    <w:rsid w:val="00F9215C"/>
    <w:rsid w:val="00F93F12"/>
    <w:rsid w:val="00F9491C"/>
    <w:rsid w:val="00F9578F"/>
    <w:rsid w:val="00F96542"/>
    <w:rsid w:val="00F96971"/>
    <w:rsid w:val="00FA2DC0"/>
    <w:rsid w:val="00FA4E43"/>
    <w:rsid w:val="00FA733D"/>
    <w:rsid w:val="00FB106C"/>
    <w:rsid w:val="00FB3EC1"/>
    <w:rsid w:val="00FB3F51"/>
    <w:rsid w:val="00FB66C9"/>
    <w:rsid w:val="00FB7539"/>
    <w:rsid w:val="00FB77F7"/>
    <w:rsid w:val="00FC098C"/>
    <w:rsid w:val="00FC0D7A"/>
    <w:rsid w:val="00FC28E2"/>
    <w:rsid w:val="00FC3EA0"/>
    <w:rsid w:val="00FC3F5D"/>
    <w:rsid w:val="00FD023B"/>
    <w:rsid w:val="00FD0A63"/>
    <w:rsid w:val="00FD0DD0"/>
    <w:rsid w:val="00FD0DDF"/>
    <w:rsid w:val="00FD38A7"/>
    <w:rsid w:val="00FD611F"/>
    <w:rsid w:val="00FE08A0"/>
    <w:rsid w:val="00FE4084"/>
    <w:rsid w:val="00FE488A"/>
    <w:rsid w:val="00FE49CA"/>
    <w:rsid w:val="00FE4E38"/>
    <w:rsid w:val="00FE76D0"/>
    <w:rsid w:val="00FF0FF5"/>
    <w:rsid w:val="00FF12B5"/>
    <w:rsid w:val="00FF209D"/>
    <w:rsid w:val="00FF4B9D"/>
    <w:rsid w:val="00FF4C3A"/>
    <w:rsid w:val="00FF5B86"/>
    <w:rsid w:val="00FF662E"/>
    <w:rsid w:val="00FF7004"/>
    <w:rsid w:val="1DFBC0C2"/>
    <w:rsid w:val="33D54BB7"/>
    <w:rsid w:val="735413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sz w:val="24"/>
      <w:szCs w:val="21"/>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unhideWhenUsed/>
    <w:qFormat/>
    <w:uiPriority w:val="9"/>
    <w:pPr>
      <w:keepNext/>
      <w:keepLines/>
      <w:spacing w:line="415" w:lineRule="auto"/>
      <w:jc w:val="center"/>
      <w:outlineLvl w:val="1"/>
    </w:pPr>
    <w:rPr>
      <w:bCs/>
      <w:sz w:val="32"/>
      <w:szCs w:val="32"/>
    </w:rPr>
  </w:style>
  <w:style w:type="paragraph" w:styleId="4">
    <w:name w:val="heading 3"/>
    <w:basedOn w:val="1"/>
    <w:next w:val="1"/>
    <w:link w:val="36"/>
    <w:unhideWhenUsed/>
    <w:qFormat/>
    <w:uiPriority w:val="9"/>
    <w:pPr>
      <w:keepNext/>
      <w:keepLines/>
      <w:spacing w:line="416" w:lineRule="auto"/>
      <w:jc w:val="center"/>
      <w:outlineLvl w:val="2"/>
    </w:pPr>
    <w:rPr>
      <w:bCs/>
      <w:sz w:val="30"/>
      <w:szCs w:val="32"/>
    </w:rPr>
  </w:style>
  <w:style w:type="paragraph" w:styleId="5">
    <w:name w:val="heading 4"/>
    <w:basedOn w:val="1"/>
    <w:next w:val="1"/>
    <w:link w:val="37"/>
    <w:unhideWhenUsed/>
    <w:qFormat/>
    <w:uiPriority w:val="9"/>
    <w:pPr>
      <w:keepNext/>
      <w:keepLines/>
      <w:spacing w:before="280" w:after="290" w:line="377" w:lineRule="auto"/>
      <w:jc w:val="center"/>
      <w:outlineLvl w:val="3"/>
    </w:pPr>
    <w:rPr>
      <w:rFonts w:cstheme="majorBidi"/>
      <w:bCs/>
      <w:kern w:val="2"/>
      <w:szCs w:val="28"/>
    </w:rPr>
  </w:style>
  <w:style w:type="paragraph" w:styleId="6">
    <w:name w:val="heading 5"/>
    <w:basedOn w:val="1"/>
    <w:next w:val="1"/>
    <w:link w:val="65"/>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66"/>
    <w:semiHidden/>
    <w:unhideWhenUsed/>
    <w:qFormat/>
    <w:uiPriority w:val="9"/>
    <w:pPr>
      <w:keepNext/>
      <w:keepLines/>
      <w:spacing w:before="240" w:after="64" w:line="320" w:lineRule="auto"/>
      <w:outlineLvl w:val="5"/>
    </w:pPr>
    <w:rPr>
      <w:rFonts w:asciiTheme="majorHAnsi" w:hAnsiTheme="majorHAnsi" w:eastAsiaTheme="majorEastAsia" w:cstheme="majorBidi"/>
      <w:b/>
      <w:bCs/>
      <w:szCs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1200"/>
      <w:jc w:val="left"/>
    </w:pPr>
    <w:rPr>
      <w:rFonts w:asciiTheme="minorHAnsi" w:eastAsiaTheme="minorHAnsi"/>
      <w:sz w:val="20"/>
      <w:szCs w:val="20"/>
    </w:rPr>
  </w:style>
  <w:style w:type="paragraph" w:styleId="9">
    <w:name w:val="Document Map"/>
    <w:basedOn w:val="1"/>
    <w:link w:val="58"/>
    <w:unhideWhenUsed/>
    <w:qFormat/>
    <w:uiPriority w:val="99"/>
    <w:rPr>
      <w:rFonts w:ascii="宋体"/>
      <w:sz w:val="18"/>
      <w:szCs w:val="18"/>
    </w:rPr>
  </w:style>
  <w:style w:type="paragraph" w:styleId="10">
    <w:name w:val="annotation text"/>
    <w:basedOn w:val="1"/>
    <w:link w:val="43"/>
    <w:unhideWhenUsed/>
    <w:qFormat/>
    <w:uiPriority w:val="99"/>
    <w:pPr>
      <w:jc w:val="left"/>
    </w:pPr>
  </w:style>
  <w:style w:type="paragraph" w:styleId="11">
    <w:name w:val="Body Text Indent"/>
    <w:basedOn w:val="1"/>
    <w:link w:val="42"/>
    <w:qFormat/>
    <w:uiPriority w:val="0"/>
    <w:pPr>
      <w:snapToGrid w:val="0"/>
      <w:spacing w:line="600" w:lineRule="exact"/>
      <w:ind w:firstLine="630"/>
      <w:jc w:val="center"/>
    </w:pPr>
    <w:rPr>
      <w:rFonts w:ascii="宋体"/>
      <w:kern w:val="2"/>
      <w:sz w:val="44"/>
      <w:szCs w:val="20"/>
    </w:rPr>
  </w:style>
  <w:style w:type="paragraph" w:styleId="12">
    <w:name w:val="toc 5"/>
    <w:basedOn w:val="1"/>
    <w:next w:val="1"/>
    <w:unhideWhenUsed/>
    <w:qFormat/>
    <w:uiPriority w:val="39"/>
    <w:pPr>
      <w:ind w:left="720"/>
      <w:jc w:val="left"/>
    </w:pPr>
    <w:rPr>
      <w:rFonts w:asciiTheme="minorHAnsi" w:eastAsiaTheme="minorHAnsi"/>
      <w:sz w:val="20"/>
      <w:szCs w:val="20"/>
    </w:rPr>
  </w:style>
  <w:style w:type="paragraph" w:styleId="13">
    <w:name w:val="toc 3"/>
    <w:basedOn w:val="5"/>
    <w:next w:val="6"/>
    <w:unhideWhenUsed/>
    <w:qFormat/>
    <w:uiPriority w:val="39"/>
    <w:pPr>
      <w:keepNext w:val="0"/>
      <w:keepLines w:val="0"/>
      <w:spacing w:before="0" w:after="0" w:line="360" w:lineRule="auto"/>
      <w:ind w:left="240"/>
      <w:jc w:val="left"/>
      <w:outlineLvl w:val="9"/>
    </w:pPr>
    <w:rPr>
      <w:rFonts w:cs="Times New Roman" w:asciiTheme="minorHAnsi" w:eastAsiaTheme="minorHAnsi"/>
      <w:bCs w:val="0"/>
      <w:kern w:val="0"/>
      <w:sz w:val="20"/>
      <w:szCs w:val="20"/>
    </w:rPr>
  </w:style>
  <w:style w:type="paragraph" w:styleId="14">
    <w:name w:val="toc 8"/>
    <w:basedOn w:val="1"/>
    <w:next w:val="1"/>
    <w:unhideWhenUsed/>
    <w:qFormat/>
    <w:uiPriority w:val="39"/>
    <w:pPr>
      <w:ind w:left="1440"/>
      <w:jc w:val="left"/>
    </w:pPr>
    <w:rPr>
      <w:rFonts w:asciiTheme="minorHAnsi" w:eastAsiaTheme="minorHAnsi"/>
      <w:sz w:val="20"/>
      <w:szCs w:val="20"/>
    </w:rPr>
  </w:style>
  <w:style w:type="paragraph" w:styleId="15">
    <w:name w:val="Date"/>
    <w:basedOn w:val="1"/>
    <w:next w:val="1"/>
    <w:link w:val="51"/>
    <w:unhideWhenUsed/>
    <w:qFormat/>
    <w:uiPriority w:val="99"/>
    <w:pPr>
      <w:ind w:left="100" w:leftChars="2500"/>
    </w:pPr>
  </w:style>
  <w:style w:type="paragraph" w:styleId="16">
    <w:name w:val="Balloon Text"/>
    <w:basedOn w:val="1"/>
    <w:link w:val="45"/>
    <w:unhideWhenUsed/>
    <w:qFormat/>
    <w:uiPriority w:val="99"/>
    <w:rPr>
      <w:sz w:val="18"/>
      <w:szCs w:val="18"/>
    </w:rPr>
  </w:style>
  <w:style w:type="paragraph" w:styleId="17">
    <w:name w:val="footer"/>
    <w:basedOn w:val="1"/>
    <w:link w:val="39"/>
    <w:unhideWhenUsed/>
    <w:qFormat/>
    <w:uiPriority w:val="99"/>
    <w:pPr>
      <w:tabs>
        <w:tab w:val="center" w:pos="4153"/>
        <w:tab w:val="right" w:pos="8306"/>
      </w:tabs>
      <w:snapToGrid w:val="0"/>
      <w:jc w:val="left"/>
    </w:pPr>
    <w:rPr>
      <w:sz w:val="18"/>
      <w:szCs w:val="18"/>
    </w:rPr>
  </w:style>
  <w:style w:type="paragraph" w:styleId="18">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spacing w:line="240" w:lineRule="auto"/>
      <w:jc w:val="left"/>
    </w:pPr>
    <w:rPr>
      <w:rFonts w:asciiTheme="majorHAnsi"/>
      <w:b/>
      <w:bCs/>
      <w:caps/>
      <w:szCs w:val="24"/>
    </w:rPr>
  </w:style>
  <w:style w:type="paragraph" w:styleId="20">
    <w:name w:val="toc 4"/>
    <w:basedOn w:val="1"/>
    <w:next w:val="1"/>
    <w:unhideWhenUsed/>
    <w:qFormat/>
    <w:uiPriority w:val="39"/>
    <w:pPr>
      <w:ind w:left="480"/>
      <w:jc w:val="left"/>
    </w:pPr>
    <w:rPr>
      <w:rFonts w:asciiTheme="minorHAnsi" w:eastAsiaTheme="minorHAnsi"/>
      <w:sz w:val="20"/>
      <w:szCs w:val="20"/>
    </w:rPr>
  </w:style>
  <w:style w:type="paragraph" w:styleId="21">
    <w:name w:val="toc 6"/>
    <w:basedOn w:val="1"/>
    <w:next w:val="1"/>
    <w:unhideWhenUsed/>
    <w:qFormat/>
    <w:uiPriority w:val="39"/>
    <w:pPr>
      <w:ind w:left="960"/>
      <w:jc w:val="left"/>
    </w:pPr>
    <w:rPr>
      <w:rFonts w:asciiTheme="minorHAnsi" w:eastAsiaTheme="minorHAnsi"/>
      <w:sz w:val="20"/>
      <w:szCs w:val="20"/>
    </w:rPr>
  </w:style>
  <w:style w:type="paragraph" w:styleId="22">
    <w:name w:val="Body Text Indent 3"/>
    <w:basedOn w:val="1"/>
    <w:link w:val="41"/>
    <w:qFormat/>
    <w:uiPriority w:val="0"/>
    <w:pPr>
      <w:widowControl/>
      <w:spacing w:line="540" w:lineRule="exact"/>
      <w:ind w:firstLine="640" w:firstLineChars="200"/>
    </w:pPr>
    <w:rPr>
      <w:rFonts w:ascii="仿宋_GB2312" w:hAnsi="宋体" w:eastAsia="仿宋_GB2312"/>
      <w:kern w:val="2"/>
      <w:sz w:val="32"/>
      <w:szCs w:val="30"/>
    </w:rPr>
  </w:style>
  <w:style w:type="paragraph" w:styleId="23">
    <w:name w:val="toc 2"/>
    <w:basedOn w:val="1"/>
    <w:next w:val="1"/>
    <w:unhideWhenUsed/>
    <w:qFormat/>
    <w:uiPriority w:val="39"/>
    <w:pPr>
      <w:spacing w:before="240" w:after="240" w:line="240" w:lineRule="auto"/>
      <w:ind w:left="1200" w:leftChars="100" w:right="100" w:rightChars="100"/>
      <w:jc w:val="left"/>
    </w:pPr>
    <w:rPr>
      <w:rFonts w:asciiTheme="minorHAnsi"/>
      <w:b/>
      <w:bCs/>
      <w:sz w:val="21"/>
      <w:szCs w:val="20"/>
    </w:rPr>
  </w:style>
  <w:style w:type="paragraph" w:styleId="24">
    <w:name w:val="toc 9"/>
    <w:basedOn w:val="1"/>
    <w:next w:val="1"/>
    <w:unhideWhenUsed/>
    <w:qFormat/>
    <w:uiPriority w:val="39"/>
    <w:pPr>
      <w:ind w:left="1680"/>
      <w:jc w:val="left"/>
    </w:pPr>
    <w:rPr>
      <w:rFonts w:asciiTheme="minorHAnsi" w:eastAsiaTheme="minorHAnsi"/>
      <w:sz w:val="20"/>
      <w:szCs w:val="20"/>
    </w:rPr>
  </w:style>
  <w:style w:type="paragraph" w:styleId="25">
    <w:name w:val="Normal (Web)"/>
    <w:basedOn w:val="1"/>
    <w:unhideWhenUsed/>
    <w:qFormat/>
    <w:uiPriority w:val="99"/>
    <w:rPr>
      <w:rFonts w:eastAsiaTheme="minorEastAsia"/>
      <w:kern w:val="2"/>
      <w:szCs w:val="24"/>
    </w:rPr>
  </w:style>
  <w:style w:type="paragraph" w:styleId="26">
    <w:name w:val="index 1"/>
    <w:basedOn w:val="1"/>
    <w:next w:val="1"/>
    <w:semiHidden/>
    <w:unhideWhenUsed/>
    <w:qFormat/>
    <w:uiPriority w:val="99"/>
  </w:style>
  <w:style w:type="paragraph" w:styleId="27">
    <w:name w:val="annotation subject"/>
    <w:basedOn w:val="10"/>
    <w:next w:val="10"/>
    <w:link w:val="44"/>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sz w:val="24"/>
    </w:rPr>
  </w:style>
  <w:style w:type="character" w:styleId="32">
    <w:name w:val="Hyperlink"/>
    <w:basedOn w:val="30"/>
    <w:unhideWhenUsed/>
    <w:qFormat/>
    <w:uiPriority w:val="99"/>
    <w:rPr>
      <w:color w:val="0563C1" w:themeColor="hyperlink"/>
      <w:u w:val="single"/>
      <w14:textFill>
        <w14:solidFill>
          <w14:schemeClr w14:val="hlink"/>
        </w14:solidFill>
      </w14:textFill>
    </w:rPr>
  </w:style>
  <w:style w:type="character" w:styleId="33">
    <w:name w:val="annotation reference"/>
    <w:basedOn w:val="30"/>
    <w:unhideWhenUsed/>
    <w:qFormat/>
    <w:uiPriority w:val="99"/>
    <w:rPr>
      <w:sz w:val="21"/>
      <w:szCs w:val="21"/>
    </w:rPr>
  </w:style>
  <w:style w:type="character" w:customStyle="1" w:styleId="34">
    <w:name w:val="标题 1 字符"/>
    <w:basedOn w:val="30"/>
    <w:link w:val="2"/>
    <w:qFormat/>
    <w:uiPriority w:val="9"/>
    <w:rPr>
      <w:rFonts w:ascii="Times New Roman" w:hAnsi="Times New Roman" w:eastAsia="宋体" w:cs="Times New Roman"/>
      <w:b/>
      <w:bCs/>
      <w:kern w:val="44"/>
      <w:sz w:val="44"/>
      <w:szCs w:val="44"/>
    </w:rPr>
  </w:style>
  <w:style w:type="character" w:customStyle="1" w:styleId="35">
    <w:name w:val="标题 2 字符"/>
    <w:basedOn w:val="30"/>
    <w:link w:val="3"/>
    <w:qFormat/>
    <w:uiPriority w:val="9"/>
    <w:rPr>
      <w:rFonts w:ascii="Times New Roman" w:hAnsi="Times New Roman" w:eastAsia="宋体" w:cs="Times New Roman"/>
      <w:bCs/>
      <w:sz w:val="32"/>
      <w:szCs w:val="32"/>
    </w:rPr>
  </w:style>
  <w:style w:type="character" w:customStyle="1" w:styleId="36">
    <w:name w:val="标题 3 字符"/>
    <w:basedOn w:val="30"/>
    <w:link w:val="4"/>
    <w:qFormat/>
    <w:uiPriority w:val="9"/>
    <w:rPr>
      <w:rFonts w:ascii="Times New Roman" w:hAnsi="Times New Roman" w:eastAsia="宋体" w:cs="Times New Roman"/>
      <w:bCs/>
      <w:sz w:val="30"/>
      <w:szCs w:val="32"/>
    </w:rPr>
  </w:style>
  <w:style w:type="character" w:customStyle="1" w:styleId="37">
    <w:name w:val="标题 4 字符"/>
    <w:basedOn w:val="30"/>
    <w:link w:val="5"/>
    <w:qFormat/>
    <w:uiPriority w:val="9"/>
    <w:rPr>
      <w:rFonts w:ascii="Times New Roman" w:hAnsi="Times New Roman" w:eastAsia="宋体" w:cstheme="majorBidi"/>
      <w:bCs/>
      <w:kern w:val="2"/>
      <w:sz w:val="24"/>
      <w:szCs w:val="28"/>
    </w:rPr>
  </w:style>
  <w:style w:type="character" w:customStyle="1" w:styleId="38">
    <w:name w:val="页眉 字符"/>
    <w:basedOn w:val="30"/>
    <w:link w:val="18"/>
    <w:qFormat/>
    <w:uiPriority w:val="99"/>
    <w:rPr>
      <w:rFonts w:ascii="Times New Roman" w:hAnsi="Times New Roman" w:eastAsia="宋体" w:cs="Times New Roman"/>
      <w:kern w:val="0"/>
      <w:sz w:val="18"/>
      <w:szCs w:val="18"/>
    </w:rPr>
  </w:style>
  <w:style w:type="character" w:customStyle="1" w:styleId="39">
    <w:name w:val="页脚 字符"/>
    <w:basedOn w:val="30"/>
    <w:link w:val="17"/>
    <w:qFormat/>
    <w:uiPriority w:val="99"/>
    <w:rPr>
      <w:rFonts w:ascii="Times New Roman" w:hAnsi="Times New Roman" w:eastAsia="宋体" w:cs="Times New Roman"/>
      <w:kern w:val="0"/>
      <w:sz w:val="18"/>
      <w:szCs w:val="18"/>
    </w:rPr>
  </w:style>
  <w:style w:type="paragraph" w:customStyle="1" w:styleId="40">
    <w:name w:val="列出段落1"/>
    <w:basedOn w:val="1"/>
    <w:qFormat/>
    <w:uiPriority w:val="34"/>
    <w:pPr>
      <w:ind w:firstLine="420" w:firstLineChars="200"/>
    </w:pPr>
  </w:style>
  <w:style w:type="character" w:customStyle="1" w:styleId="41">
    <w:name w:val="正文文本缩进 3 字符"/>
    <w:basedOn w:val="30"/>
    <w:link w:val="22"/>
    <w:qFormat/>
    <w:uiPriority w:val="0"/>
    <w:rPr>
      <w:rFonts w:ascii="仿宋_GB2312" w:hAnsi="宋体" w:eastAsia="仿宋_GB2312" w:cs="Times New Roman"/>
      <w:sz w:val="32"/>
      <w:szCs w:val="30"/>
    </w:rPr>
  </w:style>
  <w:style w:type="character" w:customStyle="1" w:styleId="42">
    <w:name w:val="正文文本缩进 字符"/>
    <w:basedOn w:val="30"/>
    <w:link w:val="11"/>
    <w:qFormat/>
    <w:uiPriority w:val="0"/>
    <w:rPr>
      <w:rFonts w:ascii="宋体" w:hAnsi="Times New Roman" w:eastAsia="宋体" w:cs="Times New Roman"/>
      <w:sz w:val="44"/>
      <w:szCs w:val="20"/>
    </w:rPr>
  </w:style>
  <w:style w:type="character" w:customStyle="1" w:styleId="43">
    <w:name w:val="批注文字 字符"/>
    <w:basedOn w:val="30"/>
    <w:link w:val="10"/>
    <w:qFormat/>
    <w:uiPriority w:val="99"/>
    <w:rPr>
      <w:rFonts w:ascii="Times New Roman" w:hAnsi="Times New Roman" w:eastAsia="宋体" w:cs="Times New Roman"/>
      <w:kern w:val="0"/>
      <w:szCs w:val="21"/>
    </w:rPr>
  </w:style>
  <w:style w:type="character" w:customStyle="1" w:styleId="44">
    <w:name w:val="批注主题 字符"/>
    <w:basedOn w:val="43"/>
    <w:link w:val="27"/>
    <w:semiHidden/>
    <w:qFormat/>
    <w:uiPriority w:val="99"/>
    <w:rPr>
      <w:rFonts w:ascii="Times New Roman" w:hAnsi="Times New Roman" w:eastAsia="宋体" w:cs="Times New Roman"/>
      <w:b/>
      <w:bCs/>
      <w:kern w:val="0"/>
      <w:szCs w:val="21"/>
    </w:rPr>
  </w:style>
  <w:style w:type="character" w:customStyle="1" w:styleId="45">
    <w:name w:val="批注框文本 字符"/>
    <w:basedOn w:val="30"/>
    <w:link w:val="16"/>
    <w:semiHidden/>
    <w:qFormat/>
    <w:uiPriority w:val="99"/>
    <w:rPr>
      <w:rFonts w:ascii="Times New Roman" w:hAnsi="Times New Roman" w:eastAsia="宋体" w:cs="Times New Roman"/>
      <w:kern w:val="0"/>
      <w:sz w:val="18"/>
      <w:szCs w:val="18"/>
    </w:rPr>
  </w:style>
  <w:style w:type="paragraph" w:customStyle="1" w:styleId="4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table" w:customStyle="1" w:styleId="47">
    <w:name w:val="网格型1"/>
    <w:basedOn w:val="28"/>
    <w:qFormat/>
    <w:uiPriority w:val="59"/>
    <w:rPr>
      <w:rFonts w:ascii="等线" w:hAnsi="等线" w:eastAsia="等线"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9">
    <w:name w:val="条文"/>
    <w:basedOn w:val="1"/>
    <w:next w:val="25"/>
    <w:link w:val="50"/>
    <w:qFormat/>
    <w:uiPriority w:val="0"/>
    <w:pPr>
      <w:spacing w:line="300" w:lineRule="auto"/>
      <w:outlineLvl w:val="2"/>
    </w:pPr>
    <w:rPr>
      <w:szCs w:val="20"/>
    </w:rPr>
  </w:style>
  <w:style w:type="character" w:customStyle="1" w:styleId="50">
    <w:name w:val="条文 Char"/>
    <w:link w:val="49"/>
    <w:qFormat/>
    <w:locked/>
    <w:uiPriority w:val="0"/>
    <w:rPr>
      <w:rFonts w:ascii="Times New Roman" w:hAnsi="Times New Roman" w:eastAsia="宋体" w:cs="Times New Roman"/>
      <w:kern w:val="0"/>
      <w:sz w:val="24"/>
      <w:szCs w:val="20"/>
    </w:rPr>
  </w:style>
  <w:style w:type="character" w:customStyle="1" w:styleId="51">
    <w:name w:val="日期 字符"/>
    <w:basedOn w:val="30"/>
    <w:link w:val="15"/>
    <w:semiHidden/>
    <w:qFormat/>
    <w:uiPriority w:val="99"/>
    <w:rPr>
      <w:rFonts w:ascii="Times New Roman" w:hAnsi="Times New Roman" w:eastAsia="宋体" w:cs="Times New Roman"/>
      <w:kern w:val="0"/>
      <w:szCs w:val="21"/>
    </w:rPr>
  </w:style>
  <w:style w:type="paragraph" w:customStyle="1" w:styleId="52">
    <w:name w:val="无间隔1"/>
    <w:basedOn w:val="1"/>
    <w:qFormat/>
    <w:uiPriority w:val="1"/>
    <w:pPr>
      <w:spacing w:beforeLines="100" w:line="300" w:lineRule="auto"/>
      <w:outlineLvl w:val="3"/>
    </w:pPr>
    <w:rPr>
      <w:kern w:val="2"/>
      <w:szCs w:val="24"/>
    </w:rPr>
  </w:style>
  <w:style w:type="paragraph" w:customStyle="1" w:styleId="53">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54">
    <w:name w:val="节"/>
    <w:basedOn w:val="1"/>
    <w:qFormat/>
    <w:uiPriority w:val="0"/>
    <w:pPr>
      <w:spacing w:beforeLines="100" w:line="300" w:lineRule="auto"/>
      <w:jc w:val="center"/>
      <w:outlineLvl w:val="1"/>
    </w:pPr>
    <w:rPr>
      <w:b/>
      <w:bCs/>
      <w:kern w:val="2"/>
      <w:szCs w:val="24"/>
    </w:rPr>
  </w:style>
  <w:style w:type="table" w:customStyle="1" w:styleId="55">
    <w:name w:val="网格型2"/>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6">
    <w:name w:val="段 Char"/>
    <w:link w:val="57"/>
    <w:qFormat/>
    <w:uiPriority w:val="0"/>
    <w:rPr>
      <w:rFonts w:ascii="宋体"/>
    </w:rPr>
  </w:style>
  <w:style w:type="paragraph" w:customStyle="1" w:styleId="57">
    <w:name w:val="段"/>
    <w:link w:val="56"/>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lang w:val="en-US" w:eastAsia="zh-CN" w:bidi="ar-SA"/>
    </w:rPr>
  </w:style>
  <w:style w:type="character" w:customStyle="1" w:styleId="58">
    <w:name w:val="文档结构图 字符"/>
    <w:basedOn w:val="30"/>
    <w:link w:val="9"/>
    <w:semiHidden/>
    <w:qFormat/>
    <w:uiPriority w:val="99"/>
    <w:rPr>
      <w:rFonts w:ascii="宋体" w:hAnsi="Times New Roman" w:eastAsia="宋体" w:cs="Times New Roman"/>
      <w:sz w:val="18"/>
      <w:szCs w:val="18"/>
    </w:rPr>
  </w:style>
  <w:style w:type="paragraph" w:customStyle="1" w:styleId="59">
    <w:name w:val="修订2"/>
    <w:hidden/>
    <w:semiHidden/>
    <w:qFormat/>
    <w:uiPriority w:val="99"/>
    <w:rPr>
      <w:rFonts w:ascii="Times New Roman" w:hAnsi="Times New Roman" w:eastAsia="宋体" w:cs="Times New Roman"/>
      <w:sz w:val="21"/>
      <w:szCs w:val="21"/>
      <w:lang w:val="en-US" w:eastAsia="zh-CN" w:bidi="ar-SA"/>
    </w:rPr>
  </w:style>
  <w:style w:type="paragraph" w:customStyle="1" w:styleId="60">
    <w:name w:val="条文说明新"/>
    <w:basedOn w:val="1"/>
    <w:qFormat/>
    <w:uiPriority w:val="0"/>
    <w:pPr>
      <w:adjustRightInd w:val="0"/>
      <w:snapToGrid w:val="0"/>
      <w:spacing w:beforeLines="50" w:line="400" w:lineRule="exact"/>
      <w:ind w:left="200" w:leftChars="200"/>
    </w:pPr>
    <w:rPr>
      <w:rFonts w:ascii="楷体" w:hAnsi="楷体" w:eastAsia="楷体"/>
      <w:bCs/>
      <w:kern w:val="2"/>
      <w:szCs w:val="22"/>
    </w:rPr>
  </w:style>
  <w:style w:type="paragraph" w:customStyle="1" w:styleId="61">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styleId="62">
    <w:name w:val="List Paragraph"/>
    <w:basedOn w:val="1"/>
    <w:qFormat/>
    <w:uiPriority w:val="34"/>
    <w:pPr>
      <w:spacing w:line="240" w:lineRule="auto"/>
      <w:ind w:firstLine="420" w:firstLineChars="200"/>
    </w:pPr>
    <w:rPr>
      <w:rFonts w:eastAsia="楷体_GB2312"/>
      <w:kern w:val="2"/>
      <w:sz w:val="30"/>
      <w:szCs w:val="20"/>
    </w:rPr>
  </w:style>
  <w:style w:type="paragraph" w:customStyle="1" w:styleId="63">
    <w:name w:val="Revision"/>
    <w:hidden/>
    <w:semiHidden/>
    <w:qFormat/>
    <w:uiPriority w:val="99"/>
    <w:rPr>
      <w:rFonts w:ascii="Times New Roman" w:hAnsi="Times New Roman" w:eastAsia="宋体" w:cs="Times New Roman"/>
      <w:sz w:val="24"/>
      <w:szCs w:val="21"/>
      <w:lang w:val="en-US" w:eastAsia="zh-CN" w:bidi="ar-SA"/>
    </w:rPr>
  </w:style>
  <w:style w:type="character" w:customStyle="1" w:styleId="64">
    <w:name w:val="fontstyle01"/>
    <w:basedOn w:val="30"/>
    <w:qFormat/>
    <w:uiPriority w:val="0"/>
    <w:rPr>
      <w:rFonts w:hint="eastAsia" w:ascii="宋体" w:hAnsi="宋体" w:eastAsia="宋体"/>
      <w:color w:val="000000"/>
      <w:sz w:val="24"/>
      <w:szCs w:val="24"/>
    </w:rPr>
  </w:style>
  <w:style w:type="character" w:customStyle="1" w:styleId="65">
    <w:name w:val="标题 5 字符"/>
    <w:basedOn w:val="30"/>
    <w:link w:val="6"/>
    <w:qFormat/>
    <w:uiPriority w:val="9"/>
    <w:rPr>
      <w:rFonts w:ascii="Times New Roman" w:hAnsi="Times New Roman" w:eastAsia="宋体" w:cs="Times New Roman"/>
      <w:b/>
      <w:bCs/>
      <w:sz w:val="28"/>
      <w:szCs w:val="28"/>
    </w:rPr>
  </w:style>
  <w:style w:type="character" w:customStyle="1" w:styleId="66">
    <w:name w:val="标题 6 字符"/>
    <w:basedOn w:val="30"/>
    <w:link w:val="7"/>
    <w:semiHidden/>
    <w:qFormat/>
    <w:uiPriority w:val="9"/>
    <w:rPr>
      <w:rFonts w:asciiTheme="majorHAnsi" w:hAnsiTheme="majorHAnsi" w:eastAsiaTheme="majorEastAsia" w:cstheme="majorBidi"/>
      <w:b/>
      <w:bCs/>
      <w:sz w:val="24"/>
      <w:szCs w:val="24"/>
    </w:rPr>
  </w:style>
  <w:style w:type="character" w:customStyle="1" w:styleId="67">
    <w:name w:val="keywords-mean"/>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DAB180-F79A-4E06-B865-EEFD6CEF68C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5737</Words>
  <Characters>32706</Characters>
  <Lines>272</Lines>
  <Paragraphs>76</Paragraphs>
  <TotalTime>103</TotalTime>
  <ScaleCrop>false</ScaleCrop>
  <LinksUpToDate>false</LinksUpToDate>
  <CharactersWithSpaces>38367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2023-11-16T08:43:00Z</dcterms:created>
  <dc:creator>DELL</dc:creator>
  <cp:lastModifiedBy>Administrator</cp:lastModifiedBy>
  <cp:lastPrinted>2023-11-16T11:34:00Z</cp:lastPrinted>
  <dcterms:modified xsi:type="dcterms:W3CDTF">2023-11-17T08:38:41Z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70B32483CC574BFE81FC987E49883832</vt:lpwstr>
  </property>
</Properties>
</file>