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46" w:line="248" w:lineRule="auto"/>
        <w:ind w:left="15" w:right="105" w:firstLine="660"/>
        <w:jc w:val="center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房山区项目相关问题答疑口径</w:t>
      </w:r>
    </w:p>
    <w:bookmarkEnd w:id="0"/>
    <w:p>
      <w:pPr>
        <w:spacing w:after="46" w:line="248" w:lineRule="auto"/>
        <w:ind w:left="15" w:right="105" w:firstLine="660"/>
        <w:jc w:val="center"/>
        <w:rPr>
          <w:rFonts w:hint="eastAsia" w:ascii="方正小标宋简体" w:eastAsia="方正小标宋简体"/>
          <w:sz w:val="36"/>
          <w:szCs w:val="36"/>
          <w:lang w:val="en-US" w:eastAsia="zh-CN"/>
        </w:rPr>
      </w:pPr>
    </w:p>
    <w:p>
      <w:pPr>
        <w:spacing w:after="15" w:line="248" w:lineRule="auto"/>
        <w:ind w:left="670" w:right="105" w:hanging="1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一、</w:t>
      </w:r>
      <w:r>
        <w:rPr>
          <w:rFonts w:hint="eastAsia" w:ascii="仿宋_GB2312" w:hAnsi="仿宋_GB2312" w:eastAsia="仿宋_GB2312" w:cs="仿宋_GB2312"/>
          <w:sz w:val="32"/>
          <w:szCs w:val="32"/>
        </w:rPr>
        <w:t>规划指标情况</w:t>
      </w:r>
    </w:p>
    <w:p>
      <w:pPr>
        <w:spacing w:after="15" w:line="248" w:lineRule="auto"/>
        <w:ind w:right="105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西潞</w:t>
      </w:r>
      <w:r>
        <w:rPr>
          <w:rFonts w:hint="eastAsia" w:ascii="仿宋_GB2312" w:hAnsi="仿宋_GB2312" w:eastAsia="仿宋_GB2312" w:cs="仿宋_GB2312"/>
          <w:sz w:val="32"/>
          <w:szCs w:val="32"/>
        </w:rPr>
        <w:t>街道佳世苑三期入市地块</w:t>
      </w:r>
    </w:p>
    <w:p>
      <w:pPr>
        <w:spacing w:after="0" w:line="252" w:lineRule="auto"/>
        <w:ind w:left="15" w:right="105" w:firstLine="645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按照该项目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多规合一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协同平台审核意见，项目内 FS00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0113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0006地块需设置的社会养老服务驿站建筑规模为200平方米、社会助残服务中心建筑规模为100平方米、社区卫生服务站建筑规模为120平方米、社区综合文化室建筑规模为300平方米、公厕建筑规模为70平方米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FS00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0113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0008地块需设置的社区管理服务用房建筑规模为350平方米、再生资源回收站建筑规模为50平方米。</w:t>
      </w:r>
    </w:p>
    <w:p>
      <w:pPr>
        <w:pStyle w:val="3"/>
        <w:spacing w:after="28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（二）轨道交通房山线东羊庄站（南区）入市地块</w:t>
      </w:r>
    </w:p>
    <w:p>
      <w:pPr>
        <w:spacing w:after="0" w:line="251" w:lineRule="auto"/>
        <w:ind w:left="15" w:firstLine="645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按照该项目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多规合一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协同平台审核意见，项目内 FS00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0111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0018地块需设置的社区综合文化室建筑规模为</w:t>
      </w:r>
    </w:p>
    <w:p>
      <w:pPr>
        <w:spacing w:after="1" w:line="264" w:lineRule="auto"/>
        <w:ind w:left="15" w:firstLine="5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300平方米、社区管理服务用房建筑规模为350平方米、社区卫生服务站建筑规模为120平方米、再生资源回收站建筑规模为50平方米。</w:t>
      </w:r>
    </w:p>
    <w:p>
      <w:pPr>
        <w:spacing w:after="62" w:line="248" w:lineRule="auto"/>
        <w:ind w:right="105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（三）</w:t>
      </w:r>
      <w:r>
        <w:rPr>
          <w:rFonts w:hint="eastAsia" w:ascii="仿宋_GB2312" w:hAnsi="仿宋_GB2312" w:eastAsia="仿宋_GB2312" w:cs="仿宋_GB2312"/>
          <w:sz w:val="32"/>
          <w:szCs w:val="32"/>
        </w:rPr>
        <w:t>建设要求</w:t>
      </w:r>
    </w:p>
    <w:p>
      <w:pPr>
        <w:spacing w:after="15" w:line="248" w:lineRule="auto"/>
        <w:ind w:left="15" w:right="105" w:firstLine="645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上述两宗项目涉及的配套设施需严格按照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多规合一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协同平台审核意见的函相关要求建设，最终建设规模和布局结合设计方案确定。</w:t>
      </w:r>
    </w:p>
    <w:p>
      <w:pPr>
        <w:spacing w:after="15" w:line="248" w:lineRule="auto"/>
        <w:ind w:left="670" w:right="105" w:hanging="1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二、</w:t>
      </w:r>
      <w:r>
        <w:rPr>
          <w:rFonts w:hint="eastAsia" w:ascii="仿宋_GB2312" w:hAnsi="仿宋_GB2312" w:eastAsia="仿宋_GB2312" w:cs="仿宋_GB2312"/>
          <w:sz w:val="32"/>
          <w:szCs w:val="32"/>
        </w:rPr>
        <w:t>市政基础设施情况</w:t>
      </w:r>
    </w:p>
    <w:p>
      <w:pPr>
        <w:spacing w:after="138" w:line="248" w:lineRule="auto"/>
        <w:ind w:right="105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西潞街道</w:t>
      </w:r>
      <w:r>
        <w:rPr>
          <w:rFonts w:hint="eastAsia" w:ascii="仿宋_GB2312" w:hAnsi="仿宋_GB2312" w:eastAsia="仿宋_GB2312" w:cs="仿宋_GB2312"/>
          <w:sz w:val="32"/>
          <w:szCs w:val="32"/>
        </w:rPr>
        <w:t>佳世苑三期入市地块</w:t>
      </w:r>
    </w:p>
    <w:p>
      <w:pPr>
        <w:spacing w:after="15" w:line="248" w:lineRule="auto"/>
        <w:ind w:left="15" w:right="105" w:firstLine="66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该项目开发补偿费对应的市政条件为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临时三通一平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”，</w:t>
      </w:r>
      <w:r>
        <w:rPr>
          <w:rFonts w:hint="eastAsia" w:ascii="仿宋_GB2312" w:hAnsi="仿宋_GB2312" w:eastAsia="仿宋_GB2312" w:cs="仿宋_GB2312"/>
          <w:sz w:val="32"/>
          <w:szCs w:val="32"/>
        </w:rPr>
        <w:t>我区将加快推进挂牌文件约定市政条件的建设工作，不影响二级竞得人开竣工。项目周边长虹西路、翠柳大街已铺设有成熟的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七通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市政管线，但相关市政管线的接用工作及费用，需二级竞得人自行承担。</w:t>
      </w:r>
    </w:p>
    <w:p>
      <w:pPr>
        <w:pStyle w:val="3"/>
        <w:ind w:left="7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（二）轨道交通房山线东羊庄站（南区）入市地块</w:t>
      </w:r>
    </w:p>
    <w:p>
      <w:pPr>
        <w:spacing w:after="15" w:line="248" w:lineRule="auto"/>
        <w:ind w:left="15" w:right="105" w:firstLine="66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该项目开发补偿费对应的市政条件为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四通一平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四通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指通路、通上水（自来水、中水）、通下水（雨水、污水）、通电（仅管沟）；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一平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指除最终可保留及涉及二级竞得人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继</w:t>
      </w:r>
      <w:r>
        <w:rPr>
          <w:rFonts w:hint="eastAsia" w:ascii="仿宋_GB2312" w:hAnsi="仿宋_GB2312" w:eastAsia="仿宋_GB2312" w:cs="仿宋_GB2312"/>
          <w:sz w:val="32"/>
          <w:szCs w:val="32"/>
        </w:rPr>
        <w:t>续使用的地上物外，地上无其它施工障碍物的场地自然平整），我区将严格按挂牌文件约定，加快推进市政配套设施的建设工作，不影响二级竞得人开竣工。项目周边长虹东路、阳光北大街已铺设有成熟的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七通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市政管线，但相关市政管线的接用工作及费用，需二级竞得人自行承担。</w:t>
      </w:r>
    </w:p>
    <w:p>
      <w:pPr>
        <w:spacing w:after="15" w:line="248" w:lineRule="auto"/>
        <w:ind w:right="105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三、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项目周边开发情况</w:t>
      </w:r>
    </w:p>
    <w:p>
      <w:pPr>
        <w:spacing w:after="15" w:line="248" w:lineRule="auto"/>
        <w:ind w:left="15" w:firstLine="645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上述两宗项目位于房山新城组团内，周边均为成熟社区，公共配套设施齐全，周边规划情况可向市规划自然资源委房山分局进行了解，现场情况需竞买人自行踏勘。</w:t>
      </w:r>
    </w:p>
    <w:p>
      <w:pPr>
        <w:spacing w:after="15" w:line="248" w:lineRule="auto"/>
        <w:ind w:right="105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四、规划设计方案情况</w:t>
      </w:r>
    </w:p>
    <w:p>
      <w:pPr>
        <w:spacing w:after="15" w:line="248" w:lineRule="auto"/>
        <w:ind w:left="15" w:firstLine="675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二级开发单位竞得上述项目后，需严格按照国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家</w:t>
      </w:r>
      <w:r>
        <w:rPr>
          <w:rFonts w:hint="eastAsia" w:ascii="仿宋_GB2312" w:hAnsi="仿宋_GB2312" w:eastAsia="仿宋_GB2312" w:cs="仿宋_GB2312"/>
          <w:sz w:val="32"/>
          <w:szCs w:val="32"/>
        </w:rPr>
        <w:t>及北京市有关文件依法、依规进行规划设计方案的编制及申报工作，严格履行挂牌出让文件中的各项约定。涉及规划设计方案中的具体事宜，在向规划审批部门进行申报时，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详细</w:t>
      </w:r>
      <w:r>
        <w:rPr>
          <w:rFonts w:hint="eastAsia" w:ascii="仿宋_GB2312" w:hAnsi="仿宋_GB2312" w:eastAsia="仿宋_GB2312" w:cs="仿宋_GB2312"/>
          <w:sz w:val="32"/>
          <w:szCs w:val="32"/>
        </w:rPr>
        <w:t>咨询。</w:t>
      </w:r>
    </w:p>
    <w:p>
      <w:pPr>
        <w:spacing w:after="0"/>
        <w:ind w:right="600"/>
        <w:jc w:val="right"/>
        <w:rPr>
          <w:rFonts w:hint="eastAsia" w:ascii="仿宋_GB2312" w:eastAsia="仿宋_GB2312"/>
          <w:sz w:val="32"/>
          <w:szCs w:val="32"/>
        </w:rPr>
      </w:pPr>
    </w:p>
    <w:sectPr>
      <w:pgSz w:w="11895" w:h="16830"/>
      <w:pgMar w:top="1605" w:right="1695" w:bottom="1985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927"/>
    <w:rsid w:val="000C0927"/>
    <w:rsid w:val="00652003"/>
    <w:rsid w:val="019D325B"/>
    <w:rsid w:val="19ED1D77"/>
    <w:rsid w:val="25332EFB"/>
    <w:rsid w:val="3D4341C0"/>
    <w:rsid w:val="54AA4B49"/>
    <w:rsid w:val="7B9D2882"/>
    <w:rsid w:val="7EAD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Calibri"/>
      <w:color w:val="000000"/>
      <w:kern w:val="2"/>
      <w:sz w:val="22"/>
      <w:szCs w:val="22"/>
      <w:lang w:val="en-US" w:eastAsia="zh-CN" w:bidi="ar-SA"/>
    </w:rPr>
  </w:style>
  <w:style w:type="paragraph" w:styleId="2">
    <w:name w:val="heading 1"/>
    <w:next w:val="1"/>
    <w:link w:val="7"/>
    <w:unhideWhenUsed/>
    <w:qFormat/>
    <w:uiPriority w:val="9"/>
    <w:pPr>
      <w:keepNext/>
      <w:keepLines/>
      <w:spacing w:line="216" w:lineRule="auto"/>
      <w:ind w:left="10" w:right="105" w:hanging="10"/>
      <w:jc w:val="center"/>
      <w:outlineLvl w:val="0"/>
    </w:pPr>
    <w:rPr>
      <w:rFonts w:ascii="微软雅黑" w:hAnsi="微软雅黑" w:eastAsia="微软雅黑" w:cs="微软雅黑"/>
      <w:color w:val="000000"/>
      <w:kern w:val="2"/>
      <w:sz w:val="44"/>
      <w:szCs w:val="22"/>
      <w:lang w:val="en-US" w:eastAsia="zh-CN" w:bidi="ar-SA"/>
    </w:rPr>
  </w:style>
  <w:style w:type="paragraph" w:styleId="3">
    <w:name w:val="heading 2"/>
    <w:next w:val="1"/>
    <w:link w:val="6"/>
    <w:unhideWhenUsed/>
    <w:qFormat/>
    <w:uiPriority w:val="9"/>
    <w:pPr>
      <w:keepNext/>
      <w:keepLines/>
      <w:spacing w:line="259" w:lineRule="auto"/>
      <w:ind w:left="40" w:hanging="10"/>
      <w:jc w:val="center"/>
      <w:outlineLvl w:val="1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2 字符"/>
    <w:link w:val="3"/>
    <w:qFormat/>
    <w:uiPriority w:val="0"/>
    <w:rPr>
      <w:rFonts w:ascii="微软雅黑" w:hAnsi="微软雅黑" w:eastAsia="微软雅黑" w:cs="微软雅黑"/>
      <w:color w:val="000000"/>
      <w:sz w:val="30"/>
    </w:rPr>
  </w:style>
  <w:style w:type="character" w:customStyle="1" w:styleId="7">
    <w:name w:val="标题 1 字符"/>
    <w:link w:val="2"/>
    <w:qFormat/>
    <w:uiPriority w:val="0"/>
    <w:rPr>
      <w:rFonts w:ascii="微软雅黑" w:hAnsi="微软雅黑" w:eastAsia="微软雅黑" w:cs="微软雅黑"/>
      <w:color w:val="000000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155</Words>
  <Characters>884</Characters>
  <Lines>7</Lines>
  <Paragraphs>2</Paragraphs>
  <TotalTime>8</TotalTime>
  <ScaleCrop>false</ScaleCrop>
  <LinksUpToDate>false</LinksUpToDate>
  <CharactersWithSpaces>1037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2021-09-23T04:42:00Z</dcterms:created>
  <dc:creator>王靓婷</dc:creator>
  <cp:lastModifiedBy>张哲</cp:lastModifiedBy>
  <dcterms:modified xsi:type="dcterms:W3CDTF">2021-09-29T03:07:25Z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  <property fmtid="{D5CDD505-2E9C-101B-9397-08002B2CF9AE}" pid="3" name="ICV">
    <vt:lpwstr>7962D66025124C89A086E1410E8E9396</vt:lpwstr>
  </property>
</Properties>
</file>