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atLeast"/>
        <w:rPr>
          <w:color w:val="000000"/>
          <w:kern w:val="0"/>
          <w:sz w:val="30"/>
          <w:szCs w:val="30"/>
        </w:rPr>
      </w:pPr>
      <w:r>
        <w:rPr>
          <w:color w:val="000000"/>
          <w:kern w:val="0"/>
          <w:sz w:val="30"/>
          <w:szCs w:val="30"/>
        </w:rPr>
        <w:t xml:space="preserve">GF-2008-2601                    </w:t>
      </w:r>
    </w:p>
    <w:p>
      <w:pPr>
        <w:widowControl/>
        <w:spacing w:line="500" w:lineRule="atLeast"/>
        <w:rPr>
          <w:b/>
          <w:bCs/>
          <w:color w:val="000000"/>
          <w:kern w:val="0"/>
          <w:sz w:val="36"/>
          <w:szCs w:val="36"/>
          <w:u w:val="single"/>
        </w:rPr>
      </w:pPr>
      <w:r>
        <w:rPr>
          <w:color w:val="000000"/>
          <w:kern w:val="0"/>
          <w:sz w:val="30"/>
          <w:szCs w:val="30"/>
        </w:rPr>
        <w:t>合同编号：京</w:t>
      </w:r>
      <w:r>
        <w:rPr>
          <w:kern w:val="0"/>
          <w:sz w:val="30"/>
          <w:szCs w:val="30"/>
        </w:rPr>
        <w:t>技</w:t>
      </w:r>
      <w:r>
        <w:rPr>
          <w:rFonts w:hint="eastAsia"/>
          <w:kern w:val="0"/>
          <w:sz w:val="30"/>
          <w:szCs w:val="30"/>
        </w:rPr>
        <w:t>开</w:t>
      </w:r>
      <w:r>
        <w:rPr>
          <w:rFonts w:hint="eastAsia"/>
          <w:kern w:val="0"/>
          <w:sz w:val="30"/>
          <w:szCs w:val="30"/>
          <w:lang w:val="en-US" w:eastAsia="zh-CN"/>
        </w:rPr>
        <w:t>建</w:t>
      </w:r>
      <w:r>
        <w:rPr>
          <w:kern w:val="0"/>
          <w:sz w:val="30"/>
          <w:szCs w:val="30"/>
          <w:lang w:val="en-US" w:eastAsia="zh-CN"/>
        </w:rPr>
        <w:t>出〔合〕字（</w:t>
      </w:r>
      <w:r>
        <w:rPr>
          <w:kern w:val="0"/>
          <w:sz w:val="30"/>
          <w:szCs w:val="30"/>
        </w:rPr>
        <w:t>2</w:t>
      </w:r>
      <w:r>
        <w:rPr>
          <w:color w:val="000000"/>
          <w:kern w:val="0"/>
          <w:sz w:val="30"/>
          <w:szCs w:val="30"/>
        </w:rPr>
        <w:t>0</w:t>
      </w:r>
      <w:r>
        <w:rPr>
          <w:rFonts w:hint="eastAsia"/>
          <w:color w:val="000000"/>
          <w:kern w:val="0"/>
          <w:sz w:val="30"/>
          <w:szCs w:val="30"/>
        </w:rPr>
        <w:t>21</w:t>
      </w:r>
      <w:r>
        <w:rPr>
          <w:color w:val="000000"/>
          <w:kern w:val="0"/>
          <w:sz w:val="30"/>
          <w:szCs w:val="30"/>
        </w:rPr>
        <w:t>）第</w:t>
      </w:r>
      <w:r>
        <w:rPr>
          <w:rFonts w:hint="eastAsia"/>
          <w:color w:val="000000"/>
          <w:kern w:val="0"/>
          <w:sz w:val="30"/>
          <w:szCs w:val="30"/>
          <w:lang w:val="en-US" w:eastAsia="zh-CN"/>
        </w:rPr>
        <w:t xml:space="preserve"> </w:t>
      </w:r>
      <w:r>
        <w:rPr>
          <w:rFonts w:hint="eastAsia"/>
          <w:color w:val="000000"/>
          <w:kern w:val="0"/>
          <w:sz w:val="30"/>
          <w:szCs w:val="30"/>
          <w:highlight w:val="none"/>
          <w:lang w:val="en-US" w:eastAsia="zh-CN"/>
        </w:rPr>
        <w:t xml:space="preserve"> </w:t>
      </w:r>
      <w:r>
        <w:rPr>
          <w:color w:val="000000"/>
          <w:kern w:val="0"/>
          <w:sz w:val="30"/>
          <w:szCs w:val="30"/>
        </w:rPr>
        <w:t>号</w:t>
      </w:r>
    </w:p>
    <w:p>
      <w:pPr>
        <w:widowControl/>
        <w:spacing w:line="500" w:lineRule="atLeast"/>
        <w:jc w:val="center"/>
        <w:rPr>
          <w:b/>
          <w:bCs/>
          <w:color w:val="000000"/>
          <w:kern w:val="0"/>
          <w:sz w:val="36"/>
          <w:szCs w:val="36"/>
        </w:rPr>
      </w:pPr>
    </w:p>
    <w:p>
      <w:pPr>
        <w:widowControl/>
        <w:spacing w:line="500" w:lineRule="atLeast"/>
        <w:jc w:val="center"/>
        <w:rPr>
          <w:b/>
          <w:bCs/>
          <w:color w:val="000000"/>
          <w:kern w:val="0"/>
          <w:sz w:val="36"/>
          <w:szCs w:val="36"/>
        </w:rPr>
      </w:pPr>
    </w:p>
    <w:p>
      <w:pPr>
        <w:widowControl/>
        <w:spacing w:line="500" w:lineRule="atLeast"/>
        <w:jc w:val="center"/>
        <w:rPr>
          <w:b/>
          <w:bCs/>
          <w:color w:val="000000"/>
          <w:kern w:val="0"/>
          <w:sz w:val="36"/>
          <w:szCs w:val="36"/>
        </w:rPr>
      </w:pPr>
    </w:p>
    <w:p>
      <w:pPr>
        <w:widowControl/>
        <w:spacing w:line="500" w:lineRule="atLeast"/>
        <w:jc w:val="center"/>
        <w:rPr>
          <w:b/>
          <w:bCs/>
          <w:color w:val="000000"/>
          <w:kern w:val="0"/>
          <w:sz w:val="36"/>
          <w:szCs w:val="36"/>
        </w:rPr>
      </w:pPr>
    </w:p>
    <w:p>
      <w:pPr>
        <w:pStyle w:val="3"/>
        <w:rPr>
          <w:bCs w:val="0"/>
          <w:color w:val="000000"/>
          <w:kern w:val="0"/>
        </w:rPr>
      </w:pPr>
      <w:bookmarkStart w:id="0" w:name="_Toc202778737"/>
      <w:bookmarkStart w:id="1" w:name="_Toc203308256"/>
      <w:bookmarkStart w:id="2" w:name="_Toc203386419"/>
      <w:r>
        <w:rPr>
          <w:bCs w:val="0"/>
          <w:color w:val="000000"/>
          <w:kern w:val="0"/>
        </w:rPr>
        <w:t>国有建设用地使用权出让合同</w:t>
      </w:r>
      <w:bookmarkEnd w:id="0"/>
      <w:bookmarkEnd w:id="1"/>
      <w:bookmarkEnd w:id="2"/>
    </w:p>
    <w:p>
      <w:pPr>
        <w:rPr>
          <w:bCs w:val="0"/>
          <w:color w:val="000000"/>
          <w:kern w:val="0"/>
        </w:rPr>
      </w:pPr>
    </w:p>
    <w:p>
      <w:pPr>
        <w:rPr>
          <w:bCs w:val="0"/>
          <w:color w:val="000000"/>
          <w:kern w:val="0"/>
        </w:rPr>
      </w:pPr>
    </w:p>
    <w:p>
      <w:pPr>
        <w:rPr>
          <w:bCs w:val="0"/>
          <w:color w:val="000000"/>
          <w:kern w:val="0"/>
        </w:rPr>
      </w:pPr>
    </w:p>
    <w:p>
      <w:pPr>
        <w:widowControl/>
        <w:spacing w:line="500" w:lineRule="atLeast"/>
        <w:jc w:val="center"/>
        <w:rPr>
          <w:color w:val="000000"/>
          <w:kern w:val="0"/>
          <w:sz w:val="30"/>
          <w:szCs w:val="30"/>
        </w:rPr>
      </w:pPr>
      <w:r>
        <w:rPr>
          <w:color w:val="000000"/>
          <w:kern w:val="0"/>
          <w:sz w:val="30"/>
          <w:szCs w:val="30"/>
        </w:rPr>
        <w:t> </w:t>
      </w:r>
    </w:p>
    <w:p>
      <w:pPr>
        <w:widowControl/>
        <w:spacing w:line="500" w:lineRule="atLeast"/>
        <w:jc w:val="center"/>
        <w:rPr>
          <w:color w:val="000000"/>
          <w:kern w:val="0"/>
          <w:sz w:val="30"/>
          <w:szCs w:val="30"/>
        </w:rPr>
      </w:pPr>
      <w:r>
        <w:rPr>
          <w:color w:val="000000"/>
          <w:kern w:val="0"/>
          <w:sz w:val="30"/>
          <w:szCs w:val="30"/>
        </w:rPr>
        <w:t> </w:t>
      </w:r>
    </w:p>
    <w:p>
      <w:pPr>
        <w:widowControl/>
        <w:spacing w:line="500" w:lineRule="atLeast"/>
        <w:jc w:val="center"/>
        <w:rPr>
          <w:color w:val="000000"/>
          <w:kern w:val="0"/>
          <w:sz w:val="30"/>
          <w:szCs w:val="30"/>
        </w:rPr>
      </w:pPr>
      <w:r>
        <w:rPr>
          <w:color w:val="000000"/>
          <w:kern w:val="0"/>
          <w:sz w:val="30"/>
          <w:szCs w:val="30"/>
        </w:rPr>
        <w:t xml:space="preserve"> </w:t>
      </w:r>
    </w:p>
    <w:p>
      <w:pPr>
        <w:widowControl/>
        <w:spacing w:line="500" w:lineRule="atLeast"/>
        <w:jc w:val="center"/>
        <w:rPr>
          <w:color w:val="000000"/>
          <w:kern w:val="0"/>
          <w:sz w:val="30"/>
          <w:szCs w:val="30"/>
        </w:rPr>
      </w:pPr>
      <w:r>
        <w:rPr>
          <w:color w:val="000000"/>
          <w:kern w:val="0"/>
          <w:sz w:val="30"/>
          <w:szCs w:val="30"/>
        </w:rPr>
        <w:t> </w:t>
      </w:r>
    </w:p>
    <w:p>
      <w:pPr>
        <w:widowControl/>
        <w:spacing w:line="500" w:lineRule="atLeast"/>
        <w:jc w:val="center"/>
        <w:rPr>
          <w:color w:val="000000"/>
          <w:kern w:val="0"/>
          <w:sz w:val="30"/>
          <w:szCs w:val="30"/>
        </w:rPr>
      </w:pPr>
      <w:r>
        <w:rPr>
          <w:color w:val="000000"/>
          <w:kern w:val="0"/>
          <w:sz w:val="30"/>
          <w:szCs w:val="30"/>
        </w:rPr>
        <w:t>  </w:t>
      </w:r>
    </w:p>
    <w:p>
      <w:pPr>
        <w:widowControl/>
        <w:spacing w:line="500" w:lineRule="atLeast"/>
        <w:jc w:val="left"/>
        <w:rPr>
          <w:vanish/>
          <w:color w:val="000000"/>
          <w:kern w:val="0"/>
          <w:sz w:val="30"/>
          <w:szCs w:val="30"/>
        </w:rPr>
      </w:pPr>
    </w:p>
    <w:p>
      <w:pPr>
        <w:widowControl/>
        <w:spacing w:line="500" w:lineRule="atLeast"/>
        <w:rPr>
          <w:color w:val="000000"/>
          <w:kern w:val="0"/>
          <w:sz w:val="30"/>
          <w:szCs w:val="30"/>
        </w:rPr>
      </w:pPr>
    </w:p>
    <w:p>
      <w:pPr>
        <w:widowControl/>
        <w:spacing w:line="500" w:lineRule="atLeast"/>
        <w:jc w:val="center"/>
        <w:rPr>
          <w:color w:val="000000"/>
          <w:kern w:val="0"/>
          <w:sz w:val="30"/>
          <w:szCs w:val="30"/>
        </w:rPr>
      </w:pPr>
      <w:r>
        <w:rPr>
          <w:color w:val="000000"/>
          <w:kern w:val="0"/>
          <w:sz w:val="30"/>
          <w:szCs w:val="30"/>
        </w:rPr>
        <w:t>                                                                                                 </w:t>
      </w:r>
    </w:p>
    <w:p>
      <w:pPr>
        <w:widowControl/>
        <w:spacing w:line="500" w:lineRule="atLeast"/>
        <w:jc w:val="center"/>
        <w:rPr>
          <w:color w:val="000000"/>
          <w:kern w:val="0"/>
          <w:sz w:val="30"/>
          <w:szCs w:val="30"/>
          <w:highlight w:val="none"/>
        </w:rPr>
      </w:pPr>
    </w:p>
    <w:p>
      <w:pPr>
        <w:ind w:firstLine="640" w:firstLineChars="200"/>
        <w:rPr>
          <w:kern w:val="0"/>
          <w:sz w:val="32"/>
          <w:szCs w:val="32"/>
        </w:rPr>
      </w:pPr>
      <w:r>
        <w:rPr>
          <w:kern w:val="0"/>
          <w:sz w:val="32"/>
          <w:szCs w:val="32"/>
        </w:rPr>
        <w:t>出让人：</w:t>
      </w:r>
      <w:r>
        <w:rPr>
          <w:rFonts w:hint="eastAsia"/>
          <w:spacing w:val="36"/>
          <w:kern w:val="0"/>
          <w:sz w:val="32"/>
          <w:szCs w:val="32"/>
          <w:fitText w:val="5440" w:id="0"/>
        </w:rPr>
        <w:t>北京经济技术开发区开发建设</w:t>
      </w:r>
      <w:r>
        <w:rPr>
          <w:rFonts w:hint="eastAsia"/>
          <w:spacing w:val="12"/>
          <w:kern w:val="0"/>
          <w:sz w:val="32"/>
          <w:szCs w:val="32"/>
          <w:fitText w:val="5440" w:id="0"/>
        </w:rPr>
        <w:t>局</w:t>
      </w:r>
    </w:p>
    <w:p>
      <w:pPr>
        <w:ind w:firstLine="640" w:firstLineChars="200"/>
        <w:rPr>
          <w:rFonts w:hint="eastAsia"/>
          <w:kern w:val="0"/>
          <w:sz w:val="32"/>
          <w:szCs w:val="32"/>
        </w:rPr>
        <w:sectPr>
          <w:footerReference r:id="rId3" w:type="default"/>
          <w:pgSz w:w="11906" w:h="16838"/>
          <w:pgMar w:top="1440" w:right="1701" w:bottom="1440" w:left="1701" w:header="851" w:footer="992" w:gutter="0"/>
          <w:pgNumType w:start="1"/>
          <w:cols w:space="425" w:num="1"/>
          <w:titlePg/>
          <w:docGrid w:type="lines" w:linePitch="312" w:charSpace="0"/>
        </w:sectPr>
      </w:pPr>
      <w:r>
        <w:rPr>
          <w:kern w:val="0"/>
          <w:sz w:val="32"/>
          <w:szCs w:val="32"/>
        </w:rPr>
        <w:t>受让人：</w:t>
      </w:r>
    </w:p>
    <w:p>
      <w:pPr>
        <w:rPr>
          <w:rFonts w:hint="eastAsia"/>
          <w:kern w:val="0"/>
          <w:sz w:val="32"/>
          <w:szCs w:val="32"/>
        </w:rPr>
        <w:sectPr>
          <w:pgSz w:w="11906" w:h="16838"/>
          <w:pgMar w:top="1440" w:right="1701" w:bottom="1440" w:left="1701" w:header="851" w:footer="992" w:gutter="0"/>
          <w:pgNumType w:start="1"/>
          <w:cols w:space="425" w:num="1"/>
          <w:titlePg/>
          <w:docGrid w:type="lines" w:linePitch="312" w:charSpace="0"/>
        </w:sectPr>
      </w:pPr>
    </w:p>
    <w:p>
      <w:pPr>
        <w:widowControl/>
        <w:snapToGrid w:val="0"/>
        <w:spacing w:line="360" w:lineRule="auto"/>
        <w:jc w:val="center"/>
        <w:rPr>
          <w:b/>
          <w:color w:val="000000"/>
          <w:kern w:val="0"/>
          <w:sz w:val="36"/>
          <w:szCs w:val="36"/>
        </w:rPr>
      </w:pPr>
      <w:r>
        <w:rPr>
          <w:b/>
          <w:color w:val="000000"/>
          <w:kern w:val="0"/>
          <w:sz w:val="36"/>
          <w:szCs w:val="36"/>
        </w:rPr>
        <w:t>国有建设用地使用权出让合同</w:t>
      </w:r>
    </w:p>
    <w:p>
      <w:pPr>
        <w:widowControl/>
        <w:snapToGrid w:val="0"/>
        <w:spacing w:line="360" w:lineRule="auto"/>
        <w:jc w:val="center"/>
        <w:rPr>
          <w:color w:val="000000"/>
          <w:kern w:val="0"/>
          <w:sz w:val="30"/>
          <w:szCs w:val="30"/>
        </w:rPr>
      </w:pPr>
      <w:r>
        <w:rPr>
          <w:color w:val="000000"/>
          <w:kern w:val="0"/>
          <w:sz w:val="30"/>
          <w:szCs w:val="30"/>
        </w:rPr>
        <w:t> </w:t>
      </w:r>
    </w:p>
    <w:p>
      <w:pPr>
        <w:widowControl/>
        <w:snapToGrid w:val="0"/>
        <w:spacing w:line="360" w:lineRule="auto"/>
        <w:rPr>
          <w:color w:val="000000"/>
          <w:kern w:val="0"/>
          <w:sz w:val="28"/>
          <w:szCs w:val="28"/>
        </w:rPr>
      </w:pPr>
      <w:r>
        <w:rPr>
          <w:color w:val="000000"/>
          <w:kern w:val="0"/>
          <w:sz w:val="28"/>
          <w:szCs w:val="28"/>
        </w:rPr>
        <w:t>本合同双方当事人：</w:t>
      </w:r>
    </w:p>
    <w:p>
      <w:pPr>
        <w:widowControl/>
        <w:snapToGrid w:val="0"/>
        <w:spacing w:line="360" w:lineRule="auto"/>
        <w:rPr>
          <w:color w:val="000000"/>
          <w:kern w:val="0"/>
          <w:sz w:val="28"/>
          <w:szCs w:val="28"/>
        </w:rPr>
      </w:pPr>
      <w:r>
        <w:rPr>
          <w:color w:val="000000"/>
          <w:kern w:val="0"/>
          <w:sz w:val="28"/>
          <w:szCs w:val="28"/>
        </w:rPr>
        <w:t>出让人：</w:t>
      </w:r>
      <w:r>
        <w:rPr>
          <w:rFonts w:hint="eastAsia"/>
          <w:color w:val="000000"/>
          <w:kern w:val="0"/>
          <w:sz w:val="28"/>
          <w:szCs w:val="28"/>
        </w:rPr>
        <w:t>北京经济技术开发区开发建设局</w:t>
      </w:r>
      <w:r>
        <w:rPr>
          <w:color w:val="000000"/>
          <w:kern w:val="0"/>
          <w:sz w:val="28"/>
          <w:szCs w:val="28"/>
        </w:rPr>
        <w:t>；</w:t>
      </w:r>
    </w:p>
    <w:p>
      <w:pPr>
        <w:widowControl/>
        <w:snapToGrid w:val="0"/>
        <w:spacing w:line="360" w:lineRule="auto"/>
        <w:rPr>
          <w:color w:val="000000"/>
          <w:kern w:val="0"/>
          <w:sz w:val="28"/>
          <w:szCs w:val="28"/>
        </w:rPr>
      </w:pPr>
      <w:r>
        <w:rPr>
          <w:color w:val="000000"/>
          <w:kern w:val="0"/>
          <w:sz w:val="28"/>
          <w:szCs w:val="28"/>
        </w:rPr>
        <w:t xml:space="preserve">通讯地址：北京经济技术开发区荣华中路15号朝林大厦； </w:t>
      </w:r>
    </w:p>
    <w:p>
      <w:pPr>
        <w:widowControl/>
        <w:snapToGrid w:val="0"/>
        <w:spacing w:line="360" w:lineRule="auto"/>
        <w:rPr>
          <w:color w:val="000000"/>
          <w:kern w:val="0"/>
          <w:sz w:val="28"/>
          <w:szCs w:val="28"/>
        </w:rPr>
      </w:pPr>
      <w:r>
        <w:rPr>
          <w:color w:val="000000"/>
          <w:kern w:val="0"/>
          <w:sz w:val="28"/>
          <w:szCs w:val="28"/>
        </w:rPr>
        <w:t>邮政编码：100176；</w:t>
      </w:r>
    </w:p>
    <w:p>
      <w:pPr>
        <w:widowControl/>
        <w:snapToGrid w:val="0"/>
        <w:spacing w:line="360" w:lineRule="auto"/>
        <w:rPr>
          <w:color w:val="000000"/>
          <w:kern w:val="0"/>
          <w:sz w:val="28"/>
          <w:szCs w:val="28"/>
        </w:rPr>
      </w:pPr>
      <w:r>
        <w:rPr>
          <w:color w:val="000000"/>
          <w:kern w:val="0"/>
          <w:sz w:val="28"/>
          <w:szCs w:val="28"/>
        </w:rPr>
        <w:t>电话：010-67880187；</w:t>
      </w:r>
    </w:p>
    <w:p>
      <w:pPr>
        <w:widowControl/>
        <w:snapToGrid w:val="0"/>
        <w:spacing w:line="360" w:lineRule="auto"/>
        <w:rPr>
          <w:color w:val="000000"/>
          <w:kern w:val="0"/>
          <w:sz w:val="28"/>
          <w:szCs w:val="28"/>
        </w:rPr>
      </w:pPr>
      <w:r>
        <w:rPr>
          <w:color w:val="000000"/>
          <w:kern w:val="0"/>
          <w:sz w:val="28"/>
          <w:szCs w:val="28"/>
        </w:rPr>
        <w:t>传真：010-67880187。</w:t>
      </w:r>
    </w:p>
    <w:p>
      <w:pPr>
        <w:widowControl/>
        <w:snapToGrid w:val="0"/>
        <w:spacing w:line="360" w:lineRule="auto"/>
        <w:rPr>
          <w:color w:val="000000"/>
          <w:kern w:val="0"/>
          <w:sz w:val="28"/>
          <w:szCs w:val="28"/>
        </w:rPr>
      </w:pPr>
    </w:p>
    <w:p>
      <w:pPr>
        <w:widowControl/>
        <w:snapToGrid w:val="0"/>
        <w:spacing w:line="360" w:lineRule="auto"/>
        <w:rPr>
          <w:color w:val="000000"/>
          <w:kern w:val="0"/>
          <w:sz w:val="28"/>
          <w:szCs w:val="28"/>
        </w:rPr>
      </w:pPr>
      <w:r>
        <w:rPr>
          <w:color w:val="000000"/>
          <w:kern w:val="0"/>
          <w:sz w:val="28"/>
          <w:szCs w:val="28"/>
        </w:rPr>
        <w:t>受让人：</w:t>
      </w:r>
      <w:r>
        <w:rPr>
          <w:rFonts w:hint="eastAsia"/>
          <w:color w:val="000000"/>
          <w:kern w:val="0"/>
          <w:sz w:val="28"/>
          <w:szCs w:val="28"/>
          <w:lang w:val="en-US" w:eastAsia="zh-CN"/>
        </w:rPr>
        <w:t xml:space="preserve">                                 </w:t>
      </w:r>
      <w:r>
        <w:rPr>
          <w:color w:val="000000"/>
          <w:kern w:val="0"/>
          <w:sz w:val="28"/>
          <w:szCs w:val="28"/>
        </w:rPr>
        <w:t>；</w:t>
      </w:r>
    </w:p>
    <w:p>
      <w:pPr>
        <w:widowControl/>
        <w:snapToGrid w:val="0"/>
        <w:spacing w:line="360" w:lineRule="auto"/>
        <w:rPr>
          <w:rFonts w:hint="eastAsia"/>
          <w:color w:val="000000"/>
          <w:kern w:val="0"/>
          <w:sz w:val="28"/>
          <w:szCs w:val="28"/>
        </w:rPr>
      </w:pPr>
      <w:r>
        <w:rPr>
          <w:rFonts w:hint="eastAsia"/>
          <w:color w:val="000000"/>
          <w:kern w:val="0"/>
          <w:sz w:val="28"/>
          <w:szCs w:val="28"/>
        </w:rPr>
        <w:t>通讯地址：</w:t>
      </w:r>
      <w:r>
        <w:rPr>
          <w:rFonts w:hint="eastAsia"/>
          <w:color w:val="000000"/>
          <w:kern w:val="0"/>
          <w:sz w:val="28"/>
          <w:szCs w:val="28"/>
          <w:lang w:val="en-US" w:eastAsia="zh-CN"/>
        </w:rPr>
        <w:t xml:space="preserve">                               </w:t>
      </w:r>
      <w:r>
        <w:rPr>
          <w:rFonts w:hint="eastAsia"/>
          <w:color w:val="000000"/>
          <w:kern w:val="0"/>
          <w:sz w:val="28"/>
          <w:szCs w:val="28"/>
        </w:rPr>
        <w:t>；</w:t>
      </w:r>
    </w:p>
    <w:p>
      <w:pPr>
        <w:widowControl/>
        <w:snapToGrid w:val="0"/>
        <w:spacing w:line="360" w:lineRule="auto"/>
        <w:rPr>
          <w:rFonts w:hint="eastAsia"/>
          <w:color w:val="000000"/>
          <w:kern w:val="0"/>
          <w:sz w:val="28"/>
          <w:szCs w:val="28"/>
        </w:rPr>
      </w:pPr>
      <w:r>
        <w:rPr>
          <w:rFonts w:hint="eastAsia"/>
          <w:color w:val="000000"/>
          <w:kern w:val="0"/>
          <w:sz w:val="28"/>
          <w:szCs w:val="28"/>
        </w:rPr>
        <w:t>邮政编码：</w:t>
      </w:r>
      <w:r>
        <w:rPr>
          <w:rFonts w:hint="eastAsia"/>
          <w:color w:val="000000"/>
          <w:kern w:val="0"/>
          <w:sz w:val="28"/>
          <w:szCs w:val="28"/>
          <w:lang w:val="en-US" w:eastAsia="zh-CN"/>
        </w:rPr>
        <w:t xml:space="preserve">                               </w:t>
      </w:r>
      <w:r>
        <w:rPr>
          <w:rFonts w:hint="eastAsia"/>
          <w:color w:val="000000"/>
          <w:kern w:val="0"/>
          <w:sz w:val="28"/>
          <w:szCs w:val="28"/>
        </w:rPr>
        <w:t>；</w:t>
      </w:r>
    </w:p>
    <w:p>
      <w:pPr>
        <w:widowControl/>
        <w:snapToGrid w:val="0"/>
        <w:spacing w:line="360" w:lineRule="auto"/>
        <w:rPr>
          <w:rFonts w:hint="eastAsia"/>
          <w:color w:val="000000"/>
          <w:kern w:val="0"/>
          <w:sz w:val="28"/>
          <w:szCs w:val="28"/>
        </w:rPr>
      </w:pPr>
      <w:r>
        <w:rPr>
          <w:rFonts w:hint="eastAsia"/>
          <w:color w:val="000000"/>
          <w:kern w:val="0"/>
          <w:sz w:val="28"/>
          <w:szCs w:val="28"/>
        </w:rPr>
        <w:t>电话：</w:t>
      </w:r>
      <w:r>
        <w:rPr>
          <w:rFonts w:hint="eastAsia"/>
          <w:color w:val="000000"/>
          <w:kern w:val="0"/>
          <w:sz w:val="28"/>
          <w:szCs w:val="28"/>
          <w:lang w:val="en-US" w:eastAsia="zh-CN"/>
        </w:rPr>
        <w:t xml:space="preserve">                                   </w:t>
      </w:r>
      <w:r>
        <w:rPr>
          <w:rFonts w:hint="eastAsia"/>
          <w:color w:val="000000"/>
          <w:kern w:val="0"/>
          <w:sz w:val="28"/>
          <w:szCs w:val="28"/>
        </w:rPr>
        <w:t>；</w:t>
      </w:r>
    </w:p>
    <w:p>
      <w:pPr>
        <w:widowControl/>
        <w:snapToGrid w:val="0"/>
        <w:spacing w:line="360" w:lineRule="auto"/>
        <w:rPr>
          <w:color w:val="000000"/>
          <w:kern w:val="0"/>
          <w:sz w:val="28"/>
          <w:szCs w:val="28"/>
        </w:rPr>
      </w:pPr>
      <w:r>
        <w:rPr>
          <w:color w:val="000000"/>
          <w:kern w:val="0"/>
          <w:sz w:val="28"/>
          <w:szCs w:val="28"/>
        </w:rPr>
        <w:t>开户银行：</w:t>
      </w:r>
      <w:r>
        <w:rPr>
          <w:rFonts w:hint="eastAsia"/>
          <w:color w:val="000000"/>
          <w:kern w:val="0"/>
          <w:sz w:val="28"/>
          <w:szCs w:val="28"/>
          <w:lang w:val="en-US" w:eastAsia="zh-CN"/>
        </w:rPr>
        <w:t xml:space="preserve">                               </w:t>
      </w:r>
      <w:r>
        <w:rPr>
          <w:color w:val="000000"/>
          <w:kern w:val="0"/>
          <w:sz w:val="28"/>
          <w:szCs w:val="28"/>
        </w:rPr>
        <w:t>；</w:t>
      </w:r>
    </w:p>
    <w:p>
      <w:pPr>
        <w:widowControl/>
        <w:snapToGrid w:val="0"/>
        <w:spacing w:line="360" w:lineRule="auto"/>
        <w:rPr>
          <w:color w:val="000000"/>
          <w:kern w:val="0"/>
          <w:sz w:val="28"/>
          <w:szCs w:val="28"/>
        </w:rPr>
      </w:pPr>
      <w:r>
        <w:rPr>
          <w:color w:val="000000"/>
          <w:kern w:val="0"/>
          <w:sz w:val="28"/>
          <w:szCs w:val="28"/>
        </w:rPr>
        <w:t>账号：</w:t>
      </w:r>
      <w:r>
        <w:rPr>
          <w:rFonts w:hint="eastAsia"/>
          <w:color w:val="000000"/>
          <w:kern w:val="0"/>
          <w:sz w:val="28"/>
          <w:szCs w:val="28"/>
          <w:lang w:val="en-US" w:eastAsia="zh-CN"/>
        </w:rPr>
        <w:t xml:space="preserve">                                   </w:t>
      </w:r>
      <w:r>
        <w:rPr>
          <w:color w:val="000000"/>
          <w:kern w:val="0"/>
          <w:sz w:val="28"/>
          <w:szCs w:val="28"/>
        </w:rPr>
        <w:t>；</w:t>
      </w:r>
    </w:p>
    <w:p>
      <w:pPr>
        <w:widowControl/>
        <w:snapToGrid w:val="0"/>
        <w:spacing w:line="360" w:lineRule="auto"/>
        <w:rPr>
          <w:color w:val="000000"/>
          <w:kern w:val="0"/>
          <w:sz w:val="28"/>
          <w:szCs w:val="28"/>
        </w:rPr>
      </w:pPr>
    </w:p>
    <w:p>
      <w:pPr>
        <w:widowControl/>
        <w:snapToGrid w:val="0"/>
        <w:spacing w:line="360" w:lineRule="auto"/>
        <w:rPr>
          <w:color w:val="000000"/>
          <w:kern w:val="0"/>
          <w:sz w:val="28"/>
          <w:szCs w:val="28"/>
        </w:rPr>
      </w:pPr>
      <w:r>
        <w:rPr>
          <w:color w:val="000000"/>
          <w:kern w:val="0"/>
          <w:sz w:val="28"/>
          <w:szCs w:val="28"/>
        </w:rPr>
        <w:t>受让人：</w:t>
      </w:r>
      <w:r>
        <w:rPr>
          <w:rFonts w:hint="eastAsia"/>
          <w:color w:val="000000"/>
          <w:kern w:val="0"/>
          <w:sz w:val="28"/>
          <w:szCs w:val="28"/>
          <w:lang w:val="en-US" w:eastAsia="zh-CN"/>
        </w:rPr>
        <w:t xml:space="preserve">                                 </w:t>
      </w:r>
      <w:r>
        <w:rPr>
          <w:color w:val="000000"/>
          <w:kern w:val="0"/>
          <w:sz w:val="28"/>
          <w:szCs w:val="28"/>
        </w:rPr>
        <w:t>；</w:t>
      </w:r>
    </w:p>
    <w:p>
      <w:pPr>
        <w:widowControl/>
        <w:snapToGrid w:val="0"/>
        <w:spacing w:line="360" w:lineRule="auto"/>
        <w:rPr>
          <w:color w:val="000000"/>
          <w:kern w:val="0"/>
          <w:sz w:val="28"/>
          <w:szCs w:val="28"/>
        </w:rPr>
      </w:pPr>
      <w:r>
        <w:rPr>
          <w:color w:val="000000"/>
          <w:kern w:val="0"/>
          <w:sz w:val="28"/>
          <w:szCs w:val="28"/>
        </w:rPr>
        <w:t>通讯地址：</w:t>
      </w:r>
      <w:r>
        <w:rPr>
          <w:rFonts w:hint="eastAsia"/>
          <w:color w:val="000000"/>
          <w:kern w:val="0"/>
          <w:sz w:val="28"/>
          <w:szCs w:val="28"/>
          <w:lang w:val="en-US" w:eastAsia="zh-CN"/>
        </w:rPr>
        <w:t xml:space="preserve">                               </w:t>
      </w:r>
      <w:r>
        <w:rPr>
          <w:color w:val="000000"/>
          <w:kern w:val="0"/>
          <w:sz w:val="28"/>
          <w:szCs w:val="28"/>
        </w:rPr>
        <w:t>；</w:t>
      </w:r>
    </w:p>
    <w:p>
      <w:pPr>
        <w:widowControl/>
        <w:snapToGrid w:val="0"/>
        <w:spacing w:line="360" w:lineRule="auto"/>
        <w:rPr>
          <w:color w:val="000000"/>
          <w:kern w:val="0"/>
          <w:sz w:val="28"/>
          <w:szCs w:val="28"/>
        </w:rPr>
      </w:pPr>
      <w:r>
        <w:rPr>
          <w:color w:val="000000"/>
          <w:kern w:val="0"/>
          <w:sz w:val="28"/>
          <w:szCs w:val="28"/>
        </w:rPr>
        <w:t>邮政编码：</w:t>
      </w:r>
      <w:r>
        <w:rPr>
          <w:rFonts w:hint="eastAsia"/>
          <w:color w:val="000000"/>
          <w:kern w:val="0"/>
          <w:sz w:val="28"/>
          <w:szCs w:val="28"/>
          <w:lang w:val="en-US" w:eastAsia="zh-CN"/>
        </w:rPr>
        <w:t xml:space="preserve">                               </w:t>
      </w:r>
      <w:r>
        <w:rPr>
          <w:color w:val="000000"/>
          <w:kern w:val="0"/>
          <w:sz w:val="28"/>
          <w:szCs w:val="28"/>
        </w:rPr>
        <w:t>；</w:t>
      </w:r>
    </w:p>
    <w:p>
      <w:pPr>
        <w:widowControl/>
        <w:snapToGrid w:val="0"/>
        <w:spacing w:line="360" w:lineRule="auto"/>
        <w:rPr>
          <w:color w:val="000000"/>
          <w:kern w:val="0"/>
          <w:sz w:val="28"/>
          <w:szCs w:val="28"/>
        </w:rPr>
      </w:pPr>
      <w:r>
        <w:rPr>
          <w:color w:val="000000"/>
          <w:kern w:val="0"/>
          <w:sz w:val="28"/>
          <w:szCs w:val="28"/>
        </w:rPr>
        <w:t>电话：</w:t>
      </w:r>
      <w:r>
        <w:rPr>
          <w:rFonts w:hint="eastAsia"/>
          <w:color w:val="000000"/>
          <w:kern w:val="0"/>
          <w:sz w:val="28"/>
          <w:szCs w:val="28"/>
          <w:lang w:val="en-US" w:eastAsia="zh-CN"/>
        </w:rPr>
        <w:t xml:space="preserve">                                   </w:t>
      </w:r>
      <w:r>
        <w:rPr>
          <w:color w:val="000000"/>
          <w:kern w:val="0"/>
          <w:sz w:val="28"/>
          <w:szCs w:val="28"/>
        </w:rPr>
        <w:t>；</w:t>
      </w:r>
    </w:p>
    <w:p>
      <w:pPr>
        <w:widowControl/>
        <w:snapToGrid w:val="0"/>
        <w:spacing w:line="360" w:lineRule="auto"/>
        <w:rPr>
          <w:color w:val="000000"/>
          <w:kern w:val="0"/>
          <w:sz w:val="28"/>
          <w:szCs w:val="28"/>
        </w:rPr>
      </w:pPr>
      <w:r>
        <w:rPr>
          <w:color w:val="000000"/>
          <w:kern w:val="0"/>
          <w:sz w:val="28"/>
          <w:szCs w:val="28"/>
        </w:rPr>
        <w:t>开户银行：</w:t>
      </w:r>
      <w:r>
        <w:rPr>
          <w:rFonts w:hint="eastAsia"/>
          <w:color w:val="000000"/>
          <w:kern w:val="0"/>
          <w:sz w:val="28"/>
          <w:szCs w:val="28"/>
          <w:lang w:val="en-US" w:eastAsia="zh-CN"/>
        </w:rPr>
        <w:t xml:space="preserve">                               </w:t>
      </w:r>
      <w:r>
        <w:rPr>
          <w:color w:val="000000"/>
          <w:kern w:val="0"/>
          <w:sz w:val="28"/>
          <w:szCs w:val="28"/>
        </w:rPr>
        <w:t>；</w:t>
      </w:r>
    </w:p>
    <w:p>
      <w:pPr>
        <w:widowControl/>
        <w:snapToGrid w:val="0"/>
        <w:spacing w:line="360" w:lineRule="auto"/>
        <w:rPr>
          <w:color w:val="000000"/>
          <w:kern w:val="0"/>
          <w:sz w:val="28"/>
          <w:szCs w:val="28"/>
        </w:rPr>
      </w:pPr>
      <w:r>
        <w:rPr>
          <w:color w:val="000000"/>
          <w:kern w:val="0"/>
          <w:sz w:val="28"/>
          <w:szCs w:val="28"/>
        </w:rPr>
        <w:t>账号：</w:t>
      </w:r>
      <w:r>
        <w:rPr>
          <w:rFonts w:hint="eastAsia"/>
          <w:color w:val="000000"/>
          <w:kern w:val="0"/>
          <w:sz w:val="28"/>
          <w:szCs w:val="28"/>
          <w:lang w:val="en-US" w:eastAsia="zh-CN"/>
        </w:rPr>
        <w:t xml:space="preserve">                                   </w:t>
      </w:r>
      <w:r>
        <w:rPr>
          <w:rFonts w:hint="eastAsia"/>
          <w:color w:val="000000"/>
          <w:kern w:val="0"/>
          <w:sz w:val="28"/>
          <w:szCs w:val="28"/>
        </w:rPr>
        <w:t>。</w:t>
      </w:r>
    </w:p>
    <w:p>
      <w:pPr>
        <w:pStyle w:val="4"/>
        <w:snapToGrid w:val="0"/>
        <w:spacing w:line="360" w:lineRule="auto"/>
        <w:rPr>
          <w:rFonts w:ascii="Times New Roman" w:hAnsi="Times New Roman" w:eastAsia="宋体"/>
          <w:szCs w:val="24"/>
        </w:rPr>
      </w:pPr>
      <w:bookmarkStart w:id="3" w:name="_Toc203386420"/>
      <w:bookmarkStart w:id="4" w:name="_Toc203308257"/>
      <w:r>
        <w:rPr>
          <w:rFonts w:ascii="Times New Roman" w:hAnsi="Times New Roman" w:eastAsia="宋体"/>
          <w:szCs w:val="24"/>
        </w:rPr>
        <w:t>第一章  总   则</w:t>
      </w:r>
      <w:bookmarkEnd w:id="3"/>
      <w:bookmarkEnd w:id="4"/>
    </w:p>
    <w:p>
      <w:pPr>
        <w:widowControl/>
        <w:snapToGrid w:val="0"/>
        <w:spacing w:line="360" w:lineRule="auto"/>
        <w:ind w:firstLine="560" w:firstLineChars="200"/>
        <w:rPr>
          <w:sz w:val="28"/>
        </w:rPr>
      </w:pPr>
      <w:r>
        <w:rPr>
          <w:sz w:val="28"/>
        </w:rPr>
        <w:t>第一条　根据《中华人民共和国</w:t>
      </w:r>
      <w:r>
        <w:rPr>
          <w:rFonts w:hint="eastAsia"/>
          <w:sz w:val="28"/>
        </w:rPr>
        <w:t>民</w:t>
      </w:r>
      <w:r>
        <w:rPr>
          <w:sz w:val="28"/>
        </w:rPr>
        <w:t>法</w:t>
      </w:r>
      <w:r>
        <w:rPr>
          <w:rFonts w:hint="eastAsia"/>
          <w:sz w:val="28"/>
        </w:rPr>
        <w:t>典</w:t>
      </w:r>
      <w:r>
        <w:rPr>
          <w:sz w:val="28"/>
        </w:rPr>
        <w:t>》《中华人民共和国土地管理法》《中华人民共和国房地产管理法》等法律、有关行政法规及土地供应政策规定，双方本着平等、自愿、有偿、诚实信用的原则，订立本合同。</w:t>
      </w:r>
    </w:p>
    <w:p>
      <w:pPr>
        <w:snapToGrid w:val="0"/>
        <w:spacing w:line="360" w:lineRule="auto"/>
        <w:ind w:firstLine="560" w:firstLineChars="200"/>
        <w:rPr>
          <w:sz w:val="28"/>
        </w:rPr>
      </w:pPr>
      <w:r>
        <w:rPr>
          <w:sz w:val="28"/>
        </w:rPr>
        <w:t xml:space="preserve">第二条　出让土地的所有权属中华人民共和国，出让人根据法律的授权出让国有建设用地使用权，地下资源、埋藏物不属于国有建设用地使用权出让范围。   </w:t>
      </w:r>
    </w:p>
    <w:p>
      <w:pPr>
        <w:snapToGrid w:val="0"/>
        <w:spacing w:line="360" w:lineRule="auto"/>
        <w:ind w:firstLine="560" w:firstLineChars="200"/>
        <w:rPr>
          <w:sz w:val="28"/>
        </w:rPr>
      </w:pPr>
      <w:r>
        <w:rPr>
          <w:sz w:val="28"/>
        </w:rPr>
        <w:t>第三条　受让人对依法取得的国有建设用地，在出让期限内享有占有、使用、收益和依法处置的权利，有权利用该土地依法建造建筑物、构筑物及其附属设施。</w:t>
      </w:r>
    </w:p>
    <w:p>
      <w:pPr>
        <w:pStyle w:val="4"/>
        <w:snapToGrid w:val="0"/>
        <w:spacing w:line="360" w:lineRule="auto"/>
        <w:rPr>
          <w:rFonts w:ascii="Times New Roman" w:hAnsi="Times New Roman" w:eastAsia="宋体"/>
          <w:szCs w:val="24"/>
          <w:highlight w:val="none"/>
        </w:rPr>
      </w:pPr>
      <w:bookmarkStart w:id="5" w:name="_Toc203386421"/>
      <w:bookmarkStart w:id="6" w:name="_Toc203308258"/>
      <w:r>
        <w:rPr>
          <w:rFonts w:ascii="Times New Roman" w:hAnsi="Times New Roman" w:eastAsia="宋体"/>
          <w:szCs w:val="24"/>
        </w:rPr>
        <w:t>第二章  出让土地的交付与出让价款的缴纳</w:t>
      </w:r>
      <w:bookmarkEnd w:id="5"/>
      <w:bookmarkEnd w:id="6"/>
    </w:p>
    <w:p>
      <w:pPr>
        <w:tabs>
          <w:tab w:val="left" w:pos="0"/>
        </w:tabs>
        <w:spacing w:before="62" w:beforeLines="20" w:after="62" w:afterLines="20"/>
        <w:ind w:firstLine="688" w:firstLineChars="246"/>
        <w:rPr>
          <w:sz w:val="28"/>
        </w:rPr>
      </w:pPr>
      <w:r>
        <w:rPr>
          <w:sz w:val="28"/>
        </w:rPr>
        <w:t>第四条　本合同项下出让宗地编号为</w:t>
      </w:r>
      <w:r>
        <w:rPr>
          <w:rFonts w:hint="eastAsia"/>
          <w:sz w:val="28"/>
        </w:rPr>
        <w:t>大兴区旧宫镇DX05-0200-0013</w:t>
      </w:r>
      <w:r>
        <w:rPr>
          <w:rFonts w:hint="eastAsia"/>
          <w:sz w:val="28"/>
          <w:lang w:eastAsia="zh-CN"/>
        </w:rPr>
        <w:t>、</w:t>
      </w:r>
      <w:r>
        <w:rPr>
          <w:rFonts w:hint="eastAsia"/>
          <w:sz w:val="28"/>
          <w:lang w:val="en-US" w:eastAsia="zh-CN"/>
        </w:rPr>
        <w:t>0018、0019、0020地块</w:t>
      </w:r>
      <w:r>
        <w:rPr>
          <w:sz w:val="28"/>
        </w:rPr>
        <w:t>，宗地总面积为大写</w:t>
      </w:r>
      <w:r>
        <w:rPr>
          <w:rFonts w:hint="eastAsia"/>
          <w:sz w:val="28"/>
          <w:lang w:val="en-US" w:eastAsia="zh-CN"/>
        </w:rPr>
        <w:t>玖万肆仟陆佰捌拾壹点陆玖陆</w:t>
      </w:r>
      <w:r>
        <w:rPr>
          <w:sz w:val="28"/>
        </w:rPr>
        <w:t>平方米（</w:t>
      </w:r>
      <w:r>
        <w:rPr>
          <w:rFonts w:hint="eastAsia"/>
          <w:sz w:val="28"/>
        </w:rPr>
        <w:t>小写94681.696平方</w:t>
      </w:r>
      <w:r>
        <w:rPr>
          <w:sz w:val="28"/>
        </w:rPr>
        <w:t>米）</w:t>
      </w:r>
      <w:r>
        <w:rPr>
          <w:rFonts w:hint="eastAsia"/>
          <w:sz w:val="28"/>
          <w:lang w:eastAsia="zh-CN"/>
        </w:rPr>
        <w:t>，</w:t>
      </w:r>
      <w:r>
        <w:rPr>
          <w:rFonts w:hint="eastAsia"/>
          <w:sz w:val="28"/>
        </w:rPr>
        <w:t>其中出让宗地面积为</w:t>
      </w:r>
      <w:r>
        <w:rPr>
          <w:rFonts w:hint="eastAsia"/>
          <w:sz w:val="28"/>
          <w:lang w:val="en-US" w:eastAsia="zh-CN"/>
        </w:rPr>
        <w:t>895</w:t>
      </w:r>
      <w:r>
        <w:rPr>
          <w:rFonts w:hint="eastAsia"/>
          <w:sz w:val="28"/>
        </w:rPr>
        <w:t>81.696平方米(暂含配建的建筑面积</w:t>
      </w:r>
      <w:r>
        <w:rPr>
          <w:rFonts w:hint="eastAsia"/>
          <w:sz w:val="28"/>
          <w:lang w:val="en-US" w:eastAsia="zh-CN"/>
        </w:rPr>
        <w:t>42300</w:t>
      </w:r>
      <w:r>
        <w:rPr>
          <w:rFonts w:hint="eastAsia"/>
          <w:sz w:val="28"/>
        </w:rPr>
        <w:t>平方米“</w:t>
      </w:r>
      <w:r>
        <w:rPr>
          <w:rFonts w:hint="eastAsia"/>
          <w:sz w:val="28"/>
          <w:lang w:val="en-US" w:eastAsia="zh-CN"/>
        </w:rPr>
        <w:t>保障性租赁住房</w:t>
      </w:r>
      <w:r>
        <w:rPr>
          <w:rFonts w:hint="eastAsia"/>
          <w:sz w:val="28"/>
        </w:rPr>
        <w:t>”)</w:t>
      </w:r>
      <w:r>
        <w:rPr>
          <w:rFonts w:hint="eastAsia"/>
          <w:sz w:val="28"/>
          <w:lang w:eastAsia="zh-CN"/>
        </w:rPr>
        <w:t>。</w:t>
      </w:r>
      <w:r>
        <w:rPr>
          <w:rFonts w:hint="eastAsia"/>
          <w:sz w:val="28"/>
        </w:rPr>
        <w:t>另有A334托幼用地</w:t>
      </w:r>
      <w:r>
        <w:rPr>
          <w:rFonts w:hint="eastAsia"/>
          <w:sz w:val="28"/>
          <w:lang w:val="en-US" w:eastAsia="zh-CN"/>
        </w:rPr>
        <w:t>5100</w:t>
      </w:r>
      <w:r>
        <w:rPr>
          <w:rFonts w:hint="eastAsia"/>
          <w:sz w:val="28"/>
        </w:rPr>
        <w:t>平方</w:t>
      </w:r>
      <w:r>
        <w:rPr>
          <w:sz w:val="28"/>
        </w:rPr>
        <w:t>米</w:t>
      </w:r>
      <w:r>
        <w:rPr>
          <w:rFonts w:hint="eastAsia"/>
          <w:sz w:val="28"/>
        </w:rPr>
        <w:t>，未收取政府土地出让收益。</w:t>
      </w:r>
    </w:p>
    <w:p>
      <w:pPr>
        <w:snapToGrid w:val="0"/>
        <w:spacing w:line="360" w:lineRule="auto"/>
        <w:ind w:firstLine="560" w:firstLineChars="200"/>
        <w:rPr>
          <w:sz w:val="28"/>
        </w:rPr>
      </w:pPr>
      <w:r>
        <w:rPr>
          <w:sz w:val="28"/>
        </w:rPr>
        <w:t>本合同项下的出让宗地坐落于</w:t>
      </w:r>
      <w:r>
        <w:rPr>
          <w:rFonts w:hint="eastAsia"/>
          <w:sz w:val="28"/>
        </w:rPr>
        <w:t>大兴区旧宫镇DX05-0200-0013</w:t>
      </w:r>
      <w:r>
        <w:rPr>
          <w:rFonts w:hint="eastAsia"/>
          <w:sz w:val="28"/>
          <w:lang w:eastAsia="zh-CN"/>
        </w:rPr>
        <w:t>、</w:t>
      </w:r>
      <w:r>
        <w:rPr>
          <w:rFonts w:hint="eastAsia"/>
          <w:sz w:val="28"/>
          <w:lang w:val="en-US" w:eastAsia="zh-CN"/>
        </w:rPr>
        <w:t>0018、0019、0020</w:t>
      </w:r>
      <w:r>
        <w:rPr>
          <w:rFonts w:hint="eastAsia"/>
          <w:sz w:val="28"/>
        </w:rPr>
        <w:t>地块</w:t>
      </w:r>
      <w:r>
        <w:rPr>
          <w:sz w:val="28"/>
        </w:rPr>
        <w:t>，</w:t>
      </w:r>
      <w:r>
        <w:rPr>
          <w:rFonts w:hint="eastAsia"/>
          <w:sz w:val="28"/>
        </w:rPr>
        <w:t>具体四至范围详见《建设项目规划条件（土地储备供应）》（2019规自（大）条供字0005号）及其附图</w:t>
      </w:r>
      <w:r>
        <w:rPr>
          <w:sz w:val="28"/>
        </w:rPr>
        <w:t>。出让宗地的平面界址图见附件1。</w:t>
      </w:r>
    </w:p>
    <w:p>
      <w:pPr>
        <w:snapToGrid w:val="0"/>
        <w:spacing w:line="360" w:lineRule="auto"/>
        <w:ind w:firstLine="560" w:firstLineChars="200"/>
        <w:rPr>
          <w:sz w:val="28"/>
        </w:rPr>
      </w:pPr>
      <w:r>
        <w:rPr>
          <w:sz w:val="28"/>
        </w:rPr>
        <w:t>第五条　本合同项下出让宗地的</w:t>
      </w:r>
      <w:r>
        <w:rPr>
          <w:rFonts w:hint="eastAsia"/>
          <w:sz w:val="28"/>
          <w:lang w:val="en-US" w:eastAsia="zh-CN"/>
        </w:rPr>
        <w:t>规划</w:t>
      </w:r>
      <w:r>
        <w:rPr>
          <w:sz w:val="28"/>
        </w:rPr>
        <w:t>用途为</w:t>
      </w:r>
      <w:r>
        <w:rPr>
          <w:rFonts w:hint="eastAsia"/>
          <w:sz w:val="28"/>
          <w:lang w:val="en-US" w:eastAsia="zh-CN"/>
        </w:rPr>
        <w:t>B4综合性商业金融服务业、R2二类居住用地，</w:t>
      </w:r>
      <w:r>
        <w:rPr>
          <w:rFonts w:hint="eastAsia"/>
          <w:sz w:val="28"/>
        </w:rPr>
        <w:t>出让宗地范围内规划建筑使用性质为住宅</w:t>
      </w:r>
      <w:r>
        <w:rPr>
          <w:rFonts w:hint="eastAsia"/>
          <w:sz w:val="28"/>
          <w:lang w:eastAsia="zh-CN"/>
        </w:rPr>
        <w:t>、商业、办公</w:t>
      </w:r>
      <w:r>
        <w:rPr>
          <w:rFonts w:hint="eastAsia"/>
          <w:sz w:val="28"/>
        </w:rPr>
        <w:t>及附属配套设施，用于建设北京市大兴区旧宫镇DX05-0200-0013</w:t>
      </w:r>
      <w:r>
        <w:rPr>
          <w:rFonts w:hint="eastAsia"/>
          <w:sz w:val="28"/>
          <w:lang w:eastAsia="zh-CN"/>
        </w:rPr>
        <w:t>、</w:t>
      </w:r>
      <w:r>
        <w:rPr>
          <w:rFonts w:hint="eastAsia"/>
          <w:sz w:val="28"/>
          <w:lang w:val="en-US" w:eastAsia="zh-CN"/>
        </w:rPr>
        <w:t>0018、0019、0020地块</w:t>
      </w:r>
      <w:r>
        <w:rPr>
          <w:rFonts w:hint="eastAsia"/>
          <w:sz w:val="28"/>
        </w:rPr>
        <w:t>F3其他类多功能用地、R2二类居住用地、A334托幼用地</w:t>
      </w:r>
      <w:r>
        <w:rPr>
          <w:rFonts w:hint="eastAsia"/>
          <w:sz w:val="28"/>
          <w:lang w:eastAsia="zh-CN"/>
        </w:rPr>
        <w:t>（</w:t>
      </w:r>
      <w:r>
        <w:rPr>
          <w:rFonts w:hint="eastAsia"/>
          <w:sz w:val="28"/>
          <w:lang w:val="en-US" w:eastAsia="zh-CN"/>
        </w:rPr>
        <w:t>配建“保障性租赁住房”</w:t>
      </w:r>
      <w:r>
        <w:rPr>
          <w:rFonts w:hint="eastAsia"/>
          <w:sz w:val="28"/>
          <w:lang w:eastAsia="zh-CN"/>
        </w:rPr>
        <w:t>）</w:t>
      </w:r>
      <w:r>
        <w:rPr>
          <w:rFonts w:hint="eastAsia"/>
          <w:sz w:val="28"/>
          <w:lang w:val="en-US" w:eastAsia="zh-CN"/>
        </w:rPr>
        <w:t>项目</w:t>
      </w:r>
      <w:r>
        <w:rPr>
          <w:rFonts w:hint="eastAsia"/>
          <w:sz w:val="28"/>
        </w:rPr>
        <w:t>。</w:t>
      </w:r>
    </w:p>
    <w:p>
      <w:pPr>
        <w:snapToGrid w:val="0"/>
        <w:spacing w:line="360" w:lineRule="auto"/>
        <w:ind w:firstLine="560" w:firstLineChars="200"/>
        <w:rPr>
          <w:sz w:val="28"/>
          <w:highlight w:val="none"/>
        </w:rPr>
      </w:pPr>
      <w:r>
        <w:rPr>
          <w:sz w:val="28"/>
        </w:rPr>
        <w:t>第六条　</w:t>
      </w:r>
      <w:r>
        <w:rPr>
          <w:rFonts w:hint="eastAsia"/>
          <w:sz w:val="28"/>
        </w:rPr>
        <w:t>成交之日起第45个日历日（遇法定节假日顺延至其后第一个工作日）内且受让人已全额交纳土地开发建设补偿费，北京市土地整理储备中心大兴区分中心与受让人完成土地交接工作。土地交付标准按《土地开发建设补偿协议》约定执行。受让人无正当理由逾期不接收土地则视同接收，相应的权利、义务由受让人承担。</w:t>
      </w:r>
    </w:p>
    <w:p>
      <w:pPr>
        <w:snapToGrid w:val="0"/>
        <w:spacing w:line="360" w:lineRule="auto"/>
        <w:ind w:firstLine="560" w:firstLineChars="200"/>
        <w:rPr>
          <w:sz w:val="28"/>
        </w:rPr>
      </w:pPr>
      <w:r>
        <w:rPr>
          <w:sz w:val="28"/>
        </w:rPr>
        <w:t>第七条　本合同项下的国有建设用地使用权出让年期为居住70年、办公50年，商业40年，按本合同签订之日起算。</w:t>
      </w:r>
    </w:p>
    <w:p>
      <w:pPr>
        <w:snapToGrid w:val="0"/>
        <w:spacing w:line="360" w:lineRule="auto"/>
        <w:ind w:firstLine="560" w:firstLineChars="200"/>
        <w:rPr>
          <w:sz w:val="28"/>
        </w:rPr>
      </w:pPr>
      <w:r>
        <w:rPr>
          <w:sz w:val="28"/>
        </w:rPr>
        <w:t>第八条</w:t>
      </w:r>
      <w:r>
        <w:rPr>
          <w:color w:val="FF0000"/>
          <w:sz w:val="28"/>
        </w:rPr>
        <w:t>　</w:t>
      </w:r>
      <w:r>
        <w:rPr>
          <w:sz w:val="28"/>
        </w:rPr>
        <w:t>本合同项下宗地的国有建设用地使用权出让价款按地上可出让建筑面积大写</w:t>
      </w:r>
      <w:r>
        <w:rPr>
          <w:rFonts w:hint="eastAsia"/>
          <w:sz w:val="28"/>
          <w:lang w:val="en-US" w:eastAsia="zh-CN"/>
        </w:rPr>
        <w:t>贰拾叁万肆仟玖佰肆拾肆</w:t>
      </w:r>
      <w:r>
        <w:rPr>
          <w:sz w:val="28"/>
        </w:rPr>
        <w:t>平方米（小写</w:t>
      </w:r>
      <w:r>
        <w:rPr>
          <w:rFonts w:hint="eastAsia"/>
          <w:sz w:val="28"/>
          <w:lang w:val="en-US" w:eastAsia="zh-CN"/>
        </w:rPr>
        <w:t>234944</w:t>
      </w:r>
      <w:r>
        <w:rPr>
          <w:sz w:val="28"/>
        </w:rPr>
        <w:t>平方米）计算为人民币大写</w:t>
      </w:r>
      <w:r>
        <w:rPr>
          <w:rFonts w:hint="eastAsia"/>
          <w:sz w:val="28"/>
          <w:highlight w:val="none"/>
          <w:lang w:val="en-US" w:eastAsia="zh-CN"/>
        </w:rPr>
        <w:t xml:space="preserve">     </w:t>
      </w:r>
      <w:r>
        <w:rPr>
          <w:rFonts w:hint="eastAsia"/>
          <w:sz w:val="28"/>
        </w:rPr>
        <w:t>元整</w:t>
      </w:r>
      <w:r>
        <w:rPr>
          <w:sz w:val="28"/>
        </w:rPr>
        <w:t>（小写￥</w:t>
      </w:r>
      <w:r>
        <w:rPr>
          <w:rFonts w:hint="eastAsia"/>
          <w:sz w:val="28"/>
          <w:lang w:val="en-US" w:eastAsia="zh-CN"/>
        </w:rPr>
        <w:t xml:space="preserve">    </w:t>
      </w:r>
      <w:r>
        <w:rPr>
          <w:sz w:val="28"/>
        </w:rPr>
        <w:t>元），其中</w:t>
      </w:r>
      <w:r>
        <w:rPr>
          <w:rFonts w:hint="eastAsia"/>
          <w:sz w:val="28"/>
        </w:rPr>
        <w:t>政府土地出让收益</w:t>
      </w:r>
      <w:r>
        <w:rPr>
          <w:sz w:val="28"/>
        </w:rPr>
        <w:t>为人民币大写</w:t>
      </w:r>
      <w:r>
        <w:rPr>
          <w:rFonts w:hint="eastAsia"/>
          <w:sz w:val="28"/>
          <w:highlight w:val="none"/>
          <w:lang w:val="en-US" w:eastAsia="zh-CN"/>
        </w:rPr>
        <w:t xml:space="preserve">        </w:t>
      </w:r>
      <w:r>
        <w:rPr>
          <w:rFonts w:hint="eastAsia"/>
          <w:sz w:val="28"/>
        </w:rPr>
        <w:t>元整</w:t>
      </w:r>
      <w:r>
        <w:rPr>
          <w:sz w:val="28"/>
        </w:rPr>
        <w:t>（小写￥</w:t>
      </w:r>
      <w:r>
        <w:rPr>
          <w:rFonts w:hint="eastAsia"/>
          <w:sz w:val="28"/>
          <w:highlight w:val="none"/>
          <w:lang w:val="en-US" w:eastAsia="zh-CN"/>
        </w:rPr>
        <w:t xml:space="preserve">        </w:t>
      </w:r>
      <w:r>
        <w:rPr>
          <w:sz w:val="28"/>
        </w:rPr>
        <w:t>元），土地开发</w:t>
      </w:r>
      <w:r>
        <w:rPr>
          <w:rFonts w:hint="eastAsia"/>
          <w:sz w:val="28"/>
        </w:rPr>
        <w:t>建设</w:t>
      </w:r>
      <w:r>
        <w:rPr>
          <w:sz w:val="28"/>
        </w:rPr>
        <w:t>补偿费为人民币大写</w:t>
      </w:r>
      <w:r>
        <w:rPr>
          <w:rFonts w:hint="eastAsia"/>
          <w:sz w:val="28"/>
          <w:lang w:val="en-US" w:eastAsia="zh-CN"/>
        </w:rPr>
        <w:t>肆拾陆亿柒仟柒佰叁拾贰万壹仟贰佰</w:t>
      </w:r>
      <w:r>
        <w:rPr>
          <w:rFonts w:hint="eastAsia"/>
          <w:sz w:val="28"/>
        </w:rPr>
        <w:t>元整（小写￥</w:t>
      </w:r>
      <w:r>
        <w:rPr>
          <w:rFonts w:hint="eastAsia"/>
          <w:sz w:val="28"/>
          <w:lang w:val="en-US" w:eastAsia="zh-CN"/>
        </w:rPr>
        <w:t>4,677,321,200.00</w:t>
      </w:r>
      <w:r>
        <w:rPr>
          <w:rFonts w:hint="eastAsia"/>
          <w:sz w:val="28"/>
        </w:rPr>
        <w:t>元）。楼面地价为每建筑平方米人民</w:t>
      </w:r>
      <w:r>
        <w:rPr>
          <w:sz w:val="28"/>
        </w:rPr>
        <w:t>币大写</w:t>
      </w:r>
      <w:r>
        <w:rPr>
          <w:rFonts w:hint="eastAsia"/>
          <w:sz w:val="28"/>
          <w:highlight w:val="none"/>
          <w:lang w:val="en-US" w:eastAsia="zh-CN"/>
        </w:rPr>
        <w:t xml:space="preserve">    </w:t>
      </w:r>
      <w:r>
        <w:rPr>
          <w:sz w:val="28"/>
        </w:rPr>
        <w:t>（小写￥</w:t>
      </w:r>
      <w:r>
        <w:rPr>
          <w:rFonts w:hint="eastAsia"/>
          <w:sz w:val="28"/>
          <w:highlight w:val="none"/>
          <w:lang w:val="en-US" w:eastAsia="zh-CN"/>
        </w:rPr>
        <w:t xml:space="preserve">      </w:t>
      </w:r>
      <w:r>
        <w:rPr>
          <w:rFonts w:hint="eastAsia"/>
          <w:sz w:val="28"/>
        </w:rPr>
        <w:t xml:space="preserve"> </w:t>
      </w:r>
      <w:r>
        <w:rPr>
          <w:sz w:val="28"/>
        </w:rPr>
        <w:t>元），其中</w:t>
      </w:r>
      <w:r>
        <w:rPr>
          <w:rFonts w:hint="eastAsia"/>
          <w:sz w:val="28"/>
        </w:rPr>
        <w:t>政府土地出让收益单价</w:t>
      </w:r>
      <w:r>
        <w:rPr>
          <w:sz w:val="28"/>
        </w:rPr>
        <w:t>为每建筑平方米人民币大写</w:t>
      </w:r>
      <w:r>
        <w:rPr>
          <w:rFonts w:hint="eastAsia"/>
          <w:sz w:val="28"/>
          <w:highlight w:val="none"/>
          <w:lang w:val="en-US" w:eastAsia="zh-CN"/>
        </w:rPr>
        <w:t xml:space="preserve">       </w:t>
      </w:r>
      <w:r>
        <w:rPr>
          <w:sz w:val="28"/>
        </w:rPr>
        <w:t>（小写￥</w:t>
      </w:r>
      <w:r>
        <w:rPr>
          <w:rFonts w:hint="eastAsia"/>
          <w:sz w:val="28"/>
          <w:highlight w:val="none"/>
          <w:lang w:val="en-US" w:eastAsia="zh-CN"/>
        </w:rPr>
        <w:t xml:space="preserve">    </w:t>
      </w:r>
      <w:r>
        <w:rPr>
          <w:sz w:val="28"/>
        </w:rPr>
        <w:t>元）。</w:t>
      </w:r>
    </w:p>
    <w:p>
      <w:pPr>
        <w:snapToGrid w:val="0"/>
        <w:spacing w:line="360" w:lineRule="auto"/>
        <w:ind w:firstLine="560" w:firstLineChars="200"/>
        <w:rPr>
          <w:sz w:val="28"/>
          <w:highlight w:val="none"/>
        </w:rPr>
      </w:pPr>
      <w:r>
        <w:rPr>
          <w:sz w:val="28"/>
          <w:highlight w:val="none"/>
        </w:rPr>
        <w:t>出让宗地的使用条件经出让人和城市规划管理部门审查批准后发生变化，需要补交</w:t>
      </w:r>
      <w:r>
        <w:rPr>
          <w:rFonts w:hint="eastAsia"/>
          <w:sz w:val="28"/>
          <w:highlight w:val="none"/>
          <w:lang w:val="en-US" w:eastAsia="zh-CN"/>
        </w:rPr>
        <w:t>地价款</w:t>
      </w:r>
      <w:r>
        <w:rPr>
          <w:sz w:val="28"/>
          <w:highlight w:val="none"/>
        </w:rPr>
        <w:t>的，</w:t>
      </w:r>
      <w:r>
        <w:rPr>
          <w:rFonts w:hint="eastAsia"/>
          <w:sz w:val="28"/>
          <w:highlight w:val="none"/>
          <w:lang w:val="en-US" w:eastAsia="zh-CN"/>
        </w:rPr>
        <w:t>补交价款全部为政府土地出让收益，</w:t>
      </w:r>
      <w:r>
        <w:rPr>
          <w:sz w:val="28"/>
          <w:highlight w:val="none"/>
        </w:rPr>
        <w:t>出让人和受让人应签订出让合同变更协议，调整</w:t>
      </w:r>
      <w:r>
        <w:rPr>
          <w:rFonts w:hint="eastAsia"/>
          <w:sz w:val="28"/>
          <w:highlight w:val="none"/>
        </w:rPr>
        <w:t>政府土地</w:t>
      </w:r>
      <w:r>
        <w:rPr>
          <w:rFonts w:hint="eastAsia"/>
          <w:sz w:val="28"/>
          <w:highlight w:val="none"/>
          <w:lang w:val="en-US" w:eastAsia="zh-CN"/>
        </w:rPr>
        <w:t>出让</w:t>
      </w:r>
      <w:r>
        <w:rPr>
          <w:rFonts w:hint="eastAsia"/>
          <w:sz w:val="28"/>
          <w:highlight w:val="none"/>
        </w:rPr>
        <w:t>收益</w:t>
      </w:r>
      <w:r>
        <w:rPr>
          <w:sz w:val="28"/>
          <w:highlight w:val="none"/>
        </w:rPr>
        <w:t>，</w:t>
      </w:r>
      <w:r>
        <w:rPr>
          <w:rFonts w:hint="eastAsia"/>
          <w:sz w:val="28"/>
          <w:highlight w:val="none"/>
        </w:rPr>
        <w:t>政府土地</w:t>
      </w:r>
      <w:r>
        <w:rPr>
          <w:rFonts w:hint="eastAsia"/>
          <w:sz w:val="28"/>
          <w:highlight w:val="none"/>
          <w:lang w:val="en-US" w:eastAsia="zh-CN"/>
        </w:rPr>
        <w:t>出让</w:t>
      </w:r>
      <w:r>
        <w:rPr>
          <w:rFonts w:hint="eastAsia"/>
          <w:sz w:val="28"/>
          <w:highlight w:val="none"/>
        </w:rPr>
        <w:t>收益</w:t>
      </w:r>
      <w:r>
        <w:rPr>
          <w:sz w:val="28"/>
          <w:highlight w:val="none"/>
        </w:rPr>
        <w:t>按如下标准进行调整：</w:t>
      </w:r>
    </w:p>
    <w:p>
      <w:pPr>
        <w:numPr>
          <w:ilvl w:val="0"/>
          <w:numId w:val="1"/>
        </w:numPr>
        <w:snapToGrid w:val="0"/>
        <w:spacing w:line="360" w:lineRule="auto"/>
        <w:ind w:firstLine="560" w:firstLineChars="200"/>
        <w:rPr>
          <w:sz w:val="28"/>
          <w:highlight w:val="none"/>
        </w:rPr>
      </w:pPr>
      <w:r>
        <w:rPr>
          <w:sz w:val="28"/>
          <w:highlight w:val="none"/>
        </w:rPr>
        <w:t>经相关主管部门审批确定，该宗地地上出让建筑规模增加在3%（含）以内且未改变规划条件的</w:t>
      </w:r>
      <w:r>
        <w:rPr>
          <w:rFonts w:hint="eastAsia"/>
          <w:sz w:val="28"/>
          <w:highlight w:val="none"/>
        </w:rPr>
        <w:t>，按以下标准补缴地价款：</w:t>
      </w:r>
    </w:p>
    <w:p>
      <w:pPr>
        <w:snapToGrid w:val="0"/>
        <w:spacing w:line="360" w:lineRule="auto"/>
        <w:ind w:firstLine="560" w:firstLineChars="200"/>
        <w:rPr>
          <w:rFonts w:hint="eastAsia"/>
          <w:sz w:val="28"/>
          <w:highlight w:val="none"/>
        </w:rPr>
      </w:pPr>
      <w:r>
        <w:rPr>
          <w:rFonts w:hint="eastAsia"/>
          <w:sz w:val="28"/>
          <w:highlight w:val="none"/>
        </w:rPr>
        <w:t>1、增加的地上出让建筑面积按建筑平方米人民币</w:t>
      </w:r>
      <w:r>
        <w:rPr>
          <w:sz w:val="28"/>
        </w:rPr>
        <w:t>大写</w:t>
      </w:r>
      <w:r>
        <w:rPr>
          <w:rFonts w:hint="eastAsia"/>
          <w:sz w:val="28"/>
          <w:highlight w:val="none"/>
          <w:lang w:val="en-US" w:eastAsia="zh-CN"/>
        </w:rPr>
        <w:t xml:space="preserve">    </w:t>
      </w:r>
      <w:r>
        <w:rPr>
          <w:sz w:val="28"/>
          <w:highlight w:val="none"/>
        </w:rPr>
        <w:t>（小写￥</w:t>
      </w:r>
      <w:r>
        <w:rPr>
          <w:rFonts w:hint="eastAsia"/>
          <w:sz w:val="28"/>
          <w:highlight w:val="none"/>
          <w:lang w:val="en-US" w:eastAsia="zh-CN"/>
        </w:rPr>
        <w:t xml:space="preserve">     </w:t>
      </w:r>
      <w:r>
        <w:rPr>
          <w:sz w:val="28"/>
          <w:highlight w:val="none"/>
        </w:rPr>
        <w:t>元）</w:t>
      </w:r>
      <w:r>
        <w:rPr>
          <w:rFonts w:hint="eastAsia"/>
          <w:sz w:val="28"/>
        </w:rPr>
        <w:t>补交土地使用权地价款。地上出让建筑面积减少的，土地使用权地价款不变。</w:t>
      </w:r>
    </w:p>
    <w:p>
      <w:pPr>
        <w:snapToGrid w:val="0"/>
        <w:spacing w:line="360" w:lineRule="auto"/>
        <w:ind w:firstLine="560" w:firstLineChars="200"/>
        <w:rPr>
          <w:sz w:val="28"/>
          <w:highlight w:val="none"/>
        </w:rPr>
      </w:pPr>
      <w:r>
        <w:rPr>
          <w:rFonts w:hint="eastAsia"/>
          <w:sz w:val="28"/>
          <w:highlight w:val="none"/>
        </w:rPr>
        <w:t>2、存在用途间规模调整的除按上述标准补交地价款外，还需补交不同用途间审定熟地价楼面差价：</w:t>
      </w:r>
    </w:p>
    <w:p>
      <w:pPr>
        <w:snapToGrid w:val="0"/>
        <w:spacing w:line="360" w:lineRule="auto"/>
        <w:ind w:firstLine="560" w:firstLineChars="200"/>
        <w:rPr>
          <w:sz w:val="28"/>
          <w:highlight w:val="none"/>
        </w:rPr>
      </w:pPr>
      <w:r>
        <w:rPr>
          <w:rFonts w:hint="eastAsia"/>
          <w:sz w:val="28"/>
          <w:highlight w:val="none"/>
        </w:rPr>
        <w:t>（1）地上居住用途建筑规模＞169004平方米时，地上增加的居住用途建筑规模应补交的地价款＝</w:t>
      </w:r>
      <w:r>
        <w:rPr>
          <w:rFonts w:hint="eastAsia"/>
          <w:sz w:val="28"/>
          <w:highlight w:val="none"/>
          <w:lang w:val="en-US" w:eastAsia="zh-CN"/>
        </w:rPr>
        <w:t>14282</w:t>
      </w:r>
      <w:r>
        <w:rPr>
          <w:rFonts w:hint="eastAsia"/>
          <w:sz w:val="28"/>
          <w:highlight w:val="none"/>
        </w:rPr>
        <w:t>×（确定的地上居住用途建筑规模－169004）（元）。</w:t>
      </w:r>
    </w:p>
    <w:p>
      <w:pPr>
        <w:snapToGrid w:val="0"/>
        <w:spacing w:line="360" w:lineRule="auto"/>
        <w:ind w:firstLine="560" w:firstLineChars="200"/>
        <w:rPr>
          <w:sz w:val="28"/>
        </w:rPr>
      </w:pPr>
      <w:r>
        <w:rPr>
          <w:rFonts w:hint="eastAsia"/>
          <w:sz w:val="28"/>
        </w:rPr>
        <w:t>（2）地上存在商业用途建筑规模时，确定的地上商业用途建筑规模应补交的地价款＝</w:t>
      </w:r>
      <w:r>
        <w:rPr>
          <w:rFonts w:hint="eastAsia"/>
          <w:sz w:val="28"/>
          <w:lang w:val="en-US" w:eastAsia="zh-CN"/>
        </w:rPr>
        <w:t>942</w:t>
      </w:r>
      <w:r>
        <w:rPr>
          <w:rFonts w:hint="eastAsia"/>
          <w:sz w:val="28"/>
        </w:rPr>
        <w:t>×确定的地上商业用途建筑规模（元）。</w:t>
      </w:r>
    </w:p>
    <w:p>
      <w:pPr>
        <w:numPr>
          <w:ilvl w:val="0"/>
          <w:numId w:val="2"/>
        </w:numPr>
        <w:snapToGrid w:val="0"/>
        <w:spacing w:line="360" w:lineRule="auto"/>
        <w:ind w:firstLine="560" w:firstLineChars="200"/>
        <w:rPr>
          <w:sz w:val="28"/>
        </w:rPr>
      </w:pPr>
      <w:r>
        <w:rPr>
          <w:sz w:val="28"/>
        </w:rPr>
        <w:t>如因特殊原因，经相关主管部门审批确定，该宗地地上出让建筑规模增加在3%以上或改变规划条件的，需按照国土资源部《关于发布&lt;国有建设用地使用权出让地价评估技术规范（试行）&gt;的通知》（国土资厅发〔2013〕20号）有关要求，组织评估确定补缴的地价款。</w:t>
      </w:r>
    </w:p>
    <w:p>
      <w:pPr>
        <w:numPr>
          <w:ilvl w:val="0"/>
          <w:numId w:val="2"/>
        </w:numPr>
        <w:snapToGrid w:val="0"/>
        <w:spacing w:line="360" w:lineRule="auto"/>
        <w:ind w:firstLine="560" w:firstLineChars="200"/>
        <w:rPr>
          <w:sz w:val="28"/>
        </w:rPr>
      </w:pPr>
      <w:r>
        <w:rPr>
          <w:rFonts w:hint="eastAsia"/>
          <w:sz w:val="28"/>
        </w:rPr>
        <w:t>地</w:t>
      </w:r>
      <w:r>
        <w:rPr>
          <w:rFonts w:hint="eastAsia"/>
          <w:sz w:val="28"/>
          <w:highlight w:val="none"/>
        </w:rPr>
        <w:t>下非经营用途免收政府土地出让收益，地下办公、仓储应按</w:t>
      </w:r>
      <w:r>
        <w:rPr>
          <w:rFonts w:hint="eastAsia"/>
          <w:sz w:val="28"/>
          <w:highlight w:val="none"/>
          <w:lang w:val="en-US" w:eastAsia="zh-CN"/>
        </w:rPr>
        <w:t xml:space="preserve">   </w:t>
      </w:r>
      <w:r>
        <w:rPr>
          <w:rFonts w:hint="eastAsia"/>
          <w:sz w:val="28"/>
          <w:highlight w:val="none"/>
        </w:rPr>
        <w:t>元/平方米补交政府土地出让收益，地下车库应按</w:t>
      </w:r>
      <w:r>
        <w:rPr>
          <w:rFonts w:hint="eastAsia"/>
          <w:sz w:val="28"/>
          <w:highlight w:val="none"/>
          <w:lang w:val="en-US" w:eastAsia="zh-CN"/>
        </w:rPr>
        <w:t xml:space="preserve">   </w:t>
      </w:r>
      <w:r>
        <w:rPr>
          <w:rFonts w:hint="eastAsia"/>
          <w:sz w:val="28"/>
          <w:highlight w:val="none"/>
        </w:rPr>
        <w:t>元/平方米补交政府土地出让收益，地下商业应按地下第1层</w:t>
      </w:r>
      <w:r>
        <w:rPr>
          <w:rFonts w:hint="eastAsia"/>
          <w:sz w:val="28"/>
          <w:highlight w:val="none"/>
          <w:lang w:val="en-US" w:eastAsia="zh-CN"/>
        </w:rPr>
        <w:t xml:space="preserve">   </w:t>
      </w:r>
      <w:r>
        <w:rPr>
          <w:rFonts w:hint="eastAsia"/>
          <w:sz w:val="28"/>
          <w:highlight w:val="none"/>
        </w:rPr>
        <w:t>元/平方米、地下第2层</w:t>
      </w:r>
      <w:r>
        <w:rPr>
          <w:rFonts w:hint="eastAsia"/>
          <w:sz w:val="28"/>
          <w:highlight w:val="none"/>
          <w:lang w:val="en-US" w:eastAsia="zh-CN"/>
        </w:rPr>
        <w:t xml:space="preserve">   </w:t>
      </w:r>
      <w:r>
        <w:rPr>
          <w:rFonts w:hint="eastAsia"/>
          <w:sz w:val="28"/>
          <w:highlight w:val="none"/>
        </w:rPr>
        <w:t>元/平方米地下第3层</w:t>
      </w:r>
      <w:r>
        <w:rPr>
          <w:rFonts w:hint="eastAsia"/>
          <w:sz w:val="28"/>
          <w:highlight w:val="none"/>
          <w:lang w:val="en-US" w:eastAsia="zh-CN"/>
        </w:rPr>
        <w:t xml:space="preserve">   </w:t>
      </w:r>
      <w:r>
        <w:rPr>
          <w:rFonts w:hint="eastAsia"/>
          <w:sz w:val="28"/>
          <w:highlight w:val="none"/>
        </w:rPr>
        <w:t>元/平方米、地下第</w:t>
      </w:r>
      <w:r>
        <w:rPr>
          <w:sz w:val="28"/>
          <w:highlight w:val="none"/>
        </w:rPr>
        <w:t>4</w:t>
      </w:r>
      <w:r>
        <w:rPr>
          <w:rFonts w:hint="eastAsia"/>
          <w:sz w:val="28"/>
          <w:highlight w:val="none"/>
        </w:rPr>
        <w:t>层</w:t>
      </w:r>
      <w:r>
        <w:rPr>
          <w:rFonts w:hint="eastAsia"/>
          <w:sz w:val="28"/>
          <w:highlight w:val="none"/>
          <w:lang w:val="en-US" w:eastAsia="zh-CN"/>
        </w:rPr>
        <w:t xml:space="preserve">   </w:t>
      </w:r>
      <w:r>
        <w:rPr>
          <w:rFonts w:hint="eastAsia"/>
          <w:sz w:val="28"/>
          <w:highlight w:val="none"/>
        </w:rPr>
        <w:t>元/平方米补交政府土地出让收益。</w:t>
      </w:r>
    </w:p>
    <w:p>
      <w:pPr>
        <w:snapToGrid w:val="0"/>
        <w:spacing w:line="360" w:lineRule="auto"/>
        <w:ind w:firstLine="560" w:firstLineChars="200"/>
        <w:rPr>
          <w:sz w:val="28"/>
        </w:rPr>
      </w:pPr>
      <w:r>
        <w:rPr>
          <w:sz w:val="28"/>
        </w:rPr>
        <w:t>第九条　本合同项下宗地的定金为</w:t>
      </w:r>
      <w:r>
        <w:rPr>
          <w:rFonts w:hint="eastAsia"/>
          <w:sz w:val="28"/>
          <w:lang w:val="en-US" w:eastAsia="zh-CN"/>
        </w:rPr>
        <w:t>政府土地出让收益总额的20%，即</w:t>
      </w:r>
      <w:r>
        <w:rPr>
          <w:sz w:val="28"/>
        </w:rPr>
        <w:t>人民币大写</w:t>
      </w:r>
      <w:r>
        <w:rPr>
          <w:rFonts w:hint="eastAsia"/>
          <w:sz w:val="28"/>
          <w:highlight w:val="none"/>
          <w:lang w:val="en-US" w:eastAsia="zh-CN"/>
        </w:rPr>
        <w:t xml:space="preserve">      </w:t>
      </w:r>
      <w:r>
        <w:rPr>
          <w:rFonts w:hint="eastAsia"/>
          <w:sz w:val="28"/>
        </w:rPr>
        <w:t>元整</w:t>
      </w:r>
      <w:r>
        <w:rPr>
          <w:sz w:val="28"/>
        </w:rPr>
        <w:t>（小写￥</w:t>
      </w:r>
      <w:r>
        <w:rPr>
          <w:rFonts w:hint="eastAsia"/>
          <w:sz w:val="28"/>
          <w:highlight w:val="none"/>
          <w:lang w:val="en-US" w:eastAsia="zh-CN"/>
        </w:rPr>
        <w:t xml:space="preserve">       </w:t>
      </w:r>
      <w:r>
        <w:rPr>
          <w:sz w:val="28"/>
        </w:rPr>
        <w:t>元）。</w:t>
      </w:r>
    </w:p>
    <w:p>
      <w:pPr>
        <w:snapToGrid w:val="0"/>
        <w:spacing w:line="360" w:lineRule="auto"/>
        <w:ind w:firstLine="560" w:firstLineChars="200"/>
        <w:rPr>
          <w:sz w:val="28"/>
        </w:rPr>
      </w:pPr>
      <w:r>
        <w:rPr>
          <w:sz w:val="28"/>
        </w:rPr>
        <w:t>第十条　受让人同意按以下时间和金额向出让人支付国有建设用地使用权出让价款。</w:t>
      </w:r>
    </w:p>
    <w:p>
      <w:pPr>
        <w:snapToGrid w:val="0"/>
        <w:spacing w:line="360" w:lineRule="auto"/>
        <w:ind w:firstLine="560" w:firstLineChars="200"/>
        <w:rPr>
          <w:rFonts w:hint="eastAsia"/>
          <w:sz w:val="28"/>
        </w:rPr>
      </w:pPr>
      <w:r>
        <w:rPr>
          <w:rFonts w:hint="eastAsia"/>
          <w:sz w:val="28"/>
          <w:highlight w:val="none"/>
          <w:lang w:val="en-US" w:eastAsia="zh-CN"/>
        </w:rPr>
        <w:t>XX年XX月XX日至XX年XX月XX日</w:t>
      </w:r>
      <w:r>
        <w:rPr>
          <w:rFonts w:hint="eastAsia"/>
          <w:sz w:val="28"/>
        </w:rPr>
        <w:t>支付土地出让金人民币</w:t>
      </w:r>
      <w:r>
        <w:rPr>
          <w:sz w:val="28"/>
        </w:rPr>
        <w:t>￥</w:t>
      </w:r>
      <w:r>
        <w:rPr>
          <w:rFonts w:hint="eastAsia"/>
          <w:sz w:val="28"/>
          <w:highlight w:val="none"/>
          <w:lang w:val="en-US" w:eastAsia="zh-CN"/>
        </w:rPr>
        <w:t xml:space="preserve">       </w:t>
      </w:r>
      <w:r>
        <w:rPr>
          <w:rFonts w:hint="eastAsia"/>
          <w:sz w:val="28"/>
        </w:rPr>
        <w:t>元，其中人民币</w:t>
      </w:r>
      <w:r>
        <w:rPr>
          <w:sz w:val="28"/>
        </w:rPr>
        <w:t>￥</w:t>
      </w:r>
      <w:r>
        <w:rPr>
          <w:rFonts w:hint="eastAsia"/>
          <w:sz w:val="28"/>
          <w:lang w:val="en-US" w:eastAsia="zh-CN"/>
        </w:rPr>
        <w:t>1</w:t>
      </w:r>
      <w:r>
        <w:rPr>
          <w:rFonts w:hint="eastAsia"/>
          <w:sz w:val="28"/>
        </w:rPr>
        <w:t>,</w:t>
      </w:r>
      <w:r>
        <w:rPr>
          <w:rFonts w:hint="eastAsia"/>
          <w:sz w:val="28"/>
          <w:lang w:val="en-US" w:eastAsia="zh-CN"/>
        </w:rPr>
        <w:t>130</w:t>
      </w:r>
      <w:r>
        <w:rPr>
          <w:rFonts w:hint="eastAsia"/>
          <w:sz w:val="28"/>
        </w:rPr>
        <w:t>,000,000.00元由竞买保证金冲抵，土地开发建设补偿费按照土地《开发建设补偿协议》的约定执行。</w:t>
      </w:r>
    </w:p>
    <w:p>
      <w:pPr>
        <w:snapToGrid w:val="0"/>
        <w:spacing w:line="360" w:lineRule="auto"/>
        <w:ind w:firstLine="565" w:firstLineChars="202"/>
        <w:rPr>
          <w:rFonts w:hint="eastAsia"/>
          <w:sz w:val="28"/>
        </w:rPr>
      </w:pPr>
      <w:r>
        <w:rPr>
          <w:rFonts w:hint="eastAsia"/>
          <w:sz w:val="28"/>
        </w:rPr>
        <w:t>第十一条 受让人除按本合同的规定交纳地价款外，还须依法交纳其他有关税费</w:t>
      </w:r>
      <w:r>
        <w:rPr>
          <w:rFonts w:hint="eastAsia"/>
          <w:sz w:val="28"/>
          <w:lang w:eastAsia="zh-CN"/>
        </w:rPr>
        <w:t>。</w:t>
      </w:r>
    </w:p>
    <w:p>
      <w:pPr>
        <w:snapToGrid w:val="0"/>
        <w:spacing w:line="360" w:lineRule="auto"/>
        <w:ind w:firstLine="565" w:firstLineChars="202"/>
        <w:rPr>
          <w:sz w:val="28"/>
        </w:rPr>
      </w:pPr>
      <w:r>
        <w:rPr>
          <w:rFonts w:hint="eastAsia"/>
          <w:sz w:val="28"/>
        </w:rPr>
        <w:t>第十</w:t>
      </w:r>
      <w:r>
        <w:rPr>
          <w:rFonts w:hint="eastAsia"/>
          <w:sz w:val="28"/>
          <w:lang w:val="en-US" w:eastAsia="zh-CN"/>
        </w:rPr>
        <w:t>二</w:t>
      </w:r>
      <w:r>
        <w:rPr>
          <w:rFonts w:hint="eastAsia"/>
          <w:sz w:val="28"/>
        </w:rPr>
        <w:t>条</w:t>
      </w:r>
      <w:r>
        <w:rPr>
          <w:rFonts w:hint="eastAsia"/>
          <w:sz w:val="28"/>
          <w:lang w:val="en-US" w:eastAsia="zh-CN"/>
        </w:rPr>
        <w:t xml:space="preserve"> </w:t>
      </w:r>
      <w:r>
        <w:rPr>
          <w:rFonts w:hint="eastAsia"/>
          <w:sz w:val="28"/>
        </w:rPr>
        <w:t>受让人在付清全部政府土地出让收益和土地开发建设补偿费及相应税费后，可向出让人申请核发《中华人民共和国不动产权证书》。</w:t>
      </w:r>
    </w:p>
    <w:p>
      <w:pPr>
        <w:pStyle w:val="4"/>
        <w:snapToGrid w:val="0"/>
        <w:spacing w:line="360" w:lineRule="auto"/>
        <w:rPr>
          <w:rFonts w:ascii="Times New Roman" w:hAnsi="Times New Roman"/>
          <w:sz w:val="28"/>
        </w:rPr>
      </w:pPr>
      <w:bookmarkStart w:id="7" w:name="_Toc203308259"/>
      <w:bookmarkStart w:id="8" w:name="_Toc203386422"/>
      <w:r>
        <w:rPr>
          <w:rFonts w:ascii="Times New Roman" w:hAnsi="Times New Roman"/>
        </w:rPr>
        <w:t>第三章   土地开发建设与利用</w:t>
      </w:r>
      <w:bookmarkEnd w:id="7"/>
      <w:bookmarkEnd w:id="8"/>
      <w:r>
        <w:rPr>
          <w:rFonts w:ascii="Times New Roman" w:hAnsi="Times New Roman"/>
          <w:sz w:val="28"/>
        </w:rPr>
        <w:t> </w:t>
      </w:r>
    </w:p>
    <w:p>
      <w:pPr>
        <w:widowControl/>
        <w:snapToGrid w:val="0"/>
        <w:spacing w:line="360" w:lineRule="auto"/>
        <w:rPr>
          <w:color w:val="000000"/>
          <w:sz w:val="28"/>
        </w:rPr>
      </w:pPr>
      <w:r>
        <w:rPr>
          <w:sz w:val="28"/>
        </w:rPr>
        <w:t xml:space="preserve">    </w:t>
      </w:r>
      <w:r>
        <w:rPr>
          <w:color w:val="000000"/>
          <w:sz w:val="28"/>
        </w:rPr>
        <w:t>第十</w:t>
      </w:r>
      <w:r>
        <w:rPr>
          <w:rFonts w:hint="eastAsia"/>
          <w:color w:val="000000"/>
          <w:sz w:val="28"/>
          <w:lang w:val="en-US" w:eastAsia="zh-CN"/>
        </w:rPr>
        <w:t>三</w:t>
      </w:r>
      <w:r>
        <w:rPr>
          <w:color w:val="000000"/>
          <w:sz w:val="28"/>
        </w:rPr>
        <w:t>条　受让人同意本合同项下宗地开发投资强度按本条下述规定执行：</w:t>
      </w:r>
    </w:p>
    <w:p>
      <w:pPr>
        <w:snapToGrid w:val="0"/>
        <w:spacing w:line="360" w:lineRule="auto"/>
        <w:ind w:firstLine="560" w:firstLineChars="200"/>
        <w:rPr>
          <w:sz w:val="28"/>
        </w:rPr>
      </w:pPr>
      <w:r>
        <w:rPr>
          <w:color w:val="000000"/>
          <w:sz w:val="28"/>
        </w:rPr>
        <w:t>受让人承诺本合同项下宗地内建设</w:t>
      </w:r>
      <w:r>
        <w:rPr>
          <w:rFonts w:hint="eastAsia"/>
          <w:color w:val="000000"/>
          <w:sz w:val="28"/>
        </w:rPr>
        <w:t>北京市大兴区旧宫镇DX05-0200-0013</w:t>
      </w:r>
      <w:r>
        <w:rPr>
          <w:rFonts w:hint="eastAsia"/>
          <w:color w:val="000000"/>
          <w:sz w:val="28"/>
          <w:lang w:eastAsia="zh-CN"/>
        </w:rPr>
        <w:t>、</w:t>
      </w:r>
      <w:r>
        <w:rPr>
          <w:rFonts w:hint="eastAsia"/>
          <w:color w:val="000000"/>
          <w:sz w:val="28"/>
          <w:lang w:val="en-US" w:eastAsia="zh-CN"/>
        </w:rPr>
        <w:t>0018、0019、0020地块</w:t>
      </w:r>
      <w:r>
        <w:rPr>
          <w:rFonts w:hint="eastAsia"/>
          <w:color w:val="000000"/>
          <w:sz w:val="28"/>
        </w:rPr>
        <w:t>F3其他类多功能用地、R2二类居住用地、A334托幼用地</w:t>
      </w:r>
      <w:r>
        <w:rPr>
          <w:rFonts w:hint="eastAsia"/>
          <w:color w:val="000000"/>
          <w:sz w:val="28"/>
          <w:lang w:eastAsia="zh-CN"/>
        </w:rPr>
        <w:t>（</w:t>
      </w:r>
      <w:r>
        <w:rPr>
          <w:rFonts w:hint="eastAsia"/>
          <w:color w:val="000000"/>
          <w:sz w:val="28"/>
          <w:lang w:val="en-US" w:eastAsia="zh-CN"/>
        </w:rPr>
        <w:t>配建“保障性租赁住房”</w:t>
      </w:r>
      <w:r>
        <w:rPr>
          <w:rFonts w:hint="eastAsia"/>
          <w:color w:val="000000"/>
          <w:sz w:val="28"/>
          <w:lang w:eastAsia="zh-CN"/>
        </w:rPr>
        <w:t>）</w:t>
      </w:r>
      <w:r>
        <w:rPr>
          <w:rFonts w:hint="eastAsia"/>
          <w:color w:val="000000"/>
          <w:sz w:val="28"/>
        </w:rPr>
        <w:t>项目</w:t>
      </w:r>
      <w:r>
        <w:rPr>
          <w:color w:val="000000"/>
          <w:sz w:val="28"/>
        </w:rPr>
        <w:t>。建设项目投资</w:t>
      </w:r>
      <w:r>
        <w:rPr>
          <w:color w:val="000000"/>
          <w:sz w:val="28"/>
          <w:highlight w:val="none"/>
        </w:rPr>
        <w:t>总额不低于人民币</w:t>
      </w:r>
      <w:r>
        <w:rPr>
          <w:rFonts w:hint="eastAsia"/>
          <w:sz w:val="28"/>
          <w:highlight w:val="none"/>
          <w:lang w:val="en-US" w:eastAsia="zh-CN"/>
        </w:rPr>
        <w:t xml:space="preserve">      </w:t>
      </w:r>
      <w:r>
        <w:rPr>
          <w:sz w:val="28"/>
          <w:highlight w:val="none"/>
        </w:rPr>
        <w:t>（小写￥</w:t>
      </w:r>
      <w:r>
        <w:rPr>
          <w:rFonts w:hint="eastAsia"/>
          <w:sz w:val="28"/>
          <w:highlight w:val="none"/>
          <w:lang w:val="en-US" w:eastAsia="zh-CN"/>
        </w:rPr>
        <w:t xml:space="preserve">    </w:t>
      </w:r>
      <w:r>
        <w:rPr>
          <w:rFonts w:hint="eastAsia"/>
          <w:sz w:val="28"/>
          <w:highlight w:val="none"/>
        </w:rPr>
        <w:t xml:space="preserve"> </w:t>
      </w:r>
      <w:r>
        <w:rPr>
          <w:sz w:val="28"/>
          <w:highlight w:val="none"/>
        </w:rPr>
        <w:t>元）</w:t>
      </w:r>
      <w:r>
        <w:rPr>
          <w:rFonts w:hint="eastAsia"/>
          <w:sz w:val="28"/>
          <w:highlight w:val="none"/>
        </w:rPr>
        <w:t>,其中固定资产投资总额不低于人民币</w:t>
      </w:r>
      <w:r>
        <w:rPr>
          <w:rFonts w:hint="eastAsia"/>
          <w:sz w:val="28"/>
          <w:highlight w:val="none"/>
          <w:lang w:val="en-US" w:eastAsia="zh-CN"/>
        </w:rPr>
        <w:t xml:space="preserve">      </w:t>
      </w:r>
      <w:r>
        <w:rPr>
          <w:rFonts w:hint="eastAsia"/>
          <w:sz w:val="28"/>
          <w:highlight w:val="none"/>
        </w:rPr>
        <w:t>（小写￥</w:t>
      </w:r>
      <w:r>
        <w:rPr>
          <w:rFonts w:hint="eastAsia"/>
          <w:sz w:val="28"/>
          <w:highlight w:val="none"/>
          <w:lang w:val="en-US" w:eastAsia="zh-CN"/>
        </w:rPr>
        <w:t xml:space="preserve">      </w:t>
      </w:r>
      <w:r>
        <w:rPr>
          <w:rFonts w:hint="eastAsia"/>
          <w:sz w:val="28"/>
          <w:highlight w:val="none"/>
        </w:rPr>
        <w:t>元)。</w:t>
      </w:r>
    </w:p>
    <w:p>
      <w:pPr>
        <w:snapToGrid w:val="0"/>
        <w:spacing w:line="360" w:lineRule="auto"/>
        <w:ind w:firstLine="560" w:firstLineChars="200"/>
        <w:rPr>
          <w:sz w:val="28"/>
        </w:rPr>
      </w:pPr>
      <w:r>
        <w:rPr>
          <w:rFonts w:hint="eastAsia"/>
          <w:sz w:val="28"/>
        </w:rPr>
        <w:t>第十</w:t>
      </w:r>
      <w:r>
        <w:rPr>
          <w:rFonts w:hint="eastAsia"/>
          <w:sz w:val="28"/>
          <w:lang w:val="en-US" w:eastAsia="zh-CN"/>
        </w:rPr>
        <w:t>四</w:t>
      </w:r>
      <w:r>
        <w:rPr>
          <w:rFonts w:hint="eastAsia"/>
          <w:sz w:val="28"/>
        </w:rPr>
        <w:t>条</w:t>
      </w:r>
      <w:r>
        <w:rPr>
          <w:sz w:val="28"/>
        </w:rPr>
        <w:t>　受让人在本合同项下宗地范围内新建建筑物、构筑物及其附属设施的，应符合北京经济技术开发区城市规划管理部门确定的出让宗地规划条件（见附件2）。其中：</w:t>
      </w:r>
    </w:p>
    <w:p>
      <w:pPr>
        <w:snapToGrid w:val="0"/>
        <w:spacing w:line="360" w:lineRule="auto"/>
        <w:ind w:firstLine="280" w:firstLineChars="100"/>
        <w:rPr>
          <w:sz w:val="28"/>
        </w:rPr>
      </w:pPr>
      <w:r>
        <w:rPr>
          <w:sz w:val="28"/>
        </w:rPr>
        <w:t>主体建筑物性质</w:t>
      </w:r>
      <w:r>
        <w:rPr>
          <w:rFonts w:hint="eastAsia"/>
          <w:sz w:val="28"/>
        </w:rPr>
        <w:t>：</w:t>
      </w:r>
      <w:r>
        <w:rPr>
          <w:sz w:val="28"/>
        </w:rPr>
        <w:t>居住；</w:t>
      </w:r>
    </w:p>
    <w:p>
      <w:pPr>
        <w:snapToGrid w:val="0"/>
        <w:spacing w:line="360" w:lineRule="auto"/>
        <w:ind w:firstLine="280" w:firstLineChars="100"/>
        <w:rPr>
          <w:sz w:val="28"/>
        </w:rPr>
      </w:pPr>
      <w:r>
        <w:rPr>
          <w:sz w:val="28"/>
        </w:rPr>
        <w:t>附属建筑物性质</w:t>
      </w:r>
      <w:r>
        <w:rPr>
          <w:rFonts w:hint="eastAsia"/>
          <w:sz w:val="28"/>
        </w:rPr>
        <w:t>：办公</w:t>
      </w:r>
      <w:r>
        <w:rPr>
          <w:sz w:val="28"/>
        </w:rPr>
        <w:t>、商业配套设施；</w:t>
      </w:r>
    </w:p>
    <w:p>
      <w:pPr>
        <w:snapToGrid w:val="0"/>
        <w:spacing w:line="360" w:lineRule="auto"/>
        <w:ind w:firstLine="280" w:firstLineChars="100"/>
        <w:rPr>
          <w:sz w:val="28"/>
        </w:rPr>
      </w:pPr>
      <w:r>
        <w:rPr>
          <w:sz w:val="28"/>
        </w:rPr>
        <w:t>建筑总面积</w:t>
      </w:r>
      <w:r>
        <w:rPr>
          <w:rFonts w:hint="eastAsia"/>
          <w:sz w:val="28"/>
        </w:rPr>
        <w:t>：</w:t>
      </w:r>
      <w:r>
        <w:rPr>
          <w:sz w:val="28"/>
        </w:rPr>
        <w:t>地上</w:t>
      </w:r>
      <w:r>
        <w:rPr>
          <w:rFonts w:hint="eastAsia"/>
          <w:sz w:val="28"/>
        </w:rPr>
        <w:t>≤239024</w:t>
      </w:r>
      <w:r>
        <w:rPr>
          <w:sz w:val="28"/>
        </w:rPr>
        <w:t>平方米</w:t>
      </w:r>
      <w:r>
        <w:rPr>
          <w:rFonts w:hint="eastAsia"/>
          <w:sz w:val="28"/>
        </w:rPr>
        <w:t>，</w:t>
      </w:r>
      <w:r>
        <w:rPr>
          <w:sz w:val="28"/>
        </w:rPr>
        <w:t>其中</w:t>
      </w:r>
      <w:r>
        <w:rPr>
          <w:rFonts w:hint="eastAsia"/>
          <w:sz w:val="28"/>
        </w:rPr>
        <w:t>0013</w:t>
      </w:r>
      <w:r>
        <w:rPr>
          <w:sz w:val="28"/>
        </w:rPr>
        <w:t>地块</w:t>
      </w:r>
      <w:r>
        <w:rPr>
          <w:rFonts w:hint="eastAsia"/>
          <w:sz w:val="28"/>
        </w:rPr>
        <w:t>65940</w:t>
      </w:r>
      <w:r>
        <w:rPr>
          <w:sz w:val="28"/>
        </w:rPr>
        <w:t>平方米、</w:t>
      </w:r>
      <w:r>
        <w:rPr>
          <w:rFonts w:hint="eastAsia"/>
          <w:sz w:val="28"/>
        </w:rPr>
        <w:t>0018</w:t>
      </w:r>
      <w:r>
        <w:rPr>
          <w:sz w:val="28"/>
        </w:rPr>
        <w:t>地块</w:t>
      </w:r>
      <w:r>
        <w:rPr>
          <w:rFonts w:hint="eastAsia"/>
          <w:sz w:val="28"/>
        </w:rPr>
        <w:t>95591</w:t>
      </w:r>
      <w:r>
        <w:rPr>
          <w:sz w:val="28"/>
        </w:rPr>
        <w:t>平方米</w:t>
      </w:r>
      <w:r>
        <w:rPr>
          <w:rFonts w:hint="eastAsia"/>
          <w:sz w:val="28"/>
        </w:rPr>
        <w:t>、0019</w:t>
      </w:r>
      <w:r>
        <w:rPr>
          <w:sz w:val="28"/>
        </w:rPr>
        <w:t>地块</w:t>
      </w:r>
      <w:r>
        <w:rPr>
          <w:rFonts w:hint="eastAsia"/>
          <w:sz w:val="28"/>
        </w:rPr>
        <w:t>73413</w:t>
      </w:r>
      <w:r>
        <w:rPr>
          <w:sz w:val="28"/>
        </w:rPr>
        <w:t>平方米</w:t>
      </w:r>
      <w:r>
        <w:rPr>
          <w:rFonts w:hint="eastAsia"/>
          <w:sz w:val="28"/>
        </w:rPr>
        <w:t>、0020</w:t>
      </w:r>
      <w:r>
        <w:rPr>
          <w:sz w:val="28"/>
        </w:rPr>
        <w:t>地块</w:t>
      </w:r>
      <w:r>
        <w:rPr>
          <w:rFonts w:hint="eastAsia"/>
          <w:sz w:val="28"/>
        </w:rPr>
        <w:t>4080</w:t>
      </w:r>
      <w:r>
        <w:rPr>
          <w:sz w:val="28"/>
        </w:rPr>
        <w:t>平方米；</w:t>
      </w:r>
    </w:p>
    <w:p>
      <w:pPr>
        <w:snapToGrid w:val="0"/>
        <w:spacing w:line="360" w:lineRule="auto"/>
        <w:ind w:firstLine="280" w:firstLineChars="100"/>
        <w:rPr>
          <w:sz w:val="28"/>
        </w:rPr>
      </w:pPr>
      <w:r>
        <w:rPr>
          <w:sz w:val="28"/>
        </w:rPr>
        <w:t>建筑容积率：</w:t>
      </w:r>
      <w:r>
        <w:rPr>
          <w:rFonts w:hint="eastAsia"/>
          <w:sz w:val="28"/>
        </w:rPr>
        <w:t>001</w:t>
      </w:r>
      <w:r>
        <w:rPr>
          <w:rFonts w:hint="eastAsia"/>
          <w:sz w:val="28"/>
          <w:lang w:val="en-US" w:eastAsia="zh-CN"/>
        </w:rPr>
        <w:t>3</w:t>
      </w:r>
      <w:r>
        <w:rPr>
          <w:rFonts w:hint="eastAsia"/>
          <w:sz w:val="28"/>
        </w:rPr>
        <w:t>地块≤</w:t>
      </w:r>
      <w:r>
        <w:rPr>
          <w:rFonts w:hint="eastAsia"/>
          <w:sz w:val="28"/>
          <w:lang w:val="en-US" w:eastAsia="zh-CN"/>
        </w:rPr>
        <w:t>3</w:t>
      </w:r>
      <w:r>
        <w:rPr>
          <w:rFonts w:hint="eastAsia"/>
          <w:sz w:val="28"/>
        </w:rPr>
        <w:t>；001</w:t>
      </w:r>
      <w:r>
        <w:rPr>
          <w:rFonts w:hint="eastAsia"/>
          <w:sz w:val="28"/>
          <w:lang w:val="en-US" w:eastAsia="zh-CN"/>
        </w:rPr>
        <w:t>8</w:t>
      </w:r>
      <w:r>
        <w:rPr>
          <w:rFonts w:hint="eastAsia"/>
          <w:sz w:val="28"/>
        </w:rPr>
        <w:t>地块≤2.5；</w:t>
      </w:r>
      <w:r>
        <w:rPr>
          <w:rFonts w:hint="eastAsia"/>
          <w:sz w:val="28"/>
          <w:lang w:val="en-US" w:eastAsia="zh-CN"/>
        </w:rPr>
        <w:t>0019地块</w:t>
      </w:r>
      <w:r>
        <w:rPr>
          <w:rFonts w:hint="eastAsia"/>
          <w:sz w:val="28"/>
        </w:rPr>
        <w:t>≤2.5；</w:t>
      </w:r>
      <w:r>
        <w:rPr>
          <w:rFonts w:hint="eastAsia"/>
          <w:sz w:val="28"/>
          <w:lang w:val="en-US" w:eastAsia="zh-CN"/>
        </w:rPr>
        <w:t>0020</w:t>
      </w:r>
      <w:r>
        <w:rPr>
          <w:rFonts w:hint="eastAsia"/>
          <w:sz w:val="28"/>
        </w:rPr>
        <w:t>地块≤</w:t>
      </w:r>
      <w:r>
        <w:rPr>
          <w:rFonts w:hint="eastAsia"/>
          <w:sz w:val="28"/>
          <w:lang w:val="en-US" w:eastAsia="zh-CN"/>
        </w:rPr>
        <w:t>0.8</w:t>
      </w:r>
      <w:r>
        <w:rPr>
          <w:rFonts w:hint="eastAsia"/>
          <w:sz w:val="28"/>
        </w:rPr>
        <w:t>；</w:t>
      </w:r>
    </w:p>
    <w:p>
      <w:pPr>
        <w:snapToGrid w:val="0"/>
        <w:spacing w:line="360" w:lineRule="auto"/>
        <w:ind w:firstLine="280" w:firstLineChars="100"/>
        <w:rPr>
          <w:sz w:val="28"/>
          <w:highlight w:val="none"/>
        </w:rPr>
      </w:pPr>
      <w:r>
        <w:rPr>
          <w:sz w:val="28"/>
          <w:highlight w:val="none"/>
        </w:rPr>
        <w:t>建筑限高：</w:t>
      </w:r>
      <w:r>
        <w:rPr>
          <w:rFonts w:hint="eastAsia"/>
          <w:sz w:val="28"/>
          <w:highlight w:val="none"/>
        </w:rPr>
        <w:t>001</w:t>
      </w:r>
      <w:r>
        <w:rPr>
          <w:rFonts w:hint="eastAsia"/>
          <w:sz w:val="28"/>
          <w:highlight w:val="none"/>
          <w:lang w:val="en-US" w:eastAsia="zh-CN"/>
        </w:rPr>
        <w:t>3</w:t>
      </w:r>
      <w:r>
        <w:rPr>
          <w:rFonts w:hint="eastAsia"/>
          <w:sz w:val="28"/>
          <w:highlight w:val="none"/>
        </w:rPr>
        <w:t>地块≤</w:t>
      </w:r>
      <w:r>
        <w:rPr>
          <w:rFonts w:hint="eastAsia"/>
          <w:sz w:val="28"/>
          <w:highlight w:val="none"/>
          <w:lang w:val="en-US" w:eastAsia="zh-CN"/>
        </w:rPr>
        <w:t>60</w:t>
      </w:r>
      <w:r>
        <w:rPr>
          <w:rFonts w:hint="eastAsia"/>
          <w:sz w:val="28"/>
          <w:highlight w:val="none"/>
        </w:rPr>
        <w:t>；001</w:t>
      </w:r>
      <w:r>
        <w:rPr>
          <w:rFonts w:hint="eastAsia"/>
          <w:sz w:val="28"/>
          <w:highlight w:val="none"/>
          <w:lang w:val="en-US" w:eastAsia="zh-CN"/>
        </w:rPr>
        <w:t>8</w:t>
      </w:r>
      <w:r>
        <w:rPr>
          <w:rFonts w:hint="eastAsia"/>
          <w:sz w:val="28"/>
          <w:highlight w:val="none"/>
        </w:rPr>
        <w:t>地块≤</w:t>
      </w:r>
      <w:r>
        <w:rPr>
          <w:rFonts w:hint="eastAsia"/>
          <w:sz w:val="28"/>
          <w:highlight w:val="none"/>
          <w:lang w:val="en-US" w:eastAsia="zh-CN"/>
        </w:rPr>
        <w:t>60</w:t>
      </w:r>
      <w:r>
        <w:rPr>
          <w:rFonts w:hint="eastAsia"/>
          <w:sz w:val="28"/>
          <w:highlight w:val="none"/>
        </w:rPr>
        <w:t>；001</w:t>
      </w:r>
      <w:r>
        <w:rPr>
          <w:rFonts w:hint="eastAsia"/>
          <w:sz w:val="28"/>
          <w:highlight w:val="none"/>
          <w:lang w:val="en-US" w:eastAsia="zh-CN"/>
        </w:rPr>
        <w:t>9</w:t>
      </w:r>
      <w:r>
        <w:rPr>
          <w:rFonts w:hint="eastAsia"/>
          <w:sz w:val="28"/>
          <w:highlight w:val="none"/>
        </w:rPr>
        <w:t>地块≤</w:t>
      </w:r>
      <w:r>
        <w:rPr>
          <w:rFonts w:hint="eastAsia"/>
          <w:sz w:val="28"/>
          <w:highlight w:val="none"/>
          <w:lang w:val="en-US" w:eastAsia="zh-CN"/>
        </w:rPr>
        <w:t>60</w:t>
      </w:r>
      <w:r>
        <w:rPr>
          <w:rFonts w:hint="eastAsia"/>
          <w:sz w:val="28"/>
          <w:highlight w:val="none"/>
        </w:rPr>
        <w:t>；</w:t>
      </w:r>
      <w:r>
        <w:rPr>
          <w:rFonts w:hint="eastAsia"/>
          <w:sz w:val="28"/>
          <w:highlight w:val="none"/>
          <w:lang w:val="en-US" w:eastAsia="zh-CN"/>
        </w:rPr>
        <w:t>0020</w:t>
      </w:r>
      <w:r>
        <w:rPr>
          <w:rFonts w:hint="eastAsia"/>
          <w:sz w:val="28"/>
          <w:highlight w:val="none"/>
        </w:rPr>
        <w:t>地块≤</w:t>
      </w:r>
      <w:r>
        <w:rPr>
          <w:rFonts w:hint="eastAsia"/>
          <w:sz w:val="28"/>
          <w:highlight w:val="none"/>
          <w:lang w:val="en-US" w:eastAsia="zh-CN"/>
        </w:rPr>
        <w:t>15</w:t>
      </w:r>
      <w:r>
        <w:rPr>
          <w:rFonts w:hint="eastAsia"/>
          <w:sz w:val="28"/>
          <w:highlight w:val="none"/>
        </w:rPr>
        <w:t>；</w:t>
      </w:r>
    </w:p>
    <w:p>
      <w:pPr>
        <w:snapToGrid w:val="0"/>
        <w:spacing w:line="360" w:lineRule="auto"/>
        <w:ind w:firstLine="280" w:firstLineChars="100"/>
        <w:rPr>
          <w:sz w:val="28"/>
        </w:rPr>
      </w:pPr>
      <w:r>
        <w:rPr>
          <w:sz w:val="28"/>
        </w:rPr>
        <w:t>绿地率：</w:t>
      </w:r>
      <w:r>
        <w:rPr>
          <w:rFonts w:hint="eastAsia"/>
          <w:sz w:val="28"/>
        </w:rPr>
        <w:t>≥30%；</w:t>
      </w:r>
    </w:p>
    <w:p>
      <w:pPr>
        <w:snapToGrid w:val="0"/>
        <w:spacing w:line="360" w:lineRule="auto"/>
        <w:ind w:firstLine="560" w:firstLineChars="200"/>
        <w:rPr>
          <w:sz w:val="28"/>
        </w:rPr>
      </w:pPr>
      <w:r>
        <w:rPr>
          <w:rFonts w:hint="eastAsia"/>
          <w:sz w:val="28"/>
        </w:rPr>
        <w:t>具体指标及其它要求详见《建设项目规划条件（土地储备供应）》（2019规自（大）条供字0005号）和《建设工程规划用地测量成果报告》（2018规（大）测字0053号）。受让人需严格执行《建设项目规划条件（土地储备供应）》（2019规自（大）条供字0005号）的有关条款。</w:t>
      </w:r>
    </w:p>
    <w:p>
      <w:pPr>
        <w:numPr>
          <w:ilvl w:val="0"/>
          <w:numId w:val="0"/>
        </w:numPr>
        <w:snapToGrid w:val="0"/>
        <w:spacing w:line="360" w:lineRule="auto"/>
        <w:ind w:left="0" w:firstLine="560" w:firstLineChars="200"/>
        <w:rPr>
          <w:sz w:val="28"/>
        </w:rPr>
      </w:pPr>
      <w:r>
        <w:rPr>
          <w:rFonts w:hint="eastAsia"/>
          <w:sz w:val="28"/>
        </w:rPr>
        <w:t>第十</w:t>
      </w:r>
      <w:r>
        <w:rPr>
          <w:rFonts w:hint="eastAsia"/>
          <w:sz w:val="28"/>
          <w:lang w:val="en-US" w:eastAsia="zh-CN"/>
        </w:rPr>
        <w:t>五</w:t>
      </w:r>
      <w:r>
        <w:rPr>
          <w:rFonts w:hint="eastAsia"/>
          <w:sz w:val="28"/>
        </w:rPr>
        <w:t>条 本次出让宗地内须配建建筑规模</w:t>
      </w:r>
      <w:r>
        <w:rPr>
          <w:rFonts w:hint="eastAsia"/>
          <w:sz w:val="28"/>
          <w:lang w:val="en-US" w:eastAsia="zh-CN"/>
        </w:rPr>
        <w:t>42300</w:t>
      </w:r>
      <w:r>
        <w:rPr>
          <w:rFonts w:hint="eastAsia"/>
          <w:sz w:val="28"/>
        </w:rPr>
        <w:t>平方米的“保障性租赁住房”，将由受让人完成建设，并由北京博大新元房地产开发有限公司回购并持有。具体要求严格按照本项目挂牌文件、《北京市新建住宅项目配建住房回购协议书》及政府相关文件执行。</w:t>
      </w:r>
    </w:p>
    <w:p>
      <w:pPr>
        <w:numPr>
          <w:ilvl w:val="0"/>
          <w:numId w:val="0"/>
        </w:numPr>
        <w:snapToGrid w:val="0"/>
        <w:spacing w:line="360" w:lineRule="auto"/>
        <w:ind w:firstLine="560" w:firstLineChars="200"/>
        <w:rPr>
          <w:sz w:val="28"/>
        </w:rPr>
      </w:pPr>
      <w:r>
        <w:rPr>
          <w:rFonts w:hint="eastAsia"/>
          <w:sz w:val="28"/>
        </w:rPr>
        <w:t>第十</w:t>
      </w:r>
      <w:r>
        <w:rPr>
          <w:rFonts w:hint="eastAsia"/>
          <w:sz w:val="28"/>
          <w:lang w:val="en-US" w:eastAsia="zh-CN"/>
        </w:rPr>
        <w:t>六</w:t>
      </w:r>
      <w:r>
        <w:rPr>
          <w:rFonts w:hint="eastAsia"/>
          <w:sz w:val="28"/>
        </w:rPr>
        <w:t>条</w:t>
      </w:r>
      <w:r>
        <w:rPr>
          <w:rFonts w:hint="eastAsia"/>
          <w:sz w:val="28"/>
          <w:lang w:val="en-US" w:eastAsia="zh-CN"/>
        </w:rPr>
        <w:t xml:space="preserve"> </w:t>
      </w:r>
      <w:r>
        <w:rPr>
          <w:rFonts w:hint="eastAsia"/>
          <w:sz w:val="28"/>
        </w:rPr>
        <w:t>本项目应按照《北京</w:t>
      </w:r>
      <w:r>
        <w:rPr>
          <w:rFonts w:hint="eastAsia"/>
          <w:sz w:val="28"/>
          <w:highlight w:val="none"/>
        </w:rPr>
        <w:t>市住宅工程质量潜在缺陷保险暂行管理办法》（京政办发〔2019〕11 号）文件的有关规定执行。</w:t>
      </w:r>
    </w:p>
    <w:p>
      <w:pPr>
        <w:numPr>
          <w:ilvl w:val="0"/>
          <w:numId w:val="0"/>
        </w:numPr>
        <w:snapToGrid w:val="0"/>
        <w:spacing w:line="360" w:lineRule="auto"/>
        <w:ind w:left="0" w:leftChars="0" w:firstLine="537" w:firstLineChars="192"/>
        <w:rPr>
          <w:rFonts w:hint="eastAsia"/>
          <w:sz w:val="28"/>
          <w:lang w:val="en-US" w:eastAsia="zh-CN"/>
        </w:rPr>
      </w:pPr>
      <w:r>
        <w:rPr>
          <w:rFonts w:hint="eastAsia"/>
          <w:sz w:val="28"/>
        </w:rPr>
        <w:t>第十</w:t>
      </w:r>
      <w:r>
        <w:rPr>
          <w:rFonts w:hint="eastAsia"/>
          <w:sz w:val="28"/>
          <w:lang w:val="en-US" w:eastAsia="zh-CN"/>
        </w:rPr>
        <w:t>七</w:t>
      </w:r>
      <w:r>
        <w:rPr>
          <w:rFonts w:hint="eastAsia"/>
          <w:sz w:val="28"/>
        </w:rPr>
        <w:t>条</w:t>
      </w:r>
      <w:r>
        <w:rPr>
          <w:rFonts w:hint="eastAsia"/>
          <w:sz w:val="28"/>
          <w:lang w:val="en-US" w:eastAsia="zh-CN"/>
        </w:rPr>
        <w:t xml:space="preserve"> 该项目须满足以下最低品质保障要求：绿色建筑二星级标准、实施装配式建筑且装配率达到60%即A（BJ）级、设置太阳能光伏或光热系统。其中绿色建筑应符合《绿色建筑评价标准》GB/T 50378-2019和北京市《绿色建筑评价标准》DB11/T 825-2021；装配式建筑应符合《装配式建筑评价标准》DB11/T 1831-2021；设置太阳能光伏或光热的居住建筑应符合《居住建筑节能设计标准》DB11/891-2020，公共建筑应符合《公共建筑节能设计标准》DB11/687-2015。</w:t>
      </w:r>
    </w:p>
    <w:p>
      <w:pPr>
        <w:numPr>
          <w:ilvl w:val="0"/>
          <w:numId w:val="0"/>
        </w:numPr>
        <w:snapToGrid w:val="0"/>
        <w:spacing w:line="360" w:lineRule="auto"/>
        <w:ind w:firstLine="560" w:firstLineChars="200"/>
        <w:rPr>
          <w:rFonts w:hint="eastAsia"/>
          <w:sz w:val="28"/>
        </w:rPr>
      </w:pPr>
      <w:r>
        <w:rPr>
          <w:rFonts w:hint="eastAsia"/>
          <w:sz w:val="28"/>
        </w:rPr>
        <w:t>第十</w:t>
      </w:r>
      <w:r>
        <w:rPr>
          <w:rFonts w:hint="eastAsia"/>
          <w:sz w:val="28"/>
          <w:lang w:val="en-US" w:eastAsia="zh-CN"/>
        </w:rPr>
        <w:t>八</w:t>
      </w:r>
      <w:r>
        <w:rPr>
          <w:rFonts w:hint="eastAsia"/>
          <w:sz w:val="28"/>
        </w:rPr>
        <w:t>条</w:t>
      </w:r>
      <w:r>
        <w:rPr>
          <w:rFonts w:hint="eastAsia"/>
          <w:sz w:val="28"/>
          <w:lang w:val="en-US" w:eastAsia="zh-CN"/>
        </w:rPr>
        <w:t xml:space="preserve"> </w:t>
      </w:r>
      <w:r>
        <w:rPr>
          <w:rFonts w:hint="eastAsia"/>
          <w:sz w:val="28"/>
        </w:rPr>
        <w:t>本项目应严格执行《关于进一步加强房地产开发企业工程建设质量安全管理工作的通知》（京建法[2016]2 号）的有关规定。</w:t>
      </w:r>
    </w:p>
    <w:p>
      <w:pPr>
        <w:numPr>
          <w:ilvl w:val="0"/>
          <w:numId w:val="0"/>
        </w:numPr>
        <w:snapToGrid w:val="0"/>
        <w:spacing w:line="360" w:lineRule="auto"/>
        <w:ind w:firstLine="560" w:firstLineChars="200"/>
        <w:rPr>
          <w:rFonts w:hint="eastAsia"/>
          <w:sz w:val="28"/>
        </w:rPr>
      </w:pPr>
      <w:r>
        <w:rPr>
          <w:rFonts w:hint="eastAsia"/>
          <w:sz w:val="28"/>
        </w:rPr>
        <w:t>第十</w:t>
      </w:r>
      <w:r>
        <w:rPr>
          <w:rFonts w:hint="eastAsia"/>
          <w:sz w:val="28"/>
          <w:lang w:val="en-US" w:eastAsia="zh-CN"/>
        </w:rPr>
        <w:t>九</w:t>
      </w:r>
      <w:r>
        <w:rPr>
          <w:rFonts w:hint="eastAsia"/>
          <w:sz w:val="28"/>
        </w:rPr>
        <w:t>条</w:t>
      </w:r>
      <w:r>
        <w:rPr>
          <w:rFonts w:hint="eastAsia"/>
          <w:sz w:val="28"/>
          <w:lang w:val="en-US" w:eastAsia="zh-CN"/>
        </w:rPr>
        <w:t xml:space="preserve"> </w:t>
      </w:r>
      <w:r>
        <w:rPr>
          <w:rFonts w:hint="eastAsia"/>
          <w:sz w:val="28"/>
        </w:rPr>
        <w:t>本</w:t>
      </w:r>
      <w:r>
        <w:rPr>
          <w:rFonts w:hint="eastAsia"/>
          <w:sz w:val="28"/>
          <w:lang w:val="en-US" w:eastAsia="zh-CN"/>
        </w:rPr>
        <w:t>项目</w:t>
      </w:r>
      <w:r>
        <w:rPr>
          <w:rFonts w:hint="eastAsia"/>
          <w:sz w:val="28"/>
        </w:rPr>
        <w:t>居住用途建筑规模中套内建筑面积90平方米以下住房面积所占比重须达到开发建设总面积的70%以上。</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二十</w:t>
      </w:r>
      <w:r>
        <w:rPr>
          <w:rFonts w:hint="eastAsia"/>
          <w:sz w:val="28"/>
        </w:rPr>
        <w:t>条</w:t>
      </w:r>
      <w:r>
        <w:rPr>
          <w:rFonts w:hint="eastAsia"/>
          <w:sz w:val="28"/>
          <w:lang w:val="en-US" w:eastAsia="zh-CN"/>
        </w:rPr>
        <w:t xml:space="preserve"> </w:t>
      </w:r>
      <w:r>
        <w:rPr>
          <w:rFonts w:hint="eastAsia"/>
          <w:sz w:val="28"/>
        </w:rPr>
        <w:t>DX05-0200-0020地块，建筑规模</w:t>
      </w:r>
      <w:r>
        <w:rPr>
          <w:rFonts w:hint="eastAsia"/>
          <w:sz w:val="28"/>
          <w:lang w:val="en-US" w:eastAsia="zh-CN"/>
        </w:rPr>
        <w:t>4080</w:t>
      </w:r>
      <w:r>
        <w:rPr>
          <w:rFonts w:hint="eastAsia"/>
          <w:sz w:val="28"/>
        </w:rPr>
        <w:t>平方米，</w:t>
      </w:r>
      <w:r>
        <w:rPr>
          <w:rFonts w:hint="eastAsia"/>
          <w:sz w:val="28"/>
          <w:lang w:val="en-US" w:eastAsia="zh-CN"/>
        </w:rPr>
        <w:t>由竞得人代建并无偿移交相关主管部门</w:t>
      </w:r>
      <w:r>
        <w:rPr>
          <w:rFonts w:hint="eastAsia"/>
          <w:sz w:val="28"/>
        </w:rPr>
        <w:t>。</w:t>
      </w:r>
    </w:p>
    <w:p>
      <w:pPr>
        <w:numPr>
          <w:ilvl w:val="0"/>
          <w:numId w:val="0"/>
        </w:numPr>
        <w:snapToGrid w:val="0"/>
        <w:spacing w:line="360" w:lineRule="auto"/>
        <w:ind w:left="19" w:leftChars="9" w:firstLine="523" w:firstLineChars="187"/>
        <w:rPr>
          <w:sz w:val="28"/>
        </w:rPr>
      </w:pPr>
      <w:r>
        <w:rPr>
          <w:rFonts w:hint="eastAsia"/>
          <w:sz w:val="28"/>
        </w:rPr>
        <w:t>第</w:t>
      </w:r>
      <w:r>
        <w:rPr>
          <w:rFonts w:hint="eastAsia"/>
          <w:sz w:val="28"/>
          <w:lang w:val="en-US" w:eastAsia="zh-CN"/>
        </w:rPr>
        <w:t>二十一</w:t>
      </w:r>
      <w:r>
        <w:rPr>
          <w:rFonts w:hint="eastAsia"/>
          <w:sz w:val="28"/>
        </w:rPr>
        <w:t>条</w:t>
      </w:r>
      <w:r>
        <w:rPr>
          <w:rFonts w:hint="eastAsia"/>
          <w:sz w:val="28"/>
          <w:lang w:val="en-US" w:eastAsia="zh-CN"/>
        </w:rPr>
        <w:t xml:space="preserve"> </w:t>
      </w:r>
      <w:r>
        <w:rPr>
          <w:rFonts w:hint="eastAsia"/>
          <w:sz w:val="28"/>
        </w:rPr>
        <w:t>该宗地内D</w:t>
      </w:r>
      <w:r>
        <w:rPr>
          <w:rFonts w:hint="eastAsia"/>
          <w:sz w:val="28"/>
          <w:lang w:val="en-US" w:eastAsia="zh-CN"/>
        </w:rPr>
        <w:t>X05-0200-0013</w:t>
      </w:r>
      <w:r>
        <w:rPr>
          <w:rFonts w:hint="eastAsia"/>
          <w:sz w:val="28"/>
        </w:rPr>
        <w:t>地块内，受让人提供地上</w:t>
      </w:r>
      <w:r>
        <w:rPr>
          <w:rFonts w:hint="eastAsia"/>
          <w:sz w:val="28"/>
          <w:lang w:val="en-US" w:eastAsia="zh-CN"/>
        </w:rPr>
        <w:t>26488.3</w:t>
      </w:r>
      <w:r>
        <w:rPr>
          <w:rFonts w:hint="eastAsia"/>
          <w:sz w:val="28"/>
        </w:rPr>
        <w:t>平方米商业用房，由北京宏熙建业资产管理有限公司回购。具体内容详见《实物还建协议》。</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二十二</w:t>
      </w:r>
      <w:r>
        <w:rPr>
          <w:rFonts w:hint="eastAsia"/>
          <w:sz w:val="28"/>
        </w:rPr>
        <w:t>条</w:t>
      </w:r>
      <w:r>
        <w:rPr>
          <w:rFonts w:hint="eastAsia"/>
          <w:sz w:val="28"/>
          <w:lang w:val="en-US" w:eastAsia="zh-CN"/>
        </w:rPr>
        <w:t xml:space="preserve"> </w:t>
      </w:r>
      <w:r>
        <w:rPr>
          <w:rFonts w:hint="eastAsia"/>
          <w:sz w:val="28"/>
        </w:rPr>
        <w:t>该项目应严格执行《关于印发〈北京市新建商品住宅小区住宅与市政公用基础设施、公共服务设施同步交付使用管理暂行办法〉的通知》（京建法[2007]99号）及《北京市政府办公厅转发市教委等部门关于加强本市居住区配套教育设施规划管理意见的通知》（京政办发[2013]44号）的有关规定。</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二十三</w:t>
      </w:r>
      <w:r>
        <w:rPr>
          <w:rFonts w:hint="eastAsia"/>
          <w:sz w:val="28"/>
        </w:rPr>
        <w:t>条</w:t>
      </w:r>
      <w:r>
        <w:rPr>
          <w:rFonts w:hint="eastAsia"/>
          <w:sz w:val="28"/>
          <w:lang w:val="en-US" w:eastAsia="zh-CN"/>
        </w:rPr>
        <w:t xml:space="preserve"> </w:t>
      </w:r>
      <w:r>
        <w:rPr>
          <w:rFonts w:hint="eastAsia"/>
          <w:sz w:val="28"/>
        </w:rPr>
        <w:t>受让人应严格执行《北京市土壤污染防治工作方案》（京政发[2016]63号）第28条规定“按照'谁污染，谁治理'原则，造成土壤污染的单位或个人承担治理修复主体责任。责任主体发生变更的，由变更后继承其债权、债务的单位或个人承担相关责任；土地使用权依法转让的，由土地使用权受让人或双方约定的责任人承担相关责任。责任主体灭失或责任主体不明确的，由所在区政府依法承担相关责任”。</w:t>
      </w:r>
    </w:p>
    <w:p>
      <w:pPr>
        <w:numPr>
          <w:ilvl w:val="0"/>
          <w:numId w:val="0"/>
        </w:numPr>
        <w:snapToGrid w:val="0"/>
        <w:spacing w:line="360" w:lineRule="auto"/>
        <w:ind w:left="0" w:firstLine="560" w:firstLineChars="200"/>
        <w:rPr>
          <w:sz w:val="28"/>
        </w:rPr>
      </w:pPr>
      <w:r>
        <w:rPr>
          <w:rFonts w:hint="eastAsia"/>
          <w:sz w:val="28"/>
        </w:rPr>
        <w:t>土地使用权人或管理人应履行土地巡查、管理责任，发现违法排污行为和土壤污染现象，应及时采取措施并向上级主管部门、国土资源管理部门和环保部门报告。</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二十三</w:t>
      </w:r>
      <w:r>
        <w:rPr>
          <w:rFonts w:hint="eastAsia"/>
          <w:sz w:val="28"/>
        </w:rPr>
        <w:t>条</w:t>
      </w:r>
      <w:r>
        <w:rPr>
          <w:rFonts w:hint="eastAsia"/>
          <w:sz w:val="28"/>
          <w:lang w:val="en-US" w:eastAsia="zh-CN"/>
        </w:rPr>
        <w:t xml:space="preserve"> </w:t>
      </w:r>
      <w:r>
        <w:rPr>
          <w:rFonts w:hint="eastAsia"/>
          <w:sz w:val="28"/>
        </w:rPr>
        <w:t>本项目应严格按照《关于进一步加强商业、办公类项目管理的公告》（京建发[2017]第112号）和《关于严格商业办公类项目规划建设行政审批的通知》（京建发[2017]147号）的有关要求执行。</w:t>
      </w:r>
    </w:p>
    <w:p>
      <w:pPr>
        <w:numPr>
          <w:ilvl w:val="0"/>
          <w:numId w:val="0"/>
        </w:numPr>
        <w:snapToGrid w:val="0"/>
        <w:spacing w:line="360" w:lineRule="auto"/>
        <w:ind w:firstLine="560" w:firstLineChars="200"/>
        <w:rPr>
          <w:rFonts w:hint="eastAsia"/>
          <w:sz w:val="28"/>
        </w:rPr>
      </w:pPr>
      <w:r>
        <w:rPr>
          <w:rFonts w:hint="eastAsia"/>
          <w:sz w:val="28"/>
        </w:rPr>
        <w:t>第</w:t>
      </w:r>
      <w:r>
        <w:rPr>
          <w:rFonts w:hint="eastAsia"/>
          <w:sz w:val="28"/>
          <w:lang w:val="en-US" w:eastAsia="zh-CN"/>
        </w:rPr>
        <w:t>二十四</w:t>
      </w:r>
      <w:r>
        <w:rPr>
          <w:rFonts w:hint="eastAsia"/>
          <w:sz w:val="28"/>
        </w:rPr>
        <w:t>条</w:t>
      </w:r>
      <w:r>
        <w:rPr>
          <w:rFonts w:hint="eastAsia"/>
          <w:sz w:val="28"/>
          <w:lang w:val="en-US" w:eastAsia="zh-CN"/>
        </w:rPr>
        <w:t xml:space="preserve"> </w:t>
      </w:r>
      <w:r>
        <w:rPr>
          <w:rFonts w:hint="eastAsia"/>
          <w:sz w:val="28"/>
        </w:rPr>
        <w:t>项目应严格按照《关于进一步加强产业项目管理的通知》（市规划国土发[2017]第121号）的有关要求执行。</w:t>
      </w:r>
    </w:p>
    <w:p>
      <w:pPr>
        <w:numPr>
          <w:ilvl w:val="0"/>
          <w:numId w:val="0"/>
        </w:numPr>
        <w:snapToGrid w:val="0"/>
        <w:spacing w:line="360" w:lineRule="auto"/>
        <w:ind w:firstLine="560" w:firstLineChars="200"/>
        <w:rPr>
          <w:rFonts w:hint="eastAsia"/>
          <w:sz w:val="28"/>
        </w:rPr>
      </w:pPr>
      <w:r>
        <w:rPr>
          <w:rFonts w:hint="eastAsia"/>
          <w:sz w:val="28"/>
        </w:rPr>
        <w:t>第</w:t>
      </w:r>
      <w:r>
        <w:rPr>
          <w:rFonts w:hint="eastAsia"/>
          <w:sz w:val="28"/>
          <w:lang w:val="en-US" w:eastAsia="zh-CN"/>
        </w:rPr>
        <w:t>二十五</w:t>
      </w:r>
      <w:r>
        <w:rPr>
          <w:rFonts w:hint="eastAsia"/>
          <w:sz w:val="28"/>
        </w:rPr>
        <w:t>条</w:t>
      </w:r>
      <w:r>
        <w:rPr>
          <w:rFonts w:hint="eastAsia"/>
          <w:sz w:val="28"/>
          <w:lang w:val="en-US" w:eastAsia="zh-CN"/>
        </w:rPr>
        <w:t xml:space="preserve"> 本项目应符合《北京市新增产业的禁止和限制目录》的相关要求。</w:t>
      </w:r>
    </w:p>
    <w:p>
      <w:pPr>
        <w:numPr>
          <w:ilvl w:val="0"/>
          <w:numId w:val="0"/>
        </w:numPr>
        <w:snapToGrid w:val="0"/>
        <w:spacing w:line="360" w:lineRule="auto"/>
        <w:ind w:firstLine="560" w:firstLineChars="200"/>
        <w:rPr>
          <w:rFonts w:hint="eastAsia"/>
          <w:sz w:val="28"/>
        </w:rPr>
      </w:pPr>
      <w:r>
        <w:rPr>
          <w:rFonts w:hint="eastAsia"/>
          <w:sz w:val="28"/>
        </w:rPr>
        <w:t>第</w:t>
      </w:r>
      <w:r>
        <w:rPr>
          <w:rFonts w:hint="eastAsia"/>
          <w:sz w:val="28"/>
          <w:lang w:val="en-US" w:eastAsia="zh-CN"/>
        </w:rPr>
        <w:t>二十六</w:t>
      </w:r>
      <w:r>
        <w:rPr>
          <w:rFonts w:hint="eastAsia"/>
          <w:sz w:val="28"/>
        </w:rPr>
        <w:t>条</w:t>
      </w:r>
      <w:r>
        <w:rPr>
          <w:rFonts w:hint="eastAsia"/>
          <w:sz w:val="28"/>
          <w:lang w:val="en-US" w:eastAsia="zh-CN"/>
        </w:rPr>
        <w:t xml:space="preserve"> </w:t>
      </w:r>
      <w:r>
        <w:rPr>
          <w:rFonts w:hint="eastAsia"/>
          <w:sz w:val="28"/>
        </w:rPr>
        <w:t>根据《北京市人民政府关于进一步提升首都邮政普遍服务水平的意见》（京政发〔2011〕4号），邮件处理中心、邮政运输及物流配送中心、邮件运转站、国际邮件互换局及交换站、邮政局（所）等非赢利性邮政设施建设用地，按照国家有关规定采取划拨方式供地，未经批准，不得转让，改变用途。本项目内按照居住公共服务设施规划设计指标配套建设的邮政局（所），将由邮政部门以建安成本价接收，并作为公共服务设施纳入《国有建设用地使用权出让合同》，按照本市新建商品住宅小区住宅与市政公用基础设施、公共服务设施同步交付使用管理的相关规定进行管理，保证及时交付使用。</w:t>
      </w:r>
    </w:p>
    <w:p>
      <w:pPr>
        <w:numPr>
          <w:ilvl w:val="0"/>
          <w:numId w:val="0"/>
        </w:numPr>
        <w:snapToGrid w:val="0"/>
        <w:spacing w:line="360" w:lineRule="auto"/>
        <w:ind w:firstLine="560" w:firstLineChars="200"/>
        <w:rPr>
          <w:rFonts w:hint="eastAsia"/>
          <w:sz w:val="28"/>
        </w:rPr>
      </w:pPr>
      <w:r>
        <w:rPr>
          <w:rFonts w:hint="eastAsia"/>
          <w:sz w:val="28"/>
        </w:rPr>
        <w:t>第</w:t>
      </w:r>
      <w:r>
        <w:rPr>
          <w:rFonts w:hint="eastAsia"/>
          <w:sz w:val="28"/>
          <w:lang w:val="en-US" w:eastAsia="zh-CN"/>
        </w:rPr>
        <w:t>二十七</w:t>
      </w:r>
      <w:r>
        <w:rPr>
          <w:rFonts w:hint="eastAsia"/>
          <w:sz w:val="28"/>
        </w:rPr>
        <w:t>条</w:t>
      </w:r>
      <w:r>
        <w:rPr>
          <w:rFonts w:hint="eastAsia"/>
          <w:sz w:val="28"/>
          <w:lang w:val="en-US" w:eastAsia="zh-CN"/>
        </w:rPr>
        <w:t xml:space="preserve"> </w:t>
      </w:r>
      <w:r>
        <w:rPr>
          <w:rFonts w:hint="eastAsia"/>
          <w:sz w:val="28"/>
        </w:rPr>
        <w:t>若受让人如为自然人、联合体、非北京市企业或北京市非房地产开发企业，应在出让宗地所在区成立一家能够独立承担责任的项目公司，进行该出让宗地的开发建设（自用除外），并按照有关规定申请相应的开发建设资质；若受让人为北京市房地产开发企业，可使用项目公司进行开发建设。</w:t>
      </w:r>
    </w:p>
    <w:p>
      <w:pPr>
        <w:numPr>
          <w:ilvl w:val="0"/>
          <w:numId w:val="0"/>
        </w:numPr>
        <w:snapToGrid w:val="0"/>
        <w:spacing w:line="360" w:lineRule="auto"/>
        <w:ind w:firstLine="560" w:firstLineChars="200"/>
        <w:rPr>
          <w:rFonts w:hint="eastAsia"/>
          <w:sz w:val="28"/>
        </w:rPr>
      </w:pPr>
      <w:r>
        <w:rPr>
          <w:rFonts w:hint="eastAsia"/>
          <w:sz w:val="28"/>
        </w:rPr>
        <w:t>受让人成立的项目公司须满足以下条款：</w:t>
      </w:r>
    </w:p>
    <w:p>
      <w:pPr>
        <w:numPr>
          <w:ilvl w:val="0"/>
          <w:numId w:val="0"/>
        </w:numPr>
        <w:snapToGrid w:val="0"/>
        <w:spacing w:line="360" w:lineRule="auto"/>
        <w:ind w:firstLine="560" w:firstLineChars="200"/>
        <w:rPr>
          <w:rFonts w:hint="eastAsia"/>
          <w:sz w:val="28"/>
        </w:rPr>
      </w:pPr>
      <w:r>
        <w:rPr>
          <w:rFonts w:hint="eastAsia"/>
          <w:sz w:val="28"/>
        </w:rPr>
        <w:t>（1）须为受让人的全资子公司；若受让人为联合体，则必须按照联合竞买协议中约定的联合体成员各自的出资比例成立新公司。</w:t>
      </w:r>
    </w:p>
    <w:p>
      <w:pPr>
        <w:numPr>
          <w:ilvl w:val="0"/>
          <w:numId w:val="0"/>
        </w:numPr>
        <w:snapToGrid w:val="0"/>
        <w:spacing w:line="360" w:lineRule="auto"/>
        <w:ind w:firstLine="560" w:firstLineChars="200"/>
        <w:rPr>
          <w:rFonts w:hint="eastAsia"/>
          <w:sz w:val="28"/>
        </w:rPr>
      </w:pPr>
      <w:r>
        <w:rPr>
          <w:rFonts w:hint="eastAsia"/>
          <w:sz w:val="28"/>
        </w:rPr>
        <w:t>（2）受让人需对变更后的受让人承担连带责任。</w:t>
      </w:r>
    </w:p>
    <w:p>
      <w:pPr>
        <w:numPr>
          <w:ilvl w:val="0"/>
          <w:numId w:val="0"/>
        </w:numPr>
        <w:snapToGrid w:val="0"/>
        <w:spacing w:line="360" w:lineRule="auto"/>
        <w:ind w:firstLine="560" w:firstLineChars="200"/>
        <w:rPr>
          <w:rFonts w:hint="eastAsia"/>
          <w:sz w:val="28"/>
        </w:rPr>
      </w:pPr>
      <w:r>
        <w:rPr>
          <w:rFonts w:hint="eastAsia"/>
          <w:sz w:val="28"/>
        </w:rPr>
        <w:t>（3）须按照有关规定申请相应的开发建设资质。</w:t>
      </w:r>
    </w:p>
    <w:p>
      <w:pPr>
        <w:numPr>
          <w:ilvl w:val="0"/>
          <w:numId w:val="0"/>
        </w:numPr>
        <w:snapToGrid w:val="0"/>
        <w:spacing w:line="360" w:lineRule="auto"/>
        <w:ind w:firstLine="560" w:firstLineChars="200"/>
        <w:rPr>
          <w:rFonts w:hint="eastAsia"/>
          <w:sz w:val="28"/>
        </w:rPr>
      </w:pPr>
      <w:r>
        <w:rPr>
          <w:rFonts w:hint="eastAsia"/>
          <w:sz w:val="28"/>
        </w:rPr>
        <w:t>若开发建设项目为受让人自用，则不允许转让或对外销售。</w:t>
      </w:r>
    </w:p>
    <w:p>
      <w:pPr>
        <w:numPr>
          <w:ilvl w:val="0"/>
          <w:numId w:val="0"/>
        </w:numPr>
        <w:snapToGrid w:val="0"/>
        <w:spacing w:line="360" w:lineRule="auto"/>
        <w:ind w:firstLine="560" w:firstLineChars="200"/>
        <w:rPr>
          <w:rFonts w:hint="eastAsia"/>
          <w:sz w:val="28"/>
        </w:rPr>
      </w:pPr>
      <w:r>
        <w:rPr>
          <w:rFonts w:hint="eastAsia"/>
          <w:sz w:val="28"/>
        </w:rPr>
        <w:t>第</w:t>
      </w:r>
      <w:r>
        <w:rPr>
          <w:rFonts w:hint="eastAsia"/>
          <w:sz w:val="28"/>
          <w:lang w:val="en-US" w:eastAsia="zh-CN"/>
        </w:rPr>
        <w:t>二十八</w:t>
      </w:r>
      <w:r>
        <w:rPr>
          <w:rFonts w:hint="eastAsia"/>
          <w:sz w:val="28"/>
        </w:rPr>
        <w:t>条</w:t>
      </w:r>
      <w:r>
        <w:rPr>
          <w:rFonts w:hint="eastAsia"/>
          <w:sz w:val="28"/>
          <w:lang w:val="en-US" w:eastAsia="zh-CN"/>
        </w:rPr>
        <w:t xml:space="preserve"> </w:t>
      </w:r>
      <w:r>
        <w:rPr>
          <w:rFonts w:hint="eastAsia"/>
          <w:sz w:val="28"/>
        </w:rPr>
        <w:t>受让人应在2022年    月    日之前动工建设。需要延期开工建设的，应至少提前３０日向出让方提出延期开工建设申请。经出让人同意延建的，其延建时间最长不得超过一年。</w:t>
      </w:r>
    </w:p>
    <w:p>
      <w:pPr>
        <w:numPr>
          <w:ilvl w:val="0"/>
          <w:numId w:val="0"/>
        </w:numPr>
        <w:snapToGrid w:val="0"/>
        <w:spacing w:line="360" w:lineRule="auto"/>
        <w:ind w:left="0" w:leftChars="0" w:firstLine="560" w:firstLineChars="200"/>
        <w:rPr>
          <w:rFonts w:hint="eastAsia"/>
          <w:sz w:val="28"/>
        </w:rPr>
      </w:pPr>
      <w:r>
        <w:rPr>
          <w:rFonts w:hint="eastAsia"/>
          <w:sz w:val="28"/>
        </w:rPr>
        <w:t>因不可抗力或者政府、政府有关部门的行为或者动工开发必需的前期工作造成动工开发延迟的，受让人应当及时向出让人申报并提供相关证明材料，由双方重新确定土地开发建设期限。</w:t>
      </w:r>
    </w:p>
    <w:p>
      <w:pPr>
        <w:numPr>
          <w:ilvl w:val="0"/>
          <w:numId w:val="0"/>
        </w:numPr>
        <w:snapToGrid w:val="0"/>
        <w:spacing w:line="360" w:lineRule="auto"/>
        <w:ind w:firstLine="560" w:firstLineChars="200"/>
        <w:rPr>
          <w:rFonts w:hint="eastAsia"/>
          <w:sz w:val="28"/>
        </w:rPr>
      </w:pPr>
      <w:r>
        <w:rPr>
          <w:rFonts w:hint="eastAsia"/>
          <w:sz w:val="28"/>
        </w:rPr>
        <w:t>第</w:t>
      </w:r>
      <w:r>
        <w:rPr>
          <w:rFonts w:hint="eastAsia"/>
          <w:sz w:val="28"/>
          <w:lang w:val="en-US" w:eastAsia="zh-CN"/>
        </w:rPr>
        <w:t>二十九</w:t>
      </w:r>
      <w:r>
        <w:rPr>
          <w:rFonts w:hint="eastAsia"/>
          <w:sz w:val="28"/>
        </w:rPr>
        <w:t>条</w:t>
      </w:r>
      <w:r>
        <w:rPr>
          <w:rFonts w:hint="eastAsia"/>
          <w:sz w:val="28"/>
          <w:lang w:val="en-US" w:eastAsia="zh-CN"/>
        </w:rPr>
        <w:t xml:space="preserve"> </w:t>
      </w:r>
      <w:r>
        <w:rPr>
          <w:rFonts w:hint="eastAsia"/>
          <w:sz w:val="28"/>
        </w:rPr>
        <w:t>让人应在2025年   月   日以前竣工，如确因工程特殊、复杂或规模较大，受让人在上述要求的时间内不能竣工的，应至少提前30日向出让人提出延期竣工申请。经出让人同意延期竣工的，其延期竣工时间不得超过一年。</w:t>
      </w:r>
    </w:p>
    <w:p>
      <w:pPr>
        <w:numPr>
          <w:ilvl w:val="0"/>
          <w:numId w:val="0"/>
        </w:numPr>
        <w:snapToGrid w:val="0"/>
        <w:spacing w:line="360" w:lineRule="auto"/>
        <w:ind w:firstLine="560" w:firstLineChars="200"/>
        <w:rPr>
          <w:rFonts w:hint="eastAsia"/>
          <w:sz w:val="28"/>
        </w:rPr>
      </w:pPr>
      <w:r>
        <w:rPr>
          <w:rFonts w:hint="eastAsia"/>
          <w:sz w:val="28"/>
        </w:rPr>
        <w:t>第</w:t>
      </w:r>
      <w:r>
        <w:rPr>
          <w:rFonts w:hint="eastAsia"/>
          <w:sz w:val="28"/>
          <w:lang w:val="en-US" w:eastAsia="zh-CN"/>
        </w:rPr>
        <w:t>三十</w:t>
      </w:r>
      <w:r>
        <w:rPr>
          <w:rFonts w:hint="eastAsia"/>
          <w:sz w:val="28"/>
        </w:rPr>
        <w:t>条</w:t>
      </w:r>
      <w:r>
        <w:rPr>
          <w:rFonts w:hint="eastAsia"/>
          <w:sz w:val="28"/>
          <w:lang w:val="en-US" w:eastAsia="zh-CN"/>
        </w:rPr>
        <w:t xml:space="preserve"> 受</w:t>
      </w:r>
      <w:r>
        <w:rPr>
          <w:rFonts w:hint="eastAsia"/>
          <w:sz w:val="28"/>
        </w:rPr>
        <w:t>让人在本出让宗地开工、竣工时，应及时向出让人书面申报该宗地的开发利用情况。受让人不能按出让合同约定期限开、竣工的，应在出让合同约定到期前15日内向出让人书面申报延迟原因。未按规定进行申报，北京市规划和自然资源委员会按有关规定向社会公示，并限制受让人至少在一年内不得参加北京市土地购置活动。</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三十一</w:t>
      </w:r>
      <w:r>
        <w:rPr>
          <w:rFonts w:hint="eastAsia"/>
          <w:sz w:val="28"/>
        </w:rPr>
        <w:t>条</w:t>
      </w:r>
      <w:r>
        <w:rPr>
          <w:rFonts w:hint="eastAsia"/>
          <w:sz w:val="28"/>
          <w:lang w:val="en-US" w:eastAsia="zh-CN"/>
        </w:rPr>
        <w:t xml:space="preserve"> </w:t>
      </w:r>
      <w:r>
        <w:rPr>
          <w:rFonts w:hint="eastAsia"/>
          <w:sz w:val="28"/>
        </w:rPr>
        <w:t>受让人应当积极配合出让人做好本出让合同的后期监管工作，并出具授权委托书委托两名相关人员负责该项工作。相关人员因工作调整等原因不能继续配合后期监管工作的，受让人应当于5日内另行委托他人，并重新向出让人出具授权委托书。</w:t>
      </w:r>
    </w:p>
    <w:p>
      <w:pPr>
        <w:snapToGrid w:val="0"/>
        <w:spacing w:line="360" w:lineRule="auto"/>
        <w:ind w:firstLine="560" w:firstLineChars="200"/>
        <w:rPr>
          <w:rFonts w:hint="eastAsia"/>
          <w:sz w:val="28"/>
        </w:rPr>
      </w:pPr>
      <w:r>
        <w:rPr>
          <w:rFonts w:hint="eastAsia"/>
          <w:sz w:val="28"/>
        </w:rPr>
        <w:t>出让人将按照法定程序开展后期监管工作。因受让人原因致使后期监管工作不能顺利推进的，相应法律责任由受让人承担。</w:t>
      </w:r>
    </w:p>
    <w:p>
      <w:pPr>
        <w:numPr>
          <w:ilvl w:val="0"/>
          <w:numId w:val="0"/>
        </w:numPr>
        <w:snapToGrid w:val="0"/>
        <w:spacing w:line="360" w:lineRule="auto"/>
        <w:ind w:firstLine="560" w:firstLineChars="200"/>
        <w:rPr>
          <w:rFonts w:hint="eastAsia"/>
          <w:sz w:val="28"/>
        </w:rPr>
      </w:pPr>
      <w:r>
        <w:rPr>
          <w:rFonts w:hint="eastAsia"/>
          <w:sz w:val="28"/>
        </w:rPr>
        <w:t>第</w:t>
      </w:r>
      <w:r>
        <w:rPr>
          <w:rFonts w:hint="eastAsia"/>
          <w:sz w:val="28"/>
          <w:lang w:val="en-US" w:eastAsia="zh-CN"/>
        </w:rPr>
        <w:t>三十二</w:t>
      </w:r>
      <w:r>
        <w:rPr>
          <w:rFonts w:hint="eastAsia"/>
          <w:sz w:val="28"/>
        </w:rPr>
        <w:t>条</w:t>
      </w:r>
      <w:r>
        <w:rPr>
          <w:rFonts w:hint="eastAsia"/>
          <w:sz w:val="28"/>
          <w:lang w:val="en-US" w:eastAsia="zh-CN"/>
        </w:rPr>
        <w:t xml:space="preserve"> 若受让人为外资企业，除须如期缴纳成交价款外，还需按照《外商投资产业指导目录（2007修订）》、《关于进一步加强和规范外商投资项目管理的通知》（发改外资〔2008〕1773号）、《北京市外商投资项目核准暂行实施办法》文件规定办理后期立项手续。</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三十三</w:t>
      </w:r>
      <w:r>
        <w:rPr>
          <w:rFonts w:hint="eastAsia"/>
          <w:sz w:val="28"/>
        </w:rPr>
        <w:t>条</w:t>
      </w:r>
      <w:r>
        <w:rPr>
          <w:rFonts w:hint="eastAsia"/>
          <w:sz w:val="28"/>
          <w:lang w:val="en-US" w:eastAsia="zh-CN"/>
        </w:rPr>
        <w:t xml:space="preserve"> </w:t>
      </w:r>
      <w:r>
        <w:rPr>
          <w:rFonts w:hint="eastAsia"/>
          <w:sz w:val="28"/>
        </w:rPr>
        <w:t>受让人在本合同项下宗地内进行建设时，有关用水、用气、污水及其他设施与宗</w:t>
      </w:r>
      <w:r>
        <w:rPr>
          <w:sz w:val="28"/>
        </w:rPr>
        <w:t>地外主管线、用电变电站接口和引入工程，应按有关规定办理。</w:t>
      </w:r>
    </w:p>
    <w:p>
      <w:pPr>
        <w:numPr>
          <w:ilvl w:val="0"/>
          <w:numId w:val="0"/>
        </w:numPr>
        <w:snapToGrid w:val="0"/>
        <w:spacing w:line="360" w:lineRule="auto"/>
        <w:ind w:left="57" w:firstLine="560" w:firstLineChars="200"/>
        <w:rPr>
          <w:sz w:val="28"/>
        </w:rPr>
      </w:pPr>
      <w:r>
        <w:rPr>
          <w:sz w:val="28"/>
        </w:rPr>
        <w:t>受让人同意政府为公用事业需要而敷设的各种管道与管线进出、通过、穿越受让宗地，但由此影响受让宗地使用功能的，政府或公用事业营建主体应当给予合理补偿。</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三十四</w:t>
      </w:r>
      <w:r>
        <w:rPr>
          <w:rFonts w:hint="eastAsia"/>
          <w:sz w:val="28"/>
        </w:rPr>
        <w:t>条</w:t>
      </w:r>
      <w:r>
        <w:rPr>
          <w:rFonts w:hint="eastAsia"/>
          <w:sz w:val="28"/>
          <w:lang w:val="en-US" w:eastAsia="zh-CN"/>
        </w:rPr>
        <w:t xml:space="preserve"> </w:t>
      </w:r>
      <w:r>
        <w:rPr>
          <w:rFonts w:hint="eastAsia"/>
          <w:sz w:val="28"/>
        </w:rPr>
        <w:t>受让</w:t>
      </w:r>
      <w:r>
        <w:rPr>
          <w:sz w:val="28"/>
        </w:rPr>
        <w:t>人应当按照本合同约定的土地用途、容积率利用土地，不得擅自改变。在出让期限内，需要改变本合同约定的土地用途的，双方同意按照本条下述规定办理：</w:t>
      </w:r>
    </w:p>
    <w:p>
      <w:pPr>
        <w:numPr>
          <w:ilvl w:val="0"/>
          <w:numId w:val="0"/>
        </w:numPr>
        <w:snapToGrid w:val="0"/>
        <w:spacing w:line="360" w:lineRule="auto"/>
        <w:ind w:left="0" w:firstLine="560" w:firstLineChars="200"/>
        <w:rPr>
          <w:sz w:val="28"/>
        </w:rPr>
      </w:pPr>
      <w:r>
        <w:rPr>
          <w:sz w:val="28"/>
        </w:rPr>
        <w:t>依法办理改变土地用途批准手续，签订国有建设用地使用权出让合同变更协议或者重新签订国有建设用地使用权出让合同，由受让人按照批准改变时新土地用途下建设用地使用权评估市场价格与原土地用途</w:t>
      </w:r>
      <w:r>
        <w:rPr>
          <w:rFonts w:hint="eastAsia"/>
          <w:sz w:val="28"/>
        </w:rPr>
        <w:t>下</w:t>
      </w:r>
      <w:r>
        <w:rPr>
          <w:sz w:val="28"/>
        </w:rPr>
        <w:t>建设用地使用权评估市场价格的差额补缴国有建设用地使用权出让价款，办理土地变更登记。</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三十五</w:t>
      </w:r>
      <w:r>
        <w:rPr>
          <w:rFonts w:hint="eastAsia"/>
          <w:sz w:val="28"/>
        </w:rPr>
        <w:t>条</w:t>
      </w:r>
      <w:r>
        <w:rPr>
          <w:rFonts w:hint="eastAsia"/>
          <w:sz w:val="28"/>
          <w:lang w:val="en-US" w:eastAsia="zh-CN"/>
        </w:rPr>
        <w:t xml:space="preserve"> 北</w:t>
      </w:r>
      <w:r>
        <w:rPr>
          <w:rFonts w:hint="eastAsia"/>
          <w:sz w:val="28"/>
        </w:rPr>
        <w:t>京市人民政府保留对本合同项下宗地的城市规划调整权。原土地利用规划如有修改，该宗地已有的建筑物不受影响；但在土地出让期限内该宗地建筑物、附着物改建、翻建、重建或土地出让期限届满申请续期时，必须按届时有效的规划执行</w:t>
      </w:r>
      <w:r>
        <w:rPr>
          <w:sz w:val="28"/>
        </w:rPr>
        <w:t>。</w:t>
      </w:r>
    </w:p>
    <w:p>
      <w:pPr>
        <w:numPr>
          <w:ilvl w:val="0"/>
          <w:numId w:val="0"/>
        </w:numPr>
        <w:snapToGrid w:val="0"/>
        <w:spacing w:line="360" w:lineRule="auto"/>
        <w:ind w:firstLine="560" w:firstLineChars="200"/>
        <w:rPr>
          <w:sz w:val="28"/>
        </w:rPr>
      </w:pPr>
      <w:r>
        <w:rPr>
          <w:rFonts w:hint="eastAsia"/>
          <w:sz w:val="28"/>
        </w:rPr>
        <w:t>第</w:t>
      </w:r>
      <w:r>
        <w:rPr>
          <w:rFonts w:hint="eastAsia"/>
          <w:sz w:val="28"/>
          <w:lang w:val="en-US" w:eastAsia="zh-CN"/>
        </w:rPr>
        <w:t>三十六</w:t>
      </w:r>
      <w:r>
        <w:rPr>
          <w:rFonts w:hint="eastAsia"/>
          <w:sz w:val="28"/>
        </w:rPr>
        <w:t>条</w:t>
      </w:r>
      <w:r>
        <w:rPr>
          <w:rFonts w:hint="eastAsia"/>
          <w:sz w:val="28"/>
          <w:lang w:val="en-US" w:eastAsia="zh-CN"/>
        </w:rPr>
        <w:t xml:space="preserve"> </w:t>
      </w:r>
      <w:r>
        <w:rPr>
          <w:sz w:val="28"/>
        </w:rPr>
        <w:t>对受让人依法使用的国有建设用地使用权，在本合同约定的使用年限届满前，出让人不得收回；在特殊情况下，根据社会公共利益需要提前收回国有建设用地使用权的，出让人应当依照法定程序报批，并根据收回时地上建筑物、构筑物及其附属设施的价值和剩余年期国有建设用地使用权的评估市场价格及经评估认定的直接损失给予土地使用者补偿。 </w:t>
      </w:r>
    </w:p>
    <w:p>
      <w:pPr>
        <w:pStyle w:val="4"/>
        <w:snapToGrid w:val="0"/>
        <w:spacing w:line="360" w:lineRule="auto"/>
        <w:rPr>
          <w:sz w:val="28"/>
        </w:rPr>
      </w:pPr>
      <w:bookmarkStart w:id="9" w:name="_Toc203386423"/>
      <w:bookmarkStart w:id="10" w:name="_Toc203308260"/>
      <w:r>
        <w:rPr>
          <w:rFonts w:ascii="Times New Roman" w:hAnsi="Times New Roman"/>
        </w:rPr>
        <w:t>第四章   国有建设用地使用权转让、出租、抵押</w:t>
      </w:r>
      <w:bookmarkEnd w:id="9"/>
      <w:bookmarkEnd w:id="10"/>
    </w:p>
    <w:p>
      <w:pPr>
        <w:snapToGrid w:val="0"/>
        <w:spacing w:line="360" w:lineRule="auto"/>
        <w:ind w:firstLine="560" w:firstLineChars="200"/>
        <w:rPr>
          <w:sz w:val="28"/>
        </w:rPr>
      </w:pPr>
      <w:r>
        <w:rPr>
          <w:rFonts w:hint="eastAsia"/>
          <w:sz w:val="28"/>
        </w:rPr>
        <w:t>第三十</w:t>
      </w:r>
      <w:r>
        <w:rPr>
          <w:rFonts w:hint="eastAsia"/>
          <w:sz w:val="28"/>
          <w:lang w:val="en-US" w:eastAsia="zh-CN"/>
        </w:rPr>
        <w:t>七</w:t>
      </w:r>
      <w:r>
        <w:rPr>
          <w:rFonts w:hint="eastAsia"/>
          <w:sz w:val="28"/>
        </w:rPr>
        <w:t xml:space="preserve">条 </w:t>
      </w:r>
      <w:r>
        <w:rPr>
          <w:sz w:val="28"/>
        </w:rPr>
        <w:t>受让人按照本合同约定支付全部国有建设用地使用权出让价款，领取</w:t>
      </w:r>
      <w:r>
        <w:rPr>
          <w:rFonts w:hint="eastAsia"/>
          <w:sz w:val="28"/>
        </w:rPr>
        <w:t>《</w:t>
      </w:r>
      <w:r>
        <w:rPr>
          <w:sz w:val="28"/>
        </w:rPr>
        <w:t>中华人民共和国不动产权证书</w:t>
      </w:r>
      <w:r>
        <w:rPr>
          <w:rFonts w:hint="eastAsia"/>
          <w:sz w:val="28"/>
        </w:rPr>
        <w:t>》</w:t>
      </w:r>
      <w:r>
        <w:rPr>
          <w:sz w:val="28"/>
        </w:rPr>
        <w:t>后，有权将本合同项下的全部或部分国有建设用地使用权</w:t>
      </w:r>
      <w:r>
        <w:rPr>
          <w:rFonts w:hint="eastAsia"/>
          <w:sz w:val="28"/>
        </w:rPr>
        <w:t>转让、出租、</w:t>
      </w:r>
      <w:r>
        <w:rPr>
          <w:sz w:val="28"/>
        </w:rPr>
        <w:t>抵押。首次转让应当按照本合同约定进行投资开发，完成开发投资总额的百分之二十五以上。</w:t>
      </w:r>
    </w:p>
    <w:p>
      <w:pPr>
        <w:snapToGrid w:val="0"/>
        <w:spacing w:line="360" w:lineRule="auto"/>
        <w:ind w:firstLine="565" w:firstLineChars="202"/>
        <w:rPr>
          <w:sz w:val="28"/>
        </w:rPr>
      </w:pPr>
      <w:r>
        <w:rPr>
          <w:sz w:val="28"/>
        </w:rPr>
        <w:t>第</w:t>
      </w:r>
      <w:r>
        <w:rPr>
          <w:rFonts w:hint="eastAsia"/>
          <w:sz w:val="28"/>
        </w:rPr>
        <w:t>三十</w:t>
      </w:r>
      <w:r>
        <w:rPr>
          <w:rFonts w:hint="eastAsia"/>
          <w:sz w:val="28"/>
          <w:lang w:val="en-US" w:eastAsia="zh-CN"/>
        </w:rPr>
        <w:t>八</w:t>
      </w:r>
      <w:r>
        <w:rPr>
          <w:sz w:val="28"/>
        </w:rPr>
        <w:t>条　国有建设用地使用权的转让、出租及抵押合同，不得违背国家法律、法规规定和本合同约定。</w:t>
      </w:r>
    </w:p>
    <w:p>
      <w:pPr>
        <w:snapToGrid w:val="0"/>
        <w:spacing w:line="360" w:lineRule="auto"/>
        <w:ind w:firstLine="560" w:firstLineChars="200"/>
        <w:rPr>
          <w:sz w:val="28"/>
        </w:rPr>
      </w:pPr>
      <w:r>
        <w:rPr>
          <w:sz w:val="28"/>
        </w:rPr>
        <w:t>第</w:t>
      </w:r>
      <w:r>
        <w:rPr>
          <w:rFonts w:hint="eastAsia"/>
          <w:sz w:val="28"/>
        </w:rPr>
        <w:t>三十</w:t>
      </w:r>
      <w:r>
        <w:rPr>
          <w:rFonts w:hint="eastAsia"/>
          <w:sz w:val="28"/>
          <w:lang w:val="en-US" w:eastAsia="zh-CN"/>
        </w:rPr>
        <w:t>九</w:t>
      </w:r>
      <w:r>
        <w:rPr>
          <w:sz w:val="28"/>
        </w:rPr>
        <w:t>条　国有建设用地使用权全部或部分转让后，本合同和土地登记文件中载明的权利、义务随之转移，国有建设用地使用权的使用年限为本合同约定的使用年限减去已经使用年限后的剩余年限。</w:t>
      </w:r>
    </w:p>
    <w:p>
      <w:pPr>
        <w:snapToGrid w:val="0"/>
        <w:spacing w:line="360" w:lineRule="auto"/>
        <w:ind w:firstLine="560" w:firstLineChars="200"/>
        <w:rPr>
          <w:sz w:val="28"/>
        </w:rPr>
      </w:pPr>
      <w:r>
        <w:rPr>
          <w:sz w:val="28"/>
        </w:rPr>
        <w:t>本合同项下的全部或部分国有建设用地使用权出租后，本合同和土地登记文件中载明的权利、义务仍由受让人承担。</w:t>
      </w:r>
    </w:p>
    <w:p>
      <w:pPr>
        <w:snapToGrid w:val="0"/>
        <w:spacing w:line="360" w:lineRule="auto"/>
        <w:ind w:firstLine="560" w:firstLineChars="200"/>
        <w:rPr>
          <w:sz w:val="28"/>
        </w:rPr>
      </w:pPr>
      <w:r>
        <w:rPr>
          <w:sz w:val="28"/>
        </w:rPr>
        <w:t>第</w:t>
      </w:r>
      <w:r>
        <w:rPr>
          <w:rFonts w:hint="eastAsia"/>
          <w:sz w:val="28"/>
          <w:lang w:val="en-US" w:eastAsia="zh-CN"/>
        </w:rPr>
        <w:t>四十</w:t>
      </w:r>
      <w:r>
        <w:rPr>
          <w:sz w:val="28"/>
        </w:rPr>
        <w:t>条　国有建设用地使用权转让、抵押的，转让、抵押双方应持本合同和相应的转让、抵押合同及中华人民共和国不动产权证书，到国土资源管理部门申请办理土地变更登记。 </w:t>
      </w:r>
    </w:p>
    <w:p>
      <w:pPr>
        <w:pStyle w:val="4"/>
        <w:snapToGrid w:val="0"/>
        <w:spacing w:line="360" w:lineRule="auto"/>
        <w:rPr>
          <w:rFonts w:ascii="Times New Roman" w:hAnsi="Times New Roman"/>
          <w:sz w:val="28"/>
        </w:rPr>
      </w:pPr>
      <w:bookmarkStart w:id="11" w:name="_Toc203386424"/>
      <w:bookmarkStart w:id="12" w:name="_Toc203308261"/>
      <w:r>
        <w:rPr>
          <w:rFonts w:ascii="Times New Roman" w:hAnsi="Times New Roman"/>
        </w:rPr>
        <w:t>第五章  期限届满</w:t>
      </w:r>
      <w:bookmarkEnd w:id="11"/>
      <w:bookmarkEnd w:id="12"/>
      <w:r>
        <w:rPr>
          <w:rFonts w:ascii="Times New Roman" w:hAnsi="Times New Roman"/>
        </w:rPr>
        <w:t xml:space="preserve">   </w:t>
      </w:r>
      <w:r>
        <w:rPr>
          <w:rFonts w:ascii="Times New Roman" w:hAnsi="Times New Roman"/>
          <w:sz w:val="28"/>
        </w:rPr>
        <w:t> </w:t>
      </w:r>
    </w:p>
    <w:p>
      <w:pPr>
        <w:snapToGrid w:val="0"/>
        <w:spacing w:line="360" w:lineRule="auto"/>
        <w:ind w:firstLine="560" w:firstLineChars="200"/>
        <w:rPr>
          <w:sz w:val="28"/>
        </w:rPr>
      </w:pPr>
      <w:r>
        <w:rPr>
          <w:sz w:val="28"/>
        </w:rPr>
        <w:t>第</w:t>
      </w:r>
      <w:r>
        <w:rPr>
          <w:rFonts w:hint="eastAsia"/>
          <w:sz w:val="28"/>
          <w:lang w:val="en-US" w:eastAsia="zh-CN"/>
        </w:rPr>
        <w:t>四十一</w:t>
      </w:r>
      <w:r>
        <w:rPr>
          <w:sz w:val="28"/>
        </w:rPr>
        <w:t>条　本合同约定的使用年限届满，土地使用者需要继续使用本合同项下宗地的，应当至迟于届满前一年向出让人提交续期申请书，除根据社会公共利益需要收回本合同项下宗地的，出让人应当予以批准。</w:t>
      </w:r>
    </w:p>
    <w:p>
      <w:pPr>
        <w:snapToGrid w:val="0"/>
        <w:spacing w:line="360" w:lineRule="auto"/>
        <w:ind w:firstLine="560" w:firstLineChars="200"/>
        <w:rPr>
          <w:rFonts w:hint="eastAsia"/>
          <w:sz w:val="28"/>
          <w:lang w:val="en-US" w:eastAsia="zh-CN"/>
        </w:rPr>
      </w:pPr>
      <w:r>
        <w:rPr>
          <w:rFonts w:hint="eastAsia"/>
          <w:sz w:val="28"/>
          <w:lang w:val="en-US" w:eastAsia="zh-CN"/>
        </w:rPr>
        <w:t>住宅建设用地使用权期限届满的，自动续期。</w:t>
      </w:r>
    </w:p>
    <w:p>
      <w:pPr>
        <w:snapToGrid w:val="0"/>
        <w:spacing w:line="360" w:lineRule="auto"/>
        <w:ind w:firstLine="560" w:firstLineChars="200"/>
        <w:rPr>
          <w:sz w:val="28"/>
        </w:rPr>
      </w:pPr>
      <w:r>
        <w:rPr>
          <w:sz w:val="28"/>
        </w:rPr>
        <w:t>出让人同意续期的，土地使用者应当依法办理出让、租赁等有偿用地手续，重新签订出让、租赁等土地有偿使用合同，支付土地出让价款、租金等土地有偿使用费。</w:t>
      </w:r>
    </w:p>
    <w:p>
      <w:pPr>
        <w:snapToGrid w:val="0"/>
        <w:spacing w:line="360" w:lineRule="auto"/>
        <w:ind w:firstLine="560" w:firstLineChars="200"/>
        <w:rPr>
          <w:sz w:val="28"/>
        </w:rPr>
      </w:pPr>
      <w:r>
        <w:rPr>
          <w:sz w:val="28"/>
        </w:rPr>
        <w:t>第</w:t>
      </w:r>
      <w:r>
        <w:rPr>
          <w:rFonts w:hint="eastAsia"/>
          <w:sz w:val="28"/>
          <w:lang w:val="en-US" w:eastAsia="zh-CN"/>
        </w:rPr>
        <w:t>四十二</w:t>
      </w:r>
      <w:r>
        <w:rPr>
          <w:sz w:val="28"/>
        </w:rPr>
        <w:t>条　土地出让期限届满，土地使用者申请续期，因社会公共利益需要未获批准的，土地使用者应当交回中华人民共和国不动产权证书，并依照规定办理国有建设用地使用权注销登记，国有建设用地使用权由出让人无偿收回。出让人和土地使用者同意本合同项下宗地上的建筑物、构筑物及其附属设施由出让人收回，并根据收回时地上建筑物、构筑物及其附属设施的残余价值，给予土地使用者相应补偿；</w:t>
      </w:r>
    </w:p>
    <w:p>
      <w:pPr>
        <w:snapToGrid w:val="0"/>
        <w:spacing w:line="360" w:lineRule="auto"/>
        <w:ind w:firstLine="565" w:firstLineChars="202"/>
        <w:rPr>
          <w:sz w:val="28"/>
        </w:rPr>
      </w:pPr>
      <w:r>
        <w:rPr>
          <w:sz w:val="28"/>
        </w:rPr>
        <w:t> 第</w:t>
      </w:r>
      <w:r>
        <w:rPr>
          <w:rFonts w:hint="eastAsia"/>
          <w:sz w:val="28"/>
          <w:lang w:val="en-US" w:eastAsia="zh-CN"/>
        </w:rPr>
        <w:t>四十三</w:t>
      </w:r>
      <w:r>
        <w:rPr>
          <w:sz w:val="28"/>
        </w:rPr>
        <w:t>条　土地出让期限届满，土地使用者没有申请续期的，土地使用者应当交回中华人民共和国不动产权证书，并依照规定办理国有建设用地使用权注销登记，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 </w:t>
      </w:r>
    </w:p>
    <w:p>
      <w:pPr>
        <w:pStyle w:val="4"/>
        <w:snapToGrid w:val="0"/>
        <w:spacing w:line="360" w:lineRule="auto"/>
        <w:rPr>
          <w:rFonts w:ascii="Times New Roman" w:hAnsi="Times New Roman"/>
          <w:sz w:val="28"/>
        </w:rPr>
      </w:pPr>
      <w:bookmarkStart w:id="13" w:name="_Toc203386425"/>
      <w:bookmarkStart w:id="14" w:name="_Toc203308262"/>
      <w:r>
        <w:rPr>
          <w:rFonts w:ascii="Times New Roman" w:hAnsi="Times New Roman"/>
        </w:rPr>
        <w:t>第六章  不可抗力</w:t>
      </w:r>
      <w:bookmarkEnd w:id="13"/>
      <w:bookmarkEnd w:id="14"/>
      <w:r>
        <w:rPr>
          <w:rFonts w:ascii="Times New Roman" w:hAnsi="Times New Roman"/>
          <w:sz w:val="28"/>
        </w:rPr>
        <w:t> </w:t>
      </w:r>
    </w:p>
    <w:p>
      <w:pPr>
        <w:snapToGrid w:val="0"/>
        <w:spacing w:line="360" w:lineRule="auto"/>
        <w:ind w:firstLine="560" w:firstLineChars="200"/>
        <w:rPr>
          <w:sz w:val="28"/>
        </w:rPr>
      </w:pPr>
      <w:r>
        <w:rPr>
          <w:sz w:val="28"/>
        </w:rPr>
        <w:t>第</w:t>
      </w:r>
      <w:r>
        <w:rPr>
          <w:rFonts w:hint="eastAsia"/>
          <w:sz w:val="28"/>
          <w:lang w:val="en-US" w:eastAsia="zh-CN"/>
        </w:rPr>
        <w:t>四十四</w:t>
      </w:r>
      <w:r>
        <w:rPr>
          <w:sz w:val="28"/>
        </w:rPr>
        <w:t>条　合同双方当事人任何一方由于不可抗力原因造成的本合同部分或全部不能履行，可以免除责任，但应在条件允许下采取一切必要的补救措施以减少因不可抗力造成的损失。当事人迟延履行期间发生的不可抗力，不具有免责效力。</w:t>
      </w:r>
    </w:p>
    <w:p>
      <w:pPr>
        <w:snapToGrid w:val="0"/>
        <w:spacing w:line="360" w:lineRule="auto"/>
        <w:ind w:firstLine="560" w:firstLineChars="200"/>
        <w:rPr>
          <w:sz w:val="28"/>
        </w:rPr>
      </w:pPr>
      <w:r>
        <w:rPr>
          <w:sz w:val="28"/>
        </w:rPr>
        <w:t>第</w:t>
      </w:r>
      <w:r>
        <w:rPr>
          <w:rFonts w:hint="eastAsia"/>
          <w:sz w:val="28"/>
          <w:lang w:val="en-US" w:eastAsia="zh-CN"/>
        </w:rPr>
        <w:t>四十五</w:t>
      </w:r>
      <w:r>
        <w:rPr>
          <w:sz w:val="28"/>
        </w:rPr>
        <w:t>条　遇有不可抗力的一方，应在7日内将不可抗力情况以信函、电报、传真等书面形式通知另一方，并在不可抗力发生后15日内，向另一方提交本合同部分或全部不能履行或需要延期履行的报告及证明。</w:t>
      </w:r>
    </w:p>
    <w:p>
      <w:pPr>
        <w:pStyle w:val="4"/>
        <w:snapToGrid w:val="0"/>
        <w:spacing w:line="360" w:lineRule="auto"/>
        <w:rPr>
          <w:rFonts w:ascii="Times New Roman" w:hAnsi="Times New Roman"/>
          <w:sz w:val="28"/>
        </w:rPr>
      </w:pPr>
      <w:bookmarkStart w:id="15" w:name="_Toc203308263"/>
      <w:bookmarkStart w:id="16" w:name="_Toc203386426"/>
      <w:r>
        <w:rPr>
          <w:rFonts w:ascii="Times New Roman" w:hAnsi="Times New Roman"/>
        </w:rPr>
        <w:t>第七章  违约责任</w:t>
      </w:r>
      <w:bookmarkEnd w:id="15"/>
      <w:bookmarkEnd w:id="16"/>
    </w:p>
    <w:p>
      <w:pPr>
        <w:snapToGrid w:val="0"/>
        <w:spacing w:line="360" w:lineRule="auto"/>
        <w:ind w:firstLine="560" w:firstLineChars="200"/>
        <w:rPr>
          <w:sz w:val="28"/>
        </w:rPr>
      </w:pPr>
      <w:r>
        <w:rPr>
          <w:sz w:val="28"/>
        </w:rPr>
        <w:t>第</w:t>
      </w:r>
      <w:r>
        <w:rPr>
          <w:rFonts w:hint="eastAsia"/>
          <w:sz w:val="28"/>
          <w:lang w:val="en-US" w:eastAsia="zh-CN"/>
        </w:rPr>
        <w:t>四十六</w:t>
      </w:r>
      <w:r>
        <w:rPr>
          <w:sz w:val="28"/>
        </w:rPr>
        <w:t>条　</w:t>
      </w:r>
      <w:r>
        <w:rPr>
          <w:rFonts w:hint="eastAsia"/>
          <w:sz w:val="28"/>
        </w:rPr>
        <w:t>受让人应当按照本合同约定，按时支付国有建设用地使用权政府土地收益。受让人不能按时支付国有建设用地使用权政府土地出让收益的，自滞纳之日起，每日按迟延支付款项的1‰向出让人缴纳违约金，延期付款超过60日，经出让人催交后仍不能支付国有建设用地使用权政府土地出让收益的，出让人有权解除合同，受让人无权要求返还定金，出让人并可请求受让人赔偿损失；土地开发建设补偿费的支付及其他权利义务由受让人与土地一级开发单位、土地前期开发单位或原用地方签订《土地开发建设补偿协议》予以约定，当土地出让合同解除时，《土地开发建设补偿协议》应予以解除。</w:t>
      </w:r>
    </w:p>
    <w:p>
      <w:pPr>
        <w:snapToGrid w:val="0"/>
        <w:spacing w:line="360" w:lineRule="auto"/>
        <w:ind w:firstLine="560" w:firstLineChars="200"/>
        <w:rPr>
          <w:sz w:val="28"/>
        </w:rPr>
      </w:pPr>
      <w:r>
        <w:rPr>
          <w:sz w:val="28"/>
        </w:rPr>
        <w:t>第</w:t>
      </w:r>
      <w:r>
        <w:rPr>
          <w:rFonts w:hint="eastAsia"/>
          <w:sz w:val="28"/>
        </w:rPr>
        <w:t>四十</w:t>
      </w:r>
      <w:r>
        <w:rPr>
          <w:rFonts w:hint="eastAsia"/>
          <w:sz w:val="28"/>
          <w:lang w:val="en-US" w:eastAsia="zh-CN"/>
        </w:rPr>
        <w:t>七</w:t>
      </w:r>
      <w:r>
        <w:rPr>
          <w:sz w:val="28"/>
        </w:rPr>
        <w:t>条　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pPr>
        <w:snapToGrid w:val="0"/>
        <w:spacing w:line="360" w:lineRule="auto"/>
        <w:ind w:firstLine="560" w:firstLineChars="200"/>
        <w:rPr>
          <w:sz w:val="28"/>
        </w:rPr>
      </w:pPr>
      <w:r>
        <w:rPr>
          <w:sz w:val="28"/>
        </w:rPr>
        <w:t>（一）受让人在本合同约定的开工建设日期届满一年前不少于60日向出让人提出申请的，出让人在扣除定金后退还受让人已支付的国有建设用地使用权出让价款；</w:t>
      </w:r>
    </w:p>
    <w:p>
      <w:pPr>
        <w:snapToGrid w:val="0"/>
        <w:spacing w:line="360" w:lineRule="auto"/>
        <w:ind w:firstLine="560" w:firstLineChars="200"/>
        <w:rPr>
          <w:sz w:val="28"/>
        </w:rPr>
      </w:pPr>
      <w:r>
        <w:rPr>
          <w:sz w:val="28"/>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pPr>
        <w:snapToGrid w:val="0"/>
        <w:spacing w:line="360" w:lineRule="auto"/>
        <w:ind w:firstLine="560" w:firstLineChars="200"/>
        <w:rPr>
          <w:sz w:val="28"/>
        </w:rPr>
      </w:pPr>
      <w:r>
        <w:rPr>
          <w:sz w:val="28"/>
        </w:rPr>
        <w:t>第</w:t>
      </w:r>
      <w:r>
        <w:rPr>
          <w:rFonts w:hint="eastAsia"/>
          <w:sz w:val="28"/>
        </w:rPr>
        <w:t>四十</w:t>
      </w:r>
      <w:r>
        <w:rPr>
          <w:rFonts w:hint="eastAsia"/>
          <w:sz w:val="28"/>
          <w:lang w:val="en-US" w:eastAsia="zh-CN"/>
        </w:rPr>
        <w:t>八</w:t>
      </w:r>
      <w:r>
        <w:rPr>
          <w:sz w:val="28"/>
        </w:rPr>
        <w:t>条　受让人</w:t>
      </w:r>
      <w:r>
        <w:rPr>
          <w:rFonts w:hint="eastAsia"/>
          <w:sz w:val="28"/>
          <w:lang w:val="en-US" w:eastAsia="zh-CN"/>
        </w:rPr>
        <w:t>造成土地闲置</w:t>
      </w:r>
      <w:bookmarkStart w:id="21" w:name="_GoBack"/>
      <w:bookmarkEnd w:id="21"/>
      <w:r>
        <w:rPr>
          <w:sz w:val="28"/>
        </w:rPr>
        <w:t>，未动工开发满一年的，应依法缴纳土地闲置费；未动工开发满两年的，出让人</w:t>
      </w:r>
      <w:r>
        <w:rPr>
          <w:rFonts w:hint="eastAsia"/>
          <w:sz w:val="28"/>
          <w:lang w:val="en-US" w:eastAsia="zh-CN"/>
        </w:rPr>
        <w:t>有权</w:t>
      </w:r>
      <w:r>
        <w:rPr>
          <w:sz w:val="28"/>
        </w:rPr>
        <w:t>无偿收回国有建设用地使用权。</w:t>
      </w:r>
    </w:p>
    <w:p>
      <w:pPr>
        <w:snapToGrid w:val="0"/>
        <w:spacing w:line="360" w:lineRule="auto"/>
        <w:ind w:firstLine="560" w:firstLineChars="200"/>
        <w:rPr>
          <w:sz w:val="28"/>
        </w:rPr>
      </w:pPr>
      <w:r>
        <w:rPr>
          <w:sz w:val="28"/>
        </w:rPr>
        <w:t>第</w:t>
      </w:r>
      <w:r>
        <w:rPr>
          <w:rFonts w:hint="eastAsia"/>
          <w:sz w:val="28"/>
        </w:rPr>
        <w:t>四十</w:t>
      </w:r>
      <w:r>
        <w:rPr>
          <w:rFonts w:hint="eastAsia"/>
          <w:sz w:val="28"/>
          <w:lang w:val="en-US" w:eastAsia="zh-CN"/>
        </w:rPr>
        <w:t>九</w:t>
      </w:r>
      <w:r>
        <w:rPr>
          <w:sz w:val="28"/>
        </w:rPr>
        <w:t>条　受让人未能按照本合同约定日期或同意延建所另行约定日期开工建设的，每延期一日，应向出让人支付相当于国有建设用地使用权出让价款总额1‰的违约金，出让人有权要求受让人继续履约。</w:t>
      </w:r>
    </w:p>
    <w:p>
      <w:pPr>
        <w:snapToGrid w:val="0"/>
        <w:spacing w:line="360" w:lineRule="auto"/>
        <w:ind w:firstLine="560" w:firstLineChars="200"/>
        <w:rPr>
          <w:sz w:val="28"/>
        </w:rPr>
      </w:pPr>
      <w:r>
        <w:rPr>
          <w:sz w:val="28"/>
        </w:rPr>
        <w:t>受让人未能按照本合同约定日期或同意延建所另行约定日期竣工的，每延期一日，应向出让人支付相当于国有建设用地使用权出让价款总额1‰的违约金。</w:t>
      </w:r>
    </w:p>
    <w:p>
      <w:pPr>
        <w:snapToGrid w:val="0"/>
        <w:spacing w:line="360" w:lineRule="auto"/>
        <w:ind w:firstLine="560" w:firstLineChars="200"/>
        <w:rPr>
          <w:sz w:val="28"/>
        </w:rPr>
      </w:pPr>
      <w:r>
        <w:rPr>
          <w:sz w:val="28"/>
        </w:rPr>
        <w:t>第</w:t>
      </w:r>
      <w:r>
        <w:rPr>
          <w:rFonts w:hint="eastAsia"/>
          <w:sz w:val="28"/>
          <w:lang w:val="en-US" w:eastAsia="zh-CN"/>
        </w:rPr>
        <w:t>五十</w:t>
      </w:r>
      <w:r>
        <w:rPr>
          <w:sz w:val="28"/>
        </w:rPr>
        <w:t>条　项目</w:t>
      </w:r>
      <w:r>
        <w:rPr>
          <w:rFonts w:hint="eastAsia"/>
          <w:sz w:val="28"/>
          <w:lang w:val="en-US" w:eastAsia="zh-CN"/>
        </w:rPr>
        <w:t>固定资产总投资、投资强度和开发投资总额</w:t>
      </w:r>
      <w:r>
        <w:rPr>
          <w:sz w:val="28"/>
        </w:rPr>
        <w:t>未达到本合同约定标准的，出让人可以按照实际差额部分占约定项目投资总额</w:t>
      </w:r>
      <w:r>
        <w:rPr>
          <w:rFonts w:hint="eastAsia"/>
          <w:sz w:val="28"/>
          <w:lang w:val="en-US" w:eastAsia="zh-CN"/>
        </w:rPr>
        <w:t>和投资强度</w:t>
      </w:r>
      <w:r>
        <w:rPr>
          <w:sz w:val="28"/>
        </w:rPr>
        <w:t>指标的比例，要求受让人支付相当于同比例国有建设用地使用权出让价款的违约金，并可要求受让人继续履约。</w:t>
      </w:r>
    </w:p>
    <w:p>
      <w:pPr>
        <w:snapToGrid w:val="0"/>
        <w:spacing w:line="360" w:lineRule="auto"/>
        <w:ind w:firstLine="560" w:firstLineChars="200"/>
        <w:rPr>
          <w:sz w:val="28"/>
        </w:rPr>
      </w:pPr>
      <w:r>
        <w:rPr>
          <w:sz w:val="28"/>
        </w:rPr>
        <w:t>第</w:t>
      </w:r>
      <w:r>
        <w:rPr>
          <w:rFonts w:hint="eastAsia"/>
          <w:sz w:val="28"/>
          <w:lang w:val="en-US" w:eastAsia="zh-CN"/>
        </w:rPr>
        <w:t>五十一</w:t>
      </w:r>
      <w:r>
        <w:rPr>
          <w:sz w:val="28"/>
        </w:rPr>
        <w:t>条　本合同项下宗地建筑容积率、建筑密度等任何一项指标低于本合同约定的最低标准的，出让人可以按照实际差额部分占约定最低标准的比例，要求受让人支付相当于同比例国有建设用地使用权出让价款的违约金，并有权要求受让人继续履行本合同；建筑容积率、建筑密度等任何一项指标高于本合同约定最高标准的，出让人有权收回高于约定的最高标准的面积部分，有权按照实际差额部分占约定标准的比例，要求受让人支付相当于同比例国有建设用地使用权出让价款的违约金。</w:t>
      </w:r>
    </w:p>
    <w:p>
      <w:pPr>
        <w:snapToGrid w:val="0"/>
        <w:spacing w:line="360" w:lineRule="auto"/>
        <w:ind w:firstLine="560" w:firstLineChars="200"/>
        <w:rPr>
          <w:sz w:val="28"/>
        </w:rPr>
      </w:pPr>
      <w:r>
        <w:rPr>
          <w:sz w:val="28"/>
        </w:rPr>
        <w:t>第</w:t>
      </w:r>
      <w:r>
        <w:rPr>
          <w:rFonts w:hint="eastAsia"/>
          <w:sz w:val="28"/>
          <w:lang w:val="en-US" w:eastAsia="zh-CN"/>
        </w:rPr>
        <w:t>五十二</w:t>
      </w:r>
      <w:r>
        <w:rPr>
          <w:sz w:val="28"/>
        </w:rPr>
        <w:t>条　受让人按本合同约定支付国有建设用地使用权出让价款的，出让人必须按照本合同约定按时交付出让土地。由于出让人未按时提供出让土地而致使受让人本合同项下宗地占有延期的，每延期一日，出让人应当按受让人已经支付的国有建设用地使用权出让价款的1‰向受让人给付违约金，土地使用年期自出让合同签订之日起算。出让人延期交付土地超过60日，经受让人催交后仍不能交付土地的，受让人有权解除合同，出让人应当双倍返还定金，并退还已经支付国有建设用地使用权出让价款的其余部分，受让人并可请求出让人赔偿损失。</w:t>
      </w:r>
    </w:p>
    <w:p>
      <w:pPr>
        <w:snapToGrid w:val="0"/>
        <w:spacing w:line="360" w:lineRule="auto"/>
        <w:ind w:firstLine="560" w:firstLineChars="200"/>
        <w:rPr>
          <w:sz w:val="28"/>
        </w:rPr>
      </w:pPr>
      <w:r>
        <w:rPr>
          <w:sz w:val="28"/>
        </w:rPr>
        <w:t>第</w:t>
      </w:r>
      <w:r>
        <w:rPr>
          <w:rFonts w:hint="eastAsia"/>
          <w:sz w:val="28"/>
          <w:lang w:val="en-US" w:eastAsia="zh-CN"/>
        </w:rPr>
        <w:t>五十三</w:t>
      </w:r>
      <w:r>
        <w:rPr>
          <w:sz w:val="28"/>
        </w:rPr>
        <w:t>条　出让人未能按期交付土地或交付的土地未能达到本合同约定的土地条件或单方改变土地使用条件的，受让人有权要求出让人按照规定的条件履行义务，并且赔偿延误履行而给受让人造成的直接损失。土地使用年期自达到约定的土地条件之日起算。 </w:t>
      </w:r>
    </w:p>
    <w:p>
      <w:pPr>
        <w:pStyle w:val="4"/>
        <w:snapToGrid w:val="0"/>
        <w:spacing w:line="360" w:lineRule="auto"/>
        <w:rPr>
          <w:rFonts w:ascii="Times New Roman" w:hAnsi="Times New Roman"/>
          <w:sz w:val="28"/>
        </w:rPr>
      </w:pPr>
      <w:bookmarkStart w:id="17" w:name="_Toc203386427"/>
      <w:bookmarkStart w:id="18" w:name="_Toc203308264"/>
      <w:r>
        <w:rPr>
          <w:rFonts w:ascii="Times New Roman" w:hAnsi="Times New Roman"/>
        </w:rPr>
        <w:t>第八章  适用法律及争议解决</w:t>
      </w:r>
      <w:bookmarkEnd w:id="17"/>
      <w:bookmarkEnd w:id="18"/>
      <w:r>
        <w:rPr>
          <w:rFonts w:ascii="Times New Roman" w:hAnsi="Times New Roman"/>
          <w:sz w:val="28"/>
        </w:rPr>
        <w:t> </w:t>
      </w:r>
    </w:p>
    <w:p>
      <w:pPr>
        <w:snapToGrid w:val="0"/>
        <w:spacing w:line="360" w:lineRule="auto"/>
        <w:ind w:firstLine="560" w:firstLineChars="200"/>
        <w:rPr>
          <w:sz w:val="28"/>
        </w:rPr>
      </w:pPr>
      <w:r>
        <w:rPr>
          <w:sz w:val="28"/>
        </w:rPr>
        <w:t>第</w:t>
      </w:r>
      <w:r>
        <w:rPr>
          <w:rFonts w:hint="eastAsia"/>
          <w:sz w:val="28"/>
          <w:lang w:val="en-US" w:eastAsia="zh-CN"/>
        </w:rPr>
        <w:t>五十四</w:t>
      </w:r>
      <w:r>
        <w:rPr>
          <w:sz w:val="28"/>
        </w:rPr>
        <w:t>条　本合同订立、效力、解释、履行及争议的解决，适用中华人民共和国法律。</w:t>
      </w:r>
    </w:p>
    <w:p>
      <w:pPr>
        <w:snapToGrid w:val="0"/>
        <w:spacing w:line="360" w:lineRule="auto"/>
        <w:ind w:firstLine="560" w:firstLineChars="200"/>
        <w:rPr>
          <w:sz w:val="28"/>
        </w:rPr>
      </w:pPr>
      <w:r>
        <w:rPr>
          <w:sz w:val="28"/>
        </w:rPr>
        <w:t>第</w:t>
      </w:r>
      <w:r>
        <w:rPr>
          <w:rFonts w:hint="eastAsia"/>
          <w:sz w:val="28"/>
          <w:lang w:val="en-US" w:eastAsia="zh-CN"/>
        </w:rPr>
        <w:t>五十五</w:t>
      </w:r>
      <w:r>
        <w:rPr>
          <w:sz w:val="28"/>
        </w:rPr>
        <w:t>条　因履行本合同发生争议，由争议双方协商解决，协商不成的，依法向人民法院起诉。   </w:t>
      </w:r>
    </w:p>
    <w:p>
      <w:pPr>
        <w:pStyle w:val="4"/>
        <w:snapToGrid w:val="0"/>
        <w:spacing w:line="360" w:lineRule="auto"/>
        <w:rPr>
          <w:rFonts w:ascii="Times New Roman" w:hAnsi="Times New Roman"/>
          <w:sz w:val="28"/>
        </w:rPr>
      </w:pPr>
      <w:bookmarkStart w:id="19" w:name="_Toc203386428"/>
      <w:bookmarkStart w:id="20" w:name="_Toc203308265"/>
      <w:r>
        <w:rPr>
          <w:rFonts w:ascii="Times New Roman" w:hAnsi="Times New Roman"/>
        </w:rPr>
        <w:t>第九章  附 则</w:t>
      </w:r>
      <w:bookmarkEnd w:id="19"/>
      <w:bookmarkEnd w:id="20"/>
      <w:r>
        <w:rPr>
          <w:rFonts w:ascii="Times New Roman" w:hAnsi="Times New Roman"/>
          <w:sz w:val="28"/>
        </w:rPr>
        <w:t> </w:t>
      </w:r>
    </w:p>
    <w:p>
      <w:pPr>
        <w:snapToGrid w:val="0"/>
        <w:spacing w:line="360" w:lineRule="auto"/>
        <w:ind w:firstLine="560" w:firstLineChars="200"/>
        <w:rPr>
          <w:sz w:val="28"/>
        </w:rPr>
      </w:pPr>
      <w:r>
        <w:rPr>
          <w:sz w:val="28"/>
        </w:rPr>
        <w:t>第</w:t>
      </w:r>
      <w:r>
        <w:rPr>
          <w:rFonts w:hint="eastAsia"/>
          <w:sz w:val="28"/>
          <w:lang w:val="en-US" w:eastAsia="zh-CN"/>
        </w:rPr>
        <w:t>五十六</w:t>
      </w:r>
      <w:r>
        <w:rPr>
          <w:sz w:val="28"/>
        </w:rPr>
        <w:t>条　本合同项下宗地出让方案已经北京经济技术开发区管理委员会批准，本合同自双方签订之日起生效。</w:t>
      </w:r>
    </w:p>
    <w:p>
      <w:pPr>
        <w:snapToGrid w:val="0"/>
        <w:spacing w:line="360" w:lineRule="auto"/>
        <w:ind w:firstLine="560" w:firstLineChars="200"/>
        <w:rPr>
          <w:sz w:val="28"/>
        </w:rPr>
      </w:pPr>
      <w:r>
        <w:rPr>
          <w:sz w:val="28"/>
        </w:rPr>
        <w:t>第</w:t>
      </w:r>
      <w:r>
        <w:rPr>
          <w:rFonts w:hint="eastAsia"/>
          <w:sz w:val="28"/>
        </w:rPr>
        <w:t>五十</w:t>
      </w:r>
      <w:r>
        <w:rPr>
          <w:rFonts w:hint="eastAsia"/>
          <w:sz w:val="28"/>
          <w:lang w:val="en-US" w:eastAsia="zh-CN"/>
        </w:rPr>
        <w:t>七</w:t>
      </w:r>
      <w:r>
        <w:rPr>
          <w:sz w:val="28"/>
        </w:rPr>
        <w:t>条　本合同双方当事人均保证本合同中所填写的姓名、通讯地址、电话、传真、开户银行、代理人等内容的真实有效，一方的信息如有变更，应于变更之日起15日内以书面形式告知对方，否则由此引起的无法及时告知的责任由信息变更方承担。</w:t>
      </w:r>
    </w:p>
    <w:p>
      <w:pPr>
        <w:snapToGrid w:val="0"/>
        <w:spacing w:line="360" w:lineRule="auto"/>
        <w:ind w:firstLine="560" w:firstLineChars="200"/>
        <w:rPr>
          <w:sz w:val="28"/>
        </w:rPr>
      </w:pPr>
      <w:r>
        <w:rPr>
          <w:sz w:val="28"/>
        </w:rPr>
        <w:t>第</w:t>
      </w:r>
      <w:r>
        <w:rPr>
          <w:rFonts w:hint="eastAsia"/>
          <w:sz w:val="28"/>
        </w:rPr>
        <w:t>五十</w:t>
      </w:r>
      <w:r>
        <w:rPr>
          <w:rFonts w:hint="eastAsia"/>
          <w:sz w:val="28"/>
          <w:lang w:val="en-US" w:eastAsia="zh-CN"/>
        </w:rPr>
        <w:t>八</w:t>
      </w:r>
      <w:r>
        <w:rPr>
          <w:sz w:val="28"/>
        </w:rPr>
        <w:t>条　本合同和附件共</w:t>
      </w:r>
      <w:r>
        <w:rPr>
          <w:rFonts w:hint="eastAsia"/>
          <w:sz w:val="28"/>
          <w:u w:val="single"/>
        </w:rPr>
        <w:t xml:space="preserve">  </w:t>
      </w:r>
      <w:r>
        <w:rPr>
          <w:sz w:val="28"/>
        </w:rPr>
        <w:t>页，以中文书写为准。</w:t>
      </w:r>
    </w:p>
    <w:p>
      <w:pPr>
        <w:snapToGrid w:val="0"/>
        <w:spacing w:line="360" w:lineRule="auto"/>
        <w:ind w:firstLine="560" w:firstLineChars="200"/>
        <w:rPr>
          <w:sz w:val="28"/>
        </w:rPr>
      </w:pPr>
      <w:r>
        <w:rPr>
          <w:sz w:val="28"/>
        </w:rPr>
        <w:t>第</w:t>
      </w:r>
      <w:r>
        <w:rPr>
          <w:rFonts w:hint="eastAsia"/>
          <w:sz w:val="28"/>
        </w:rPr>
        <w:t>五十</w:t>
      </w:r>
      <w:r>
        <w:rPr>
          <w:rFonts w:hint="eastAsia"/>
          <w:sz w:val="28"/>
          <w:lang w:val="en-US" w:eastAsia="zh-CN"/>
        </w:rPr>
        <w:t>九</w:t>
      </w:r>
      <w:r>
        <w:rPr>
          <w:sz w:val="28"/>
        </w:rPr>
        <w:t>条　本合同的价款、金额、面积等项应当同时以大、小写表示，大小写数额应当一致，不一致的，以大写为准。</w:t>
      </w:r>
    </w:p>
    <w:p>
      <w:pPr>
        <w:snapToGrid w:val="0"/>
        <w:spacing w:line="360" w:lineRule="auto"/>
        <w:ind w:firstLine="560" w:firstLineChars="200"/>
        <w:rPr>
          <w:sz w:val="28"/>
        </w:rPr>
      </w:pPr>
      <w:r>
        <w:rPr>
          <w:sz w:val="28"/>
        </w:rPr>
        <w:t>第</w:t>
      </w:r>
      <w:r>
        <w:rPr>
          <w:rFonts w:hint="eastAsia"/>
          <w:sz w:val="28"/>
          <w:lang w:val="en-US" w:eastAsia="zh-CN"/>
        </w:rPr>
        <w:t>六十</w:t>
      </w:r>
      <w:r>
        <w:rPr>
          <w:sz w:val="28"/>
        </w:rPr>
        <w:t>条　本</w:t>
      </w:r>
      <w:r>
        <w:rPr>
          <w:rFonts w:hint="eastAsia"/>
          <w:sz w:val="28"/>
          <w:lang w:val="en-US" w:eastAsia="zh-CN"/>
        </w:rPr>
        <w:t>出让</w:t>
      </w:r>
      <w:r>
        <w:rPr>
          <w:sz w:val="28"/>
        </w:rPr>
        <w:t>合同</w:t>
      </w:r>
      <w:r>
        <w:rPr>
          <w:rFonts w:hint="eastAsia"/>
          <w:sz w:val="28"/>
          <w:lang w:val="en-US" w:eastAsia="zh-CN"/>
        </w:rPr>
        <w:t>与挂牌文件《</w:t>
      </w:r>
      <w:r>
        <w:rPr>
          <w:sz w:val="28"/>
        </w:rPr>
        <w:t>京土整储挂（</w:t>
      </w:r>
      <w:r>
        <w:rPr>
          <w:rFonts w:hint="eastAsia"/>
          <w:sz w:val="28"/>
        </w:rPr>
        <w:t>开</w:t>
      </w:r>
      <w:r>
        <w:rPr>
          <w:sz w:val="28"/>
        </w:rPr>
        <w:t>）[2021]073号</w:t>
      </w:r>
      <w:r>
        <w:rPr>
          <w:rFonts w:hint="eastAsia"/>
          <w:sz w:val="28"/>
          <w:lang w:val="en-US" w:eastAsia="zh-CN"/>
        </w:rPr>
        <w:t>》内容相互支持，相互补充</w:t>
      </w:r>
      <w:r>
        <w:rPr>
          <w:sz w:val="28"/>
        </w:rPr>
        <w:t>。</w:t>
      </w:r>
    </w:p>
    <w:p>
      <w:pPr>
        <w:snapToGrid w:val="0"/>
        <w:spacing w:line="360" w:lineRule="auto"/>
        <w:ind w:firstLine="560" w:firstLineChars="200"/>
        <w:rPr>
          <w:sz w:val="28"/>
        </w:rPr>
      </w:pPr>
      <w:r>
        <w:rPr>
          <w:sz w:val="28"/>
        </w:rPr>
        <w:t>第</w:t>
      </w:r>
      <w:r>
        <w:rPr>
          <w:rFonts w:hint="eastAsia"/>
          <w:sz w:val="28"/>
          <w:lang w:val="en-US" w:eastAsia="zh-CN"/>
        </w:rPr>
        <w:t>六十一</w:t>
      </w:r>
      <w:r>
        <w:rPr>
          <w:sz w:val="28"/>
        </w:rPr>
        <w:t>条　本合同未尽事宜，可由双方约定后作为合同附件，与本合同具有同等法律效力。</w:t>
      </w:r>
    </w:p>
    <w:p>
      <w:pPr>
        <w:snapToGrid w:val="0"/>
        <w:spacing w:line="360" w:lineRule="auto"/>
        <w:ind w:firstLine="560" w:firstLineChars="200"/>
        <w:rPr>
          <w:sz w:val="28"/>
        </w:rPr>
      </w:pPr>
      <w:r>
        <w:rPr>
          <w:sz w:val="28"/>
        </w:rPr>
        <w:t>第</w:t>
      </w:r>
      <w:r>
        <w:rPr>
          <w:rFonts w:hint="eastAsia"/>
          <w:sz w:val="28"/>
          <w:lang w:val="en-US" w:eastAsia="zh-CN"/>
        </w:rPr>
        <w:t>六十二</w:t>
      </w:r>
      <w:r>
        <w:rPr>
          <w:sz w:val="28"/>
        </w:rPr>
        <w:t>条　本合同一式伍份，出让人、受让人各执贰份，抄送北京市</w:t>
      </w:r>
      <w:r>
        <w:rPr>
          <w:rFonts w:hint="eastAsia"/>
          <w:sz w:val="28"/>
        </w:rPr>
        <w:t>规划和自然资源委员会</w:t>
      </w:r>
      <w:r>
        <w:rPr>
          <w:sz w:val="28"/>
        </w:rPr>
        <w:t>一份，具有同等法律效力。</w:t>
      </w:r>
    </w:p>
    <w:p>
      <w:pPr>
        <w:snapToGrid w:val="0"/>
        <w:spacing w:line="360" w:lineRule="auto"/>
        <w:ind w:firstLine="560" w:firstLineChars="200"/>
        <w:rPr>
          <w:sz w:val="28"/>
        </w:rPr>
      </w:pPr>
    </w:p>
    <w:p>
      <w:pPr>
        <w:snapToGrid w:val="0"/>
        <w:spacing w:line="360" w:lineRule="auto"/>
        <w:ind w:firstLine="560" w:firstLineChars="200"/>
        <w:rPr>
          <w:sz w:val="28"/>
        </w:rPr>
      </w:pPr>
    </w:p>
    <w:p>
      <w:pPr>
        <w:tabs>
          <w:tab w:val="left" w:pos="1065"/>
        </w:tabs>
        <w:snapToGrid w:val="0"/>
        <w:spacing w:line="360" w:lineRule="auto"/>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sz w:val="28"/>
        </w:rPr>
      </w:pPr>
    </w:p>
    <w:p>
      <w:pPr>
        <w:pStyle w:val="2"/>
        <w:rPr>
          <w:ins w:id="0" w:author="Administrator" w:date="2021-05-24T09:54:57Z"/>
          <w:sz w:val="28"/>
        </w:rPr>
      </w:pPr>
    </w:p>
    <w:p>
      <w:pPr>
        <w:widowControl/>
        <w:snapToGrid w:val="0"/>
        <w:spacing w:line="360" w:lineRule="auto"/>
        <w:rPr>
          <w:sz w:val="28"/>
        </w:rPr>
      </w:pPr>
      <w:r>
        <w:rPr>
          <w:rFonts w:hint="eastAsia"/>
          <w:sz w:val="28"/>
        </w:rPr>
        <w:t>（本页无正文）</w:t>
      </w:r>
    </w:p>
    <w:p>
      <w:pPr>
        <w:widowControl/>
        <w:snapToGrid w:val="0"/>
        <w:spacing w:line="360" w:lineRule="auto"/>
        <w:rPr>
          <w:sz w:val="28"/>
        </w:rPr>
      </w:pPr>
    </w:p>
    <w:p>
      <w:pPr>
        <w:widowControl/>
        <w:snapToGrid w:val="0"/>
        <w:spacing w:line="360" w:lineRule="auto"/>
        <w:rPr>
          <w:sz w:val="28"/>
        </w:rPr>
      </w:pPr>
    </w:p>
    <w:p>
      <w:pPr>
        <w:widowControl/>
        <w:snapToGrid w:val="0"/>
        <w:spacing w:line="360" w:lineRule="auto"/>
        <w:rPr>
          <w:sz w:val="28"/>
        </w:rPr>
      </w:pPr>
      <w:r>
        <w:rPr>
          <w:sz w:val="28"/>
        </w:rPr>
        <w:t>出让人（章）：</w:t>
      </w:r>
      <w:r>
        <w:rPr>
          <w:rFonts w:hint="eastAsia"/>
          <w:sz w:val="28"/>
        </w:rPr>
        <w:t>北京经济技术开发区开发建设局</w:t>
      </w:r>
    </w:p>
    <w:p>
      <w:pPr>
        <w:widowControl/>
        <w:snapToGrid w:val="0"/>
        <w:spacing w:line="360" w:lineRule="auto"/>
        <w:rPr>
          <w:sz w:val="28"/>
        </w:rPr>
      </w:pPr>
      <w:r>
        <w:rPr>
          <w:sz w:val="28"/>
        </w:rPr>
        <w:t xml:space="preserve">法定代表人（委托代理人）        </w:t>
      </w:r>
    </w:p>
    <w:p>
      <w:pPr>
        <w:widowControl/>
        <w:snapToGrid w:val="0"/>
        <w:spacing w:line="360" w:lineRule="auto"/>
        <w:rPr>
          <w:sz w:val="28"/>
        </w:rPr>
      </w:pPr>
      <w:r>
        <w:rPr>
          <w:sz w:val="28"/>
        </w:rPr>
        <w:t>（签字）：                    </w:t>
      </w:r>
    </w:p>
    <w:p>
      <w:pPr>
        <w:widowControl/>
        <w:snapToGrid w:val="0"/>
        <w:spacing w:line="360" w:lineRule="auto"/>
        <w:rPr>
          <w:sz w:val="28"/>
        </w:rPr>
      </w:pPr>
    </w:p>
    <w:p>
      <w:pPr>
        <w:widowControl/>
        <w:snapToGrid w:val="0"/>
        <w:spacing w:line="360" w:lineRule="auto"/>
        <w:rPr>
          <w:sz w:val="28"/>
        </w:rPr>
      </w:pPr>
    </w:p>
    <w:p>
      <w:pPr>
        <w:widowControl/>
        <w:snapToGrid w:val="0"/>
        <w:spacing w:line="360" w:lineRule="auto"/>
        <w:rPr>
          <w:sz w:val="28"/>
        </w:rPr>
      </w:pPr>
      <w:r>
        <w:rPr>
          <w:sz w:val="28"/>
        </w:rPr>
        <w:t>受让人（章）：</w:t>
      </w:r>
      <w:r>
        <w:rPr>
          <w:rFonts w:hint="eastAsia"/>
          <w:sz w:val="28"/>
          <w:lang w:val="en-US" w:eastAsia="zh-CN"/>
        </w:rPr>
        <w:t xml:space="preserve"> </w:t>
      </w:r>
    </w:p>
    <w:p>
      <w:pPr>
        <w:widowControl/>
        <w:snapToGrid w:val="0"/>
        <w:spacing w:line="360" w:lineRule="auto"/>
        <w:rPr>
          <w:sz w:val="28"/>
        </w:rPr>
      </w:pPr>
      <w:r>
        <w:rPr>
          <w:sz w:val="28"/>
        </w:rPr>
        <w:t>法定代表人(委托代理人)：</w:t>
      </w:r>
    </w:p>
    <w:p>
      <w:pPr>
        <w:widowControl/>
        <w:snapToGrid w:val="0"/>
        <w:spacing w:line="360" w:lineRule="auto"/>
        <w:rPr>
          <w:sz w:val="28"/>
        </w:rPr>
      </w:pPr>
      <w:r>
        <w:rPr>
          <w:sz w:val="28"/>
        </w:rPr>
        <w:t>（签字）：</w:t>
      </w:r>
    </w:p>
    <w:p>
      <w:pPr>
        <w:widowControl/>
        <w:snapToGrid w:val="0"/>
        <w:spacing w:line="360" w:lineRule="auto"/>
        <w:rPr>
          <w:sz w:val="28"/>
        </w:rPr>
      </w:pPr>
    </w:p>
    <w:p>
      <w:pPr>
        <w:widowControl/>
        <w:snapToGrid w:val="0"/>
        <w:spacing w:line="360" w:lineRule="auto"/>
        <w:rPr>
          <w:sz w:val="28"/>
        </w:rPr>
      </w:pPr>
    </w:p>
    <w:p>
      <w:pPr>
        <w:widowControl/>
        <w:snapToGrid w:val="0"/>
        <w:spacing w:line="360" w:lineRule="auto"/>
        <w:rPr>
          <w:sz w:val="28"/>
        </w:rPr>
      </w:pPr>
    </w:p>
    <w:p>
      <w:pPr>
        <w:widowControl/>
        <w:snapToGrid w:val="0"/>
        <w:spacing w:line="360" w:lineRule="auto"/>
        <w:rPr>
          <w:sz w:val="28"/>
        </w:rPr>
      </w:pPr>
      <w:r>
        <w:rPr>
          <w:sz w:val="28"/>
        </w:rPr>
        <w:t>受让人（章）：</w:t>
      </w:r>
      <w:r>
        <w:rPr>
          <w:rFonts w:hint="eastAsia"/>
          <w:sz w:val="28"/>
          <w:lang w:val="en-US" w:eastAsia="zh-CN"/>
        </w:rPr>
        <w:t xml:space="preserve"> </w:t>
      </w:r>
    </w:p>
    <w:p>
      <w:pPr>
        <w:widowControl/>
        <w:snapToGrid w:val="0"/>
        <w:spacing w:line="360" w:lineRule="auto"/>
        <w:rPr>
          <w:sz w:val="28"/>
        </w:rPr>
      </w:pPr>
      <w:r>
        <w:rPr>
          <w:sz w:val="28"/>
        </w:rPr>
        <w:t>法定代表人(委托代理人)：</w:t>
      </w:r>
    </w:p>
    <w:p>
      <w:pPr>
        <w:widowControl/>
        <w:snapToGrid w:val="0"/>
        <w:spacing w:line="360" w:lineRule="auto"/>
        <w:rPr>
          <w:sz w:val="28"/>
        </w:rPr>
      </w:pPr>
      <w:r>
        <w:rPr>
          <w:sz w:val="28"/>
        </w:rPr>
        <w:t>（签字）：</w:t>
      </w:r>
    </w:p>
    <w:p>
      <w:pPr>
        <w:widowControl/>
        <w:snapToGrid w:val="0"/>
        <w:spacing w:line="360" w:lineRule="auto"/>
        <w:rPr>
          <w:sz w:val="28"/>
        </w:rPr>
      </w:pPr>
    </w:p>
    <w:p>
      <w:pPr>
        <w:widowControl/>
        <w:snapToGrid w:val="0"/>
        <w:spacing w:line="360" w:lineRule="auto"/>
        <w:rPr>
          <w:sz w:val="28"/>
        </w:rPr>
      </w:pPr>
    </w:p>
    <w:p>
      <w:pPr>
        <w:widowControl/>
        <w:snapToGrid w:val="0"/>
        <w:spacing w:line="360" w:lineRule="auto"/>
        <w:jc w:val="left"/>
        <w:rPr>
          <w:sz w:val="28"/>
        </w:rPr>
      </w:pPr>
    </w:p>
    <w:p>
      <w:pPr>
        <w:widowControl/>
        <w:snapToGrid w:val="0"/>
        <w:spacing w:line="360" w:lineRule="auto"/>
        <w:jc w:val="left"/>
        <w:rPr>
          <w:sz w:val="28"/>
        </w:rPr>
      </w:pPr>
    </w:p>
    <w:p>
      <w:pPr>
        <w:widowControl/>
        <w:snapToGrid w:val="0"/>
        <w:spacing w:line="360" w:lineRule="auto"/>
        <w:jc w:val="left"/>
        <w:rPr>
          <w:sz w:val="28"/>
        </w:rPr>
      </w:pPr>
    </w:p>
    <w:p>
      <w:pPr>
        <w:widowControl/>
        <w:snapToGrid w:val="0"/>
        <w:spacing w:line="360" w:lineRule="auto"/>
        <w:jc w:val="left"/>
        <w:rPr>
          <w:sz w:val="28"/>
        </w:rPr>
      </w:pPr>
    </w:p>
    <w:p>
      <w:pPr>
        <w:widowControl/>
        <w:snapToGrid w:val="0"/>
        <w:spacing w:line="360" w:lineRule="auto"/>
        <w:ind w:firstLine="6160" w:firstLineChars="2200"/>
        <w:jc w:val="left"/>
        <w:rPr>
          <w:sz w:val="28"/>
        </w:rPr>
      </w:pPr>
      <w:r>
        <w:rPr>
          <w:rFonts w:hint="eastAsia"/>
          <w:sz w:val="28"/>
        </w:rPr>
        <w:t>年   月   日</w:t>
      </w:r>
    </w:p>
    <w:sectPr>
      <w:pgSz w:w="11906" w:h="16838"/>
      <w:pgMar w:top="1440" w:right="1701" w:bottom="1440" w:left="1701"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书宋_GBK">
    <w:altName w:val="Arial Unicode MS"/>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方正黑体_GBK">
    <w:altName w:val="Arial Unicode MS"/>
    <w:panose1 w:val="02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DengXian">
    <w:altName w:val="Arial Unicode MS"/>
    <w:panose1 w:val="00000000000000000000"/>
    <w:charset w:val="00"/>
    <w:family w:val="roman"/>
    <w:pitch w:val="default"/>
    <w:sig w:usb0="00000000" w:usb1="00000000" w:usb2="00000000" w:usb3="00000000" w:csb0="00040001"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Liberation Serif">
    <w:altName w:val="Times New Roman"/>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黑体_x0013_ヤ.惑..">
    <w:altName w:val="黑体"/>
    <w:panose1 w:val="00000000000000000000"/>
    <w:charset w:val="86"/>
    <w:family w:val="swiss"/>
    <w:pitch w:val="default"/>
    <w:sig w:usb0="00000000" w:usb1="00000000" w:usb2="0000001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_x000B__x000C_">
    <w:altName w:val="华文中宋"/>
    <w:panose1 w:val="00000000000000000000"/>
    <w:charset w:val="00"/>
    <w:family w:val="roman"/>
    <w:pitch w:val="default"/>
    <w:sig w:usb0="00000000" w:usb1="00000000" w:usb2="00000000"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ˎ̥">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0000012" w:usb3="00000000" w:csb0="4002009F" w:csb1="DFD70000"/>
  </w:font>
  <w:font w:name="汉仪大黑简">
    <w:altName w:val="宋体"/>
    <w:panose1 w:val="02010609000101010101"/>
    <w:charset w:val="86"/>
    <w:family w:val="modern"/>
    <w:pitch w:val="default"/>
    <w:sig w:usb0="00000000" w:usb1="00000000" w:usb2="00000012" w:usb3="00000000" w:csb0="00040000" w:csb1="00000000"/>
  </w:font>
  <w:font w:name="方正楷体简体">
    <w:altName w:val="楷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2</w:t>
    </w:r>
    <w:r>
      <w:rPr>
        <w:rStyle w:val="13"/>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463F2D"/>
    <w:multiLevelType w:val="singleLevel"/>
    <w:tmpl w:val="F8463F2D"/>
    <w:lvl w:ilvl="0" w:tentative="0">
      <w:start w:val="1"/>
      <w:numFmt w:val="chineseCounting"/>
      <w:suff w:val="nothing"/>
      <w:lvlText w:val="（%1）"/>
      <w:lvlJc w:val="left"/>
      <w:rPr>
        <w:rFonts w:hint="eastAsia"/>
      </w:rPr>
    </w:lvl>
  </w:abstractNum>
  <w:abstractNum w:abstractNumId="1">
    <w:nsid w:val="601768B8"/>
    <w:multiLevelType w:val="singleLevel"/>
    <w:tmpl w:val="601768B8"/>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9D5"/>
    <w:rsid w:val="00003569"/>
    <w:rsid w:val="00003F14"/>
    <w:rsid w:val="00005369"/>
    <w:rsid w:val="000069D5"/>
    <w:rsid w:val="00013A48"/>
    <w:rsid w:val="000176E0"/>
    <w:rsid w:val="00017BA6"/>
    <w:rsid w:val="00017BB1"/>
    <w:rsid w:val="000201AB"/>
    <w:rsid w:val="000227E6"/>
    <w:rsid w:val="00022A8F"/>
    <w:rsid w:val="00022C74"/>
    <w:rsid w:val="00023AA3"/>
    <w:rsid w:val="00027A66"/>
    <w:rsid w:val="00031623"/>
    <w:rsid w:val="00034BA7"/>
    <w:rsid w:val="000362D1"/>
    <w:rsid w:val="0004145F"/>
    <w:rsid w:val="00042852"/>
    <w:rsid w:val="00042E54"/>
    <w:rsid w:val="00043179"/>
    <w:rsid w:val="000440F7"/>
    <w:rsid w:val="000460C4"/>
    <w:rsid w:val="0004661A"/>
    <w:rsid w:val="00046DA1"/>
    <w:rsid w:val="000504BF"/>
    <w:rsid w:val="000506F6"/>
    <w:rsid w:val="0005168E"/>
    <w:rsid w:val="0005299A"/>
    <w:rsid w:val="000531CA"/>
    <w:rsid w:val="00056D5D"/>
    <w:rsid w:val="0006179B"/>
    <w:rsid w:val="0006228E"/>
    <w:rsid w:val="0006245D"/>
    <w:rsid w:val="000637B7"/>
    <w:rsid w:val="000656AB"/>
    <w:rsid w:val="000750E8"/>
    <w:rsid w:val="00076FB2"/>
    <w:rsid w:val="00080231"/>
    <w:rsid w:val="00081E21"/>
    <w:rsid w:val="00084DEF"/>
    <w:rsid w:val="00086766"/>
    <w:rsid w:val="00090950"/>
    <w:rsid w:val="00091C86"/>
    <w:rsid w:val="000927DA"/>
    <w:rsid w:val="0009298C"/>
    <w:rsid w:val="00097347"/>
    <w:rsid w:val="000A07F0"/>
    <w:rsid w:val="000A0E2F"/>
    <w:rsid w:val="000A11F4"/>
    <w:rsid w:val="000A4578"/>
    <w:rsid w:val="000B1F4D"/>
    <w:rsid w:val="000B664A"/>
    <w:rsid w:val="000B79B6"/>
    <w:rsid w:val="000C3213"/>
    <w:rsid w:val="000D0544"/>
    <w:rsid w:val="000D35DC"/>
    <w:rsid w:val="000D589D"/>
    <w:rsid w:val="000D74B3"/>
    <w:rsid w:val="000E2411"/>
    <w:rsid w:val="000E2947"/>
    <w:rsid w:val="000E4A93"/>
    <w:rsid w:val="000E5F62"/>
    <w:rsid w:val="000F074F"/>
    <w:rsid w:val="000F1434"/>
    <w:rsid w:val="000F30D5"/>
    <w:rsid w:val="000F6F62"/>
    <w:rsid w:val="000F73CE"/>
    <w:rsid w:val="000F775D"/>
    <w:rsid w:val="001011E2"/>
    <w:rsid w:val="00105B62"/>
    <w:rsid w:val="00106004"/>
    <w:rsid w:val="00106B4F"/>
    <w:rsid w:val="00110C85"/>
    <w:rsid w:val="00113864"/>
    <w:rsid w:val="00120581"/>
    <w:rsid w:val="00120D5D"/>
    <w:rsid w:val="0012302A"/>
    <w:rsid w:val="00131C1F"/>
    <w:rsid w:val="00131FA6"/>
    <w:rsid w:val="00132BD9"/>
    <w:rsid w:val="00134A44"/>
    <w:rsid w:val="00140182"/>
    <w:rsid w:val="00140DBE"/>
    <w:rsid w:val="00140F1E"/>
    <w:rsid w:val="001429B6"/>
    <w:rsid w:val="0014436A"/>
    <w:rsid w:val="001523E4"/>
    <w:rsid w:val="00152AEB"/>
    <w:rsid w:val="001619EF"/>
    <w:rsid w:val="001649E4"/>
    <w:rsid w:val="00166B36"/>
    <w:rsid w:val="00166C4A"/>
    <w:rsid w:val="00171A2C"/>
    <w:rsid w:val="00174B55"/>
    <w:rsid w:val="00176629"/>
    <w:rsid w:val="001803A7"/>
    <w:rsid w:val="0018147D"/>
    <w:rsid w:val="001816EB"/>
    <w:rsid w:val="00181CFC"/>
    <w:rsid w:val="00183800"/>
    <w:rsid w:val="00187458"/>
    <w:rsid w:val="001972F1"/>
    <w:rsid w:val="001A39CD"/>
    <w:rsid w:val="001A493C"/>
    <w:rsid w:val="001A6F9A"/>
    <w:rsid w:val="001B3438"/>
    <w:rsid w:val="001C04F4"/>
    <w:rsid w:val="001C162E"/>
    <w:rsid w:val="001D61D8"/>
    <w:rsid w:val="001E15EE"/>
    <w:rsid w:val="001E20B1"/>
    <w:rsid w:val="001E3437"/>
    <w:rsid w:val="001E48EC"/>
    <w:rsid w:val="001E602F"/>
    <w:rsid w:val="001F0869"/>
    <w:rsid w:val="001F1F1C"/>
    <w:rsid w:val="001F3270"/>
    <w:rsid w:val="001F3E5B"/>
    <w:rsid w:val="001F497E"/>
    <w:rsid w:val="002018C5"/>
    <w:rsid w:val="0020266A"/>
    <w:rsid w:val="00205678"/>
    <w:rsid w:val="00212C9D"/>
    <w:rsid w:val="00216348"/>
    <w:rsid w:val="002213DC"/>
    <w:rsid w:val="0022638F"/>
    <w:rsid w:val="00227F37"/>
    <w:rsid w:val="0023140B"/>
    <w:rsid w:val="002319BF"/>
    <w:rsid w:val="00234136"/>
    <w:rsid w:val="002352E2"/>
    <w:rsid w:val="00235907"/>
    <w:rsid w:val="00237778"/>
    <w:rsid w:val="0024159F"/>
    <w:rsid w:val="00241ADF"/>
    <w:rsid w:val="00242C6E"/>
    <w:rsid w:val="0024583A"/>
    <w:rsid w:val="002501A3"/>
    <w:rsid w:val="0025138E"/>
    <w:rsid w:val="002572FD"/>
    <w:rsid w:val="002647BA"/>
    <w:rsid w:val="00267488"/>
    <w:rsid w:val="00267C5A"/>
    <w:rsid w:val="002814D6"/>
    <w:rsid w:val="00281A50"/>
    <w:rsid w:val="00285B1D"/>
    <w:rsid w:val="002874EA"/>
    <w:rsid w:val="00287E1C"/>
    <w:rsid w:val="002902F6"/>
    <w:rsid w:val="002A48DB"/>
    <w:rsid w:val="002A5AE0"/>
    <w:rsid w:val="002B298E"/>
    <w:rsid w:val="002B3D55"/>
    <w:rsid w:val="002B4446"/>
    <w:rsid w:val="002B5AAF"/>
    <w:rsid w:val="002B5F4F"/>
    <w:rsid w:val="002C2653"/>
    <w:rsid w:val="002C5557"/>
    <w:rsid w:val="002C5573"/>
    <w:rsid w:val="002D25D7"/>
    <w:rsid w:val="002D5B49"/>
    <w:rsid w:val="002E3DBC"/>
    <w:rsid w:val="002E54F5"/>
    <w:rsid w:val="002E6D06"/>
    <w:rsid w:val="002F64E7"/>
    <w:rsid w:val="002F67D7"/>
    <w:rsid w:val="003001F1"/>
    <w:rsid w:val="003023E6"/>
    <w:rsid w:val="00304E9E"/>
    <w:rsid w:val="003057D7"/>
    <w:rsid w:val="00307A22"/>
    <w:rsid w:val="003113E2"/>
    <w:rsid w:val="00313CAA"/>
    <w:rsid w:val="003215AA"/>
    <w:rsid w:val="00322C92"/>
    <w:rsid w:val="00326B76"/>
    <w:rsid w:val="00333B50"/>
    <w:rsid w:val="00340550"/>
    <w:rsid w:val="003418CB"/>
    <w:rsid w:val="003427FA"/>
    <w:rsid w:val="00343A25"/>
    <w:rsid w:val="0035525E"/>
    <w:rsid w:val="00356AE3"/>
    <w:rsid w:val="003571CA"/>
    <w:rsid w:val="00360321"/>
    <w:rsid w:val="003605A0"/>
    <w:rsid w:val="0036355D"/>
    <w:rsid w:val="003639CA"/>
    <w:rsid w:val="0037029A"/>
    <w:rsid w:val="003769C9"/>
    <w:rsid w:val="00380B2B"/>
    <w:rsid w:val="003833E2"/>
    <w:rsid w:val="00385ABA"/>
    <w:rsid w:val="00387591"/>
    <w:rsid w:val="00391385"/>
    <w:rsid w:val="003A0B3A"/>
    <w:rsid w:val="003A7851"/>
    <w:rsid w:val="003A7D49"/>
    <w:rsid w:val="003B5F6B"/>
    <w:rsid w:val="003C42AC"/>
    <w:rsid w:val="003C5EA0"/>
    <w:rsid w:val="003D19AA"/>
    <w:rsid w:val="003F4973"/>
    <w:rsid w:val="003F7270"/>
    <w:rsid w:val="003F76C7"/>
    <w:rsid w:val="00401B3E"/>
    <w:rsid w:val="00405B04"/>
    <w:rsid w:val="0041238C"/>
    <w:rsid w:val="0041248B"/>
    <w:rsid w:val="00412A33"/>
    <w:rsid w:val="00413569"/>
    <w:rsid w:val="00414613"/>
    <w:rsid w:val="00415ECE"/>
    <w:rsid w:val="0042062F"/>
    <w:rsid w:val="00423D3E"/>
    <w:rsid w:val="004256B2"/>
    <w:rsid w:val="00427394"/>
    <w:rsid w:val="00427DB1"/>
    <w:rsid w:val="004301CE"/>
    <w:rsid w:val="00432F1E"/>
    <w:rsid w:val="00433E75"/>
    <w:rsid w:val="00444305"/>
    <w:rsid w:val="00446BF3"/>
    <w:rsid w:val="00447D16"/>
    <w:rsid w:val="00455893"/>
    <w:rsid w:val="00456984"/>
    <w:rsid w:val="00457010"/>
    <w:rsid w:val="00457771"/>
    <w:rsid w:val="004617D2"/>
    <w:rsid w:val="00464C4F"/>
    <w:rsid w:val="00471289"/>
    <w:rsid w:val="004713A3"/>
    <w:rsid w:val="00471AB6"/>
    <w:rsid w:val="00472319"/>
    <w:rsid w:val="00484161"/>
    <w:rsid w:val="00490EB4"/>
    <w:rsid w:val="0049402A"/>
    <w:rsid w:val="004A04BA"/>
    <w:rsid w:val="004A4184"/>
    <w:rsid w:val="004A77D4"/>
    <w:rsid w:val="004A7CF1"/>
    <w:rsid w:val="004B0795"/>
    <w:rsid w:val="004B09B3"/>
    <w:rsid w:val="004B3D06"/>
    <w:rsid w:val="004B4124"/>
    <w:rsid w:val="004B4C95"/>
    <w:rsid w:val="004C2ECE"/>
    <w:rsid w:val="004C4494"/>
    <w:rsid w:val="004D1DAD"/>
    <w:rsid w:val="004D6AF0"/>
    <w:rsid w:val="004E1CF9"/>
    <w:rsid w:val="004E4FCF"/>
    <w:rsid w:val="004E74D2"/>
    <w:rsid w:val="00500055"/>
    <w:rsid w:val="005015D2"/>
    <w:rsid w:val="00502B39"/>
    <w:rsid w:val="005070C8"/>
    <w:rsid w:val="00511703"/>
    <w:rsid w:val="00511F24"/>
    <w:rsid w:val="005139FF"/>
    <w:rsid w:val="00520072"/>
    <w:rsid w:val="005204DF"/>
    <w:rsid w:val="0052209C"/>
    <w:rsid w:val="00522197"/>
    <w:rsid w:val="0052646E"/>
    <w:rsid w:val="0052798A"/>
    <w:rsid w:val="00540ECE"/>
    <w:rsid w:val="00544296"/>
    <w:rsid w:val="00547758"/>
    <w:rsid w:val="00547E20"/>
    <w:rsid w:val="00551599"/>
    <w:rsid w:val="0056168D"/>
    <w:rsid w:val="0056257F"/>
    <w:rsid w:val="00566A60"/>
    <w:rsid w:val="005710BD"/>
    <w:rsid w:val="00577AA5"/>
    <w:rsid w:val="00581770"/>
    <w:rsid w:val="00581E84"/>
    <w:rsid w:val="00585571"/>
    <w:rsid w:val="00586F9B"/>
    <w:rsid w:val="005917DD"/>
    <w:rsid w:val="0059203E"/>
    <w:rsid w:val="0059216F"/>
    <w:rsid w:val="00593B7D"/>
    <w:rsid w:val="00595343"/>
    <w:rsid w:val="00596913"/>
    <w:rsid w:val="00597D08"/>
    <w:rsid w:val="005A270D"/>
    <w:rsid w:val="005A6473"/>
    <w:rsid w:val="005A7033"/>
    <w:rsid w:val="005B47C3"/>
    <w:rsid w:val="005B69BE"/>
    <w:rsid w:val="005C1C41"/>
    <w:rsid w:val="005C4F27"/>
    <w:rsid w:val="005D0A03"/>
    <w:rsid w:val="005D188D"/>
    <w:rsid w:val="005D189B"/>
    <w:rsid w:val="005D19FD"/>
    <w:rsid w:val="005D7220"/>
    <w:rsid w:val="005E5F01"/>
    <w:rsid w:val="005F04F0"/>
    <w:rsid w:val="005F1211"/>
    <w:rsid w:val="006017FD"/>
    <w:rsid w:val="00602A25"/>
    <w:rsid w:val="00604A1D"/>
    <w:rsid w:val="0060583C"/>
    <w:rsid w:val="006113DB"/>
    <w:rsid w:val="00611C6A"/>
    <w:rsid w:val="00613389"/>
    <w:rsid w:val="00615B18"/>
    <w:rsid w:val="0061629D"/>
    <w:rsid w:val="0062548C"/>
    <w:rsid w:val="00625EE8"/>
    <w:rsid w:val="00626D91"/>
    <w:rsid w:val="00630525"/>
    <w:rsid w:val="0063131E"/>
    <w:rsid w:val="00633D32"/>
    <w:rsid w:val="00635290"/>
    <w:rsid w:val="00643490"/>
    <w:rsid w:val="006447E4"/>
    <w:rsid w:val="00647517"/>
    <w:rsid w:val="00650555"/>
    <w:rsid w:val="00652450"/>
    <w:rsid w:val="006524FC"/>
    <w:rsid w:val="00660C5B"/>
    <w:rsid w:val="00664E41"/>
    <w:rsid w:val="00670BF8"/>
    <w:rsid w:val="00671006"/>
    <w:rsid w:val="006775E3"/>
    <w:rsid w:val="00677B3F"/>
    <w:rsid w:val="00682D26"/>
    <w:rsid w:val="00684928"/>
    <w:rsid w:val="0068750D"/>
    <w:rsid w:val="00690EF0"/>
    <w:rsid w:val="0069269C"/>
    <w:rsid w:val="0069284F"/>
    <w:rsid w:val="00695A6F"/>
    <w:rsid w:val="006966EE"/>
    <w:rsid w:val="006A0B20"/>
    <w:rsid w:val="006A2D28"/>
    <w:rsid w:val="006B0ACD"/>
    <w:rsid w:val="006B4E39"/>
    <w:rsid w:val="006B690D"/>
    <w:rsid w:val="006C264C"/>
    <w:rsid w:val="006D06BD"/>
    <w:rsid w:val="006D0CDC"/>
    <w:rsid w:val="006E1E27"/>
    <w:rsid w:val="007027BE"/>
    <w:rsid w:val="00702B00"/>
    <w:rsid w:val="00703BD3"/>
    <w:rsid w:val="0070515D"/>
    <w:rsid w:val="0071273D"/>
    <w:rsid w:val="00714679"/>
    <w:rsid w:val="007149EB"/>
    <w:rsid w:val="007151D1"/>
    <w:rsid w:val="00717779"/>
    <w:rsid w:val="00721092"/>
    <w:rsid w:val="0072289A"/>
    <w:rsid w:val="007244E9"/>
    <w:rsid w:val="007246F0"/>
    <w:rsid w:val="00726772"/>
    <w:rsid w:val="0072743C"/>
    <w:rsid w:val="0073331A"/>
    <w:rsid w:val="00736243"/>
    <w:rsid w:val="00740E69"/>
    <w:rsid w:val="00746B1E"/>
    <w:rsid w:val="00747348"/>
    <w:rsid w:val="007623AE"/>
    <w:rsid w:val="007625AC"/>
    <w:rsid w:val="0076694E"/>
    <w:rsid w:val="00766FE0"/>
    <w:rsid w:val="007670D8"/>
    <w:rsid w:val="00772DAD"/>
    <w:rsid w:val="00781EB0"/>
    <w:rsid w:val="00782D63"/>
    <w:rsid w:val="00795657"/>
    <w:rsid w:val="007975A1"/>
    <w:rsid w:val="007A0910"/>
    <w:rsid w:val="007A21A1"/>
    <w:rsid w:val="007A6E95"/>
    <w:rsid w:val="007B07E7"/>
    <w:rsid w:val="007B0818"/>
    <w:rsid w:val="007B30C8"/>
    <w:rsid w:val="007C25CC"/>
    <w:rsid w:val="007D61C3"/>
    <w:rsid w:val="007E2FEC"/>
    <w:rsid w:val="007F118B"/>
    <w:rsid w:val="007F5C09"/>
    <w:rsid w:val="008009A1"/>
    <w:rsid w:val="00802968"/>
    <w:rsid w:val="00803715"/>
    <w:rsid w:val="00803A59"/>
    <w:rsid w:val="0080520B"/>
    <w:rsid w:val="00814A32"/>
    <w:rsid w:val="00820EC8"/>
    <w:rsid w:val="008248E1"/>
    <w:rsid w:val="00825614"/>
    <w:rsid w:val="00827AB4"/>
    <w:rsid w:val="00834AC7"/>
    <w:rsid w:val="00834E56"/>
    <w:rsid w:val="00837276"/>
    <w:rsid w:val="00837AED"/>
    <w:rsid w:val="00842417"/>
    <w:rsid w:val="00843DAF"/>
    <w:rsid w:val="00846FD7"/>
    <w:rsid w:val="008513D6"/>
    <w:rsid w:val="008517E9"/>
    <w:rsid w:val="0085707B"/>
    <w:rsid w:val="008612F3"/>
    <w:rsid w:val="00861A0D"/>
    <w:rsid w:val="00861D82"/>
    <w:rsid w:val="008624CA"/>
    <w:rsid w:val="008642B4"/>
    <w:rsid w:val="00865712"/>
    <w:rsid w:val="0087325D"/>
    <w:rsid w:val="00875DB0"/>
    <w:rsid w:val="00876AE6"/>
    <w:rsid w:val="0088234D"/>
    <w:rsid w:val="00885785"/>
    <w:rsid w:val="00885B00"/>
    <w:rsid w:val="00886AA5"/>
    <w:rsid w:val="0089152A"/>
    <w:rsid w:val="00895139"/>
    <w:rsid w:val="008A37C3"/>
    <w:rsid w:val="008A488E"/>
    <w:rsid w:val="008A72D7"/>
    <w:rsid w:val="008B025B"/>
    <w:rsid w:val="008B5497"/>
    <w:rsid w:val="008B6B90"/>
    <w:rsid w:val="008B7193"/>
    <w:rsid w:val="008D3543"/>
    <w:rsid w:val="008D45BE"/>
    <w:rsid w:val="008D4F62"/>
    <w:rsid w:val="008D5415"/>
    <w:rsid w:val="008D63DC"/>
    <w:rsid w:val="008E1CA3"/>
    <w:rsid w:val="008E48C9"/>
    <w:rsid w:val="008E530E"/>
    <w:rsid w:val="008E6318"/>
    <w:rsid w:val="008F12BC"/>
    <w:rsid w:val="008F1C3A"/>
    <w:rsid w:val="00901E8A"/>
    <w:rsid w:val="00902553"/>
    <w:rsid w:val="00903042"/>
    <w:rsid w:val="0090430F"/>
    <w:rsid w:val="00910940"/>
    <w:rsid w:val="009116C4"/>
    <w:rsid w:val="00920E27"/>
    <w:rsid w:val="00922032"/>
    <w:rsid w:val="00925749"/>
    <w:rsid w:val="00927089"/>
    <w:rsid w:val="0092776D"/>
    <w:rsid w:val="00930E26"/>
    <w:rsid w:val="00930E85"/>
    <w:rsid w:val="00933CCE"/>
    <w:rsid w:val="0093740F"/>
    <w:rsid w:val="00940948"/>
    <w:rsid w:val="0094279E"/>
    <w:rsid w:val="00943A4E"/>
    <w:rsid w:val="0094522E"/>
    <w:rsid w:val="009461DA"/>
    <w:rsid w:val="00951A54"/>
    <w:rsid w:val="009600CD"/>
    <w:rsid w:val="00963F2B"/>
    <w:rsid w:val="009667F0"/>
    <w:rsid w:val="0097069B"/>
    <w:rsid w:val="00974078"/>
    <w:rsid w:val="00981576"/>
    <w:rsid w:val="009843C9"/>
    <w:rsid w:val="009A1696"/>
    <w:rsid w:val="009A2F7D"/>
    <w:rsid w:val="009A3816"/>
    <w:rsid w:val="009A56BF"/>
    <w:rsid w:val="009A57E0"/>
    <w:rsid w:val="009A5CA2"/>
    <w:rsid w:val="009C020E"/>
    <w:rsid w:val="009C2FC5"/>
    <w:rsid w:val="009C6192"/>
    <w:rsid w:val="009D0783"/>
    <w:rsid w:val="009D5186"/>
    <w:rsid w:val="009E0935"/>
    <w:rsid w:val="009E150E"/>
    <w:rsid w:val="009E5908"/>
    <w:rsid w:val="009E65C4"/>
    <w:rsid w:val="009F0028"/>
    <w:rsid w:val="009F1F90"/>
    <w:rsid w:val="009F4924"/>
    <w:rsid w:val="00A04D48"/>
    <w:rsid w:val="00A1241B"/>
    <w:rsid w:val="00A15C9B"/>
    <w:rsid w:val="00A16C6B"/>
    <w:rsid w:val="00A21100"/>
    <w:rsid w:val="00A21962"/>
    <w:rsid w:val="00A32E65"/>
    <w:rsid w:val="00A34927"/>
    <w:rsid w:val="00A3798A"/>
    <w:rsid w:val="00A40812"/>
    <w:rsid w:val="00A4505E"/>
    <w:rsid w:val="00A45B72"/>
    <w:rsid w:val="00A468B9"/>
    <w:rsid w:val="00A50484"/>
    <w:rsid w:val="00A5517E"/>
    <w:rsid w:val="00A556DA"/>
    <w:rsid w:val="00A57466"/>
    <w:rsid w:val="00A61828"/>
    <w:rsid w:val="00A61880"/>
    <w:rsid w:val="00A643FF"/>
    <w:rsid w:val="00A64589"/>
    <w:rsid w:val="00A6478D"/>
    <w:rsid w:val="00A721ED"/>
    <w:rsid w:val="00A7329E"/>
    <w:rsid w:val="00A743F1"/>
    <w:rsid w:val="00A75242"/>
    <w:rsid w:val="00A7618B"/>
    <w:rsid w:val="00A769F6"/>
    <w:rsid w:val="00A8078F"/>
    <w:rsid w:val="00A811F9"/>
    <w:rsid w:val="00A82C2A"/>
    <w:rsid w:val="00A879A2"/>
    <w:rsid w:val="00A90B62"/>
    <w:rsid w:val="00A9338F"/>
    <w:rsid w:val="00A94BFC"/>
    <w:rsid w:val="00A953E8"/>
    <w:rsid w:val="00AA1EE0"/>
    <w:rsid w:val="00AA2BA2"/>
    <w:rsid w:val="00AA35FD"/>
    <w:rsid w:val="00AA4440"/>
    <w:rsid w:val="00AA51F3"/>
    <w:rsid w:val="00AA55A0"/>
    <w:rsid w:val="00AA6458"/>
    <w:rsid w:val="00AA6785"/>
    <w:rsid w:val="00AB1FB9"/>
    <w:rsid w:val="00AB6481"/>
    <w:rsid w:val="00AB716E"/>
    <w:rsid w:val="00AC0AEB"/>
    <w:rsid w:val="00AC59F1"/>
    <w:rsid w:val="00AD385E"/>
    <w:rsid w:val="00AD5646"/>
    <w:rsid w:val="00AE114E"/>
    <w:rsid w:val="00AE2206"/>
    <w:rsid w:val="00AE2EAC"/>
    <w:rsid w:val="00AE3528"/>
    <w:rsid w:val="00AE36F7"/>
    <w:rsid w:val="00AE3F04"/>
    <w:rsid w:val="00AE449D"/>
    <w:rsid w:val="00AF01FA"/>
    <w:rsid w:val="00AF0EDD"/>
    <w:rsid w:val="00AF1094"/>
    <w:rsid w:val="00AF784C"/>
    <w:rsid w:val="00B01813"/>
    <w:rsid w:val="00B01F2D"/>
    <w:rsid w:val="00B02539"/>
    <w:rsid w:val="00B03D4D"/>
    <w:rsid w:val="00B04A35"/>
    <w:rsid w:val="00B20A99"/>
    <w:rsid w:val="00B217C0"/>
    <w:rsid w:val="00B21F27"/>
    <w:rsid w:val="00B23642"/>
    <w:rsid w:val="00B26F40"/>
    <w:rsid w:val="00B30C23"/>
    <w:rsid w:val="00B35251"/>
    <w:rsid w:val="00B37AAA"/>
    <w:rsid w:val="00B40671"/>
    <w:rsid w:val="00B41AC0"/>
    <w:rsid w:val="00B426C2"/>
    <w:rsid w:val="00B44979"/>
    <w:rsid w:val="00B46D31"/>
    <w:rsid w:val="00B505D5"/>
    <w:rsid w:val="00B53082"/>
    <w:rsid w:val="00B5486E"/>
    <w:rsid w:val="00B576FF"/>
    <w:rsid w:val="00B60BA2"/>
    <w:rsid w:val="00B61436"/>
    <w:rsid w:val="00B616A5"/>
    <w:rsid w:val="00B66F4A"/>
    <w:rsid w:val="00B77B12"/>
    <w:rsid w:val="00B77C52"/>
    <w:rsid w:val="00B8158B"/>
    <w:rsid w:val="00B82ED7"/>
    <w:rsid w:val="00B83DEC"/>
    <w:rsid w:val="00B843A7"/>
    <w:rsid w:val="00B97995"/>
    <w:rsid w:val="00BA501C"/>
    <w:rsid w:val="00BB0291"/>
    <w:rsid w:val="00BC2884"/>
    <w:rsid w:val="00BC4EC8"/>
    <w:rsid w:val="00BC6793"/>
    <w:rsid w:val="00BC78AD"/>
    <w:rsid w:val="00BC78E6"/>
    <w:rsid w:val="00BD3128"/>
    <w:rsid w:val="00BD537A"/>
    <w:rsid w:val="00BD7F30"/>
    <w:rsid w:val="00BE1A4B"/>
    <w:rsid w:val="00BE5C21"/>
    <w:rsid w:val="00BE683E"/>
    <w:rsid w:val="00BF05BA"/>
    <w:rsid w:val="00BF0DF1"/>
    <w:rsid w:val="00BF0ECA"/>
    <w:rsid w:val="00BF3E91"/>
    <w:rsid w:val="00C03D11"/>
    <w:rsid w:val="00C042C9"/>
    <w:rsid w:val="00C053D8"/>
    <w:rsid w:val="00C112FF"/>
    <w:rsid w:val="00C1340D"/>
    <w:rsid w:val="00C152B7"/>
    <w:rsid w:val="00C15BD5"/>
    <w:rsid w:val="00C16E90"/>
    <w:rsid w:val="00C21C20"/>
    <w:rsid w:val="00C24EA1"/>
    <w:rsid w:val="00C2720C"/>
    <w:rsid w:val="00C30D90"/>
    <w:rsid w:val="00C35DF7"/>
    <w:rsid w:val="00C36E6D"/>
    <w:rsid w:val="00C404DC"/>
    <w:rsid w:val="00C40678"/>
    <w:rsid w:val="00C40A3E"/>
    <w:rsid w:val="00C43D07"/>
    <w:rsid w:val="00C4469B"/>
    <w:rsid w:val="00C46294"/>
    <w:rsid w:val="00C576C3"/>
    <w:rsid w:val="00C62AAE"/>
    <w:rsid w:val="00C643C3"/>
    <w:rsid w:val="00C70065"/>
    <w:rsid w:val="00C716B8"/>
    <w:rsid w:val="00C72F6C"/>
    <w:rsid w:val="00C76DBE"/>
    <w:rsid w:val="00C80A56"/>
    <w:rsid w:val="00C842E3"/>
    <w:rsid w:val="00C8528E"/>
    <w:rsid w:val="00C876EC"/>
    <w:rsid w:val="00C91C9D"/>
    <w:rsid w:val="00C93785"/>
    <w:rsid w:val="00C94EED"/>
    <w:rsid w:val="00C96206"/>
    <w:rsid w:val="00CA164A"/>
    <w:rsid w:val="00CA3823"/>
    <w:rsid w:val="00CA3EEF"/>
    <w:rsid w:val="00CB1B7E"/>
    <w:rsid w:val="00CB5088"/>
    <w:rsid w:val="00CC17FC"/>
    <w:rsid w:val="00CC379D"/>
    <w:rsid w:val="00CC5E9C"/>
    <w:rsid w:val="00CC7AD2"/>
    <w:rsid w:val="00CD6E22"/>
    <w:rsid w:val="00CD7676"/>
    <w:rsid w:val="00CF5F75"/>
    <w:rsid w:val="00D039FD"/>
    <w:rsid w:val="00D050D1"/>
    <w:rsid w:val="00D06AAE"/>
    <w:rsid w:val="00D12BE4"/>
    <w:rsid w:val="00D17766"/>
    <w:rsid w:val="00D26EE4"/>
    <w:rsid w:val="00D33E4B"/>
    <w:rsid w:val="00D43637"/>
    <w:rsid w:val="00D43CE8"/>
    <w:rsid w:val="00D556F8"/>
    <w:rsid w:val="00D5605A"/>
    <w:rsid w:val="00D60B8B"/>
    <w:rsid w:val="00D71908"/>
    <w:rsid w:val="00D72650"/>
    <w:rsid w:val="00D7304B"/>
    <w:rsid w:val="00D73AC9"/>
    <w:rsid w:val="00D74FD2"/>
    <w:rsid w:val="00D823F3"/>
    <w:rsid w:val="00D85CEA"/>
    <w:rsid w:val="00D90344"/>
    <w:rsid w:val="00D9440B"/>
    <w:rsid w:val="00D97FF8"/>
    <w:rsid w:val="00DA03F3"/>
    <w:rsid w:val="00DA064B"/>
    <w:rsid w:val="00DA554B"/>
    <w:rsid w:val="00DA6E84"/>
    <w:rsid w:val="00DA7B97"/>
    <w:rsid w:val="00DB1D6D"/>
    <w:rsid w:val="00DC0A47"/>
    <w:rsid w:val="00DC0FFC"/>
    <w:rsid w:val="00DC24EF"/>
    <w:rsid w:val="00DC3929"/>
    <w:rsid w:val="00DC412D"/>
    <w:rsid w:val="00DC47B4"/>
    <w:rsid w:val="00DC660F"/>
    <w:rsid w:val="00DD1D32"/>
    <w:rsid w:val="00DD2E68"/>
    <w:rsid w:val="00DD416E"/>
    <w:rsid w:val="00DD50F8"/>
    <w:rsid w:val="00DE13A9"/>
    <w:rsid w:val="00DF2363"/>
    <w:rsid w:val="00DF5032"/>
    <w:rsid w:val="00E0226F"/>
    <w:rsid w:val="00E02A74"/>
    <w:rsid w:val="00E0672D"/>
    <w:rsid w:val="00E06BEB"/>
    <w:rsid w:val="00E06C88"/>
    <w:rsid w:val="00E0755B"/>
    <w:rsid w:val="00E10A48"/>
    <w:rsid w:val="00E12C64"/>
    <w:rsid w:val="00E16C7B"/>
    <w:rsid w:val="00E21F41"/>
    <w:rsid w:val="00E23356"/>
    <w:rsid w:val="00E258A0"/>
    <w:rsid w:val="00E25A7F"/>
    <w:rsid w:val="00E30421"/>
    <w:rsid w:val="00E31307"/>
    <w:rsid w:val="00E365D0"/>
    <w:rsid w:val="00E40243"/>
    <w:rsid w:val="00E43E14"/>
    <w:rsid w:val="00E61E59"/>
    <w:rsid w:val="00E62D11"/>
    <w:rsid w:val="00E632ED"/>
    <w:rsid w:val="00E665A3"/>
    <w:rsid w:val="00E66B32"/>
    <w:rsid w:val="00E7037F"/>
    <w:rsid w:val="00E73264"/>
    <w:rsid w:val="00E8367C"/>
    <w:rsid w:val="00E84B6B"/>
    <w:rsid w:val="00E90EC6"/>
    <w:rsid w:val="00E9117F"/>
    <w:rsid w:val="00E94413"/>
    <w:rsid w:val="00EA2E14"/>
    <w:rsid w:val="00EA32AA"/>
    <w:rsid w:val="00EA67AE"/>
    <w:rsid w:val="00EB0662"/>
    <w:rsid w:val="00EB582B"/>
    <w:rsid w:val="00EC11D0"/>
    <w:rsid w:val="00EC29D3"/>
    <w:rsid w:val="00EC338A"/>
    <w:rsid w:val="00EC3C49"/>
    <w:rsid w:val="00EC48D5"/>
    <w:rsid w:val="00ED6220"/>
    <w:rsid w:val="00EE31CE"/>
    <w:rsid w:val="00EE4813"/>
    <w:rsid w:val="00EE5F50"/>
    <w:rsid w:val="00EE670D"/>
    <w:rsid w:val="00EE6D9D"/>
    <w:rsid w:val="00EE75DE"/>
    <w:rsid w:val="00EF15AC"/>
    <w:rsid w:val="00EF27A5"/>
    <w:rsid w:val="00EF3452"/>
    <w:rsid w:val="00EF4C25"/>
    <w:rsid w:val="00EF4E4C"/>
    <w:rsid w:val="00EF7918"/>
    <w:rsid w:val="00EF7F9D"/>
    <w:rsid w:val="00F00740"/>
    <w:rsid w:val="00F01C96"/>
    <w:rsid w:val="00F05375"/>
    <w:rsid w:val="00F10DB3"/>
    <w:rsid w:val="00F12DC0"/>
    <w:rsid w:val="00F16B42"/>
    <w:rsid w:val="00F2089E"/>
    <w:rsid w:val="00F209F2"/>
    <w:rsid w:val="00F222A8"/>
    <w:rsid w:val="00F2255E"/>
    <w:rsid w:val="00F2369B"/>
    <w:rsid w:val="00F26EEA"/>
    <w:rsid w:val="00F27AD9"/>
    <w:rsid w:val="00F33408"/>
    <w:rsid w:val="00F372B5"/>
    <w:rsid w:val="00F5205F"/>
    <w:rsid w:val="00F55461"/>
    <w:rsid w:val="00F56070"/>
    <w:rsid w:val="00F57424"/>
    <w:rsid w:val="00F601CE"/>
    <w:rsid w:val="00F61EA7"/>
    <w:rsid w:val="00F65CBD"/>
    <w:rsid w:val="00F66C8A"/>
    <w:rsid w:val="00F728B1"/>
    <w:rsid w:val="00F7345D"/>
    <w:rsid w:val="00F7739E"/>
    <w:rsid w:val="00F83741"/>
    <w:rsid w:val="00F84FC0"/>
    <w:rsid w:val="00F905FF"/>
    <w:rsid w:val="00FA3080"/>
    <w:rsid w:val="00FA3341"/>
    <w:rsid w:val="00FA4273"/>
    <w:rsid w:val="00FA6A07"/>
    <w:rsid w:val="00FA70D1"/>
    <w:rsid w:val="00FB1508"/>
    <w:rsid w:val="00FB4FD9"/>
    <w:rsid w:val="00FC2813"/>
    <w:rsid w:val="00FC3CA1"/>
    <w:rsid w:val="00FC565F"/>
    <w:rsid w:val="00FC5724"/>
    <w:rsid w:val="00FC6502"/>
    <w:rsid w:val="00FC6D5F"/>
    <w:rsid w:val="00FC6FB8"/>
    <w:rsid w:val="00FC74C2"/>
    <w:rsid w:val="00FD7847"/>
    <w:rsid w:val="00FE358D"/>
    <w:rsid w:val="013271C5"/>
    <w:rsid w:val="02D13494"/>
    <w:rsid w:val="04A70018"/>
    <w:rsid w:val="0541513C"/>
    <w:rsid w:val="07E96882"/>
    <w:rsid w:val="09323B9F"/>
    <w:rsid w:val="0C0A4E60"/>
    <w:rsid w:val="0C6E6986"/>
    <w:rsid w:val="0CFF2AF9"/>
    <w:rsid w:val="0DF47563"/>
    <w:rsid w:val="0E1F6D75"/>
    <w:rsid w:val="0EDA02AD"/>
    <w:rsid w:val="12960AA5"/>
    <w:rsid w:val="12F82A41"/>
    <w:rsid w:val="166D09FA"/>
    <w:rsid w:val="18093CB8"/>
    <w:rsid w:val="193F2ED7"/>
    <w:rsid w:val="1F4D3F83"/>
    <w:rsid w:val="1FE47F0B"/>
    <w:rsid w:val="21D52B6F"/>
    <w:rsid w:val="23133486"/>
    <w:rsid w:val="236747C5"/>
    <w:rsid w:val="23FD078C"/>
    <w:rsid w:val="25DC69D2"/>
    <w:rsid w:val="275D3566"/>
    <w:rsid w:val="27A1263C"/>
    <w:rsid w:val="28503773"/>
    <w:rsid w:val="29C576F7"/>
    <w:rsid w:val="2C0F3C64"/>
    <w:rsid w:val="3074528A"/>
    <w:rsid w:val="32F7492D"/>
    <w:rsid w:val="334913EE"/>
    <w:rsid w:val="334F70D9"/>
    <w:rsid w:val="33AB7F7F"/>
    <w:rsid w:val="352501A4"/>
    <w:rsid w:val="35BC76F1"/>
    <w:rsid w:val="35C10D63"/>
    <w:rsid w:val="35F27889"/>
    <w:rsid w:val="36EC02D6"/>
    <w:rsid w:val="373E0708"/>
    <w:rsid w:val="37D57FA9"/>
    <w:rsid w:val="3A2A214A"/>
    <w:rsid w:val="3C45201F"/>
    <w:rsid w:val="3D464A3E"/>
    <w:rsid w:val="3F6D0FFB"/>
    <w:rsid w:val="42943E7D"/>
    <w:rsid w:val="434803C3"/>
    <w:rsid w:val="436027A7"/>
    <w:rsid w:val="43846C3A"/>
    <w:rsid w:val="46C136CA"/>
    <w:rsid w:val="48971776"/>
    <w:rsid w:val="496D5165"/>
    <w:rsid w:val="4A9B7899"/>
    <w:rsid w:val="4C2372C5"/>
    <w:rsid w:val="4C891C4A"/>
    <w:rsid w:val="4F26704F"/>
    <w:rsid w:val="5008214C"/>
    <w:rsid w:val="50AA1A6D"/>
    <w:rsid w:val="50FA638D"/>
    <w:rsid w:val="53056E53"/>
    <w:rsid w:val="55591B37"/>
    <w:rsid w:val="559C0EC4"/>
    <w:rsid w:val="55B91A6D"/>
    <w:rsid w:val="57C05A5D"/>
    <w:rsid w:val="58245048"/>
    <w:rsid w:val="58516C70"/>
    <w:rsid w:val="596E7C15"/>
    <w:rsid w:val="5A38617F"/>
    <w:rsid w:val="5AE13C90"/>
    <w:rsid w:val="5B027BE0"/>
    <w:rsid w:val="5CD04B77"/>
    <w:rsid w:val="606E2445"/>
    <w:rsid w:val="629A6ED7"/>
    <w:rsid w:val="62DD24A7"/>
    <w:rsid w:val="63597693"/>
    <w:rsid w:val="64AE4DE2"/>
    <w:rsid w:val="65F75C81"/>
    <w:rsid w:val="694236FA"/>
    <w:rsid w:val="69F748CE"/>
    <w:rsid w:val="6AE47627"/>
    <w:rsid w:val="6B7BCB09"/>
    <w:rsid w:val="6FF1631F"/>
    <w:rsid w:val="70045280"/>
    <w:rsid w:val="72BD5FC6"/>
    <w:rsid w:val="73774D7C"/>
    <w:rsid w:val="754646E4"/>
    <w:rsid w:val="767B556F"/>
    <w:rsid w:val="76EF41B4"/>
    <w:rsid w:val="78EE358C"/>
    <w:rsid w:val="79B40A0B"/>
    <w:rsid w:val="7BF15EE7"/>
    <w:rsid w:val="7C7F7454"/>
    <w:rsid w:val="7C9C67CC"/>
    <w:rsid w:val="7CD84F2D"/>
    <w:rsid w:val="7CD9123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8"/>
    <w:qFormat/>
    <w:uiPriority w:val="99"/>
    <w:pPr>
      <w:tabs>
        <w:tab w:val="center" w:pos="4153"/>
        <w:tab w:val="right" w:pos="8306"/>
      </w:tabs>
      <w:snapToGrid w:val="0"/>
      <w:jc w:val="left"/>
    </w:pPr>
    <w:rPr>
      <w:sz w:val="18"/>
      <w:szCs w:val="18"/>
      <w:lang w:val="zh-CN"/>
    </w:rPr>
  </w:style>
  <w:style w:type="paragraph" w:styleId="5">
    <w:name w:val="annotation subject"/>
    <w:basedOn w:val="6"/>
    <w:next w:val="6"/>
    <w:semiHidden/>
    <w:qFormat/>
    <w:uiPriority w:val="0"/>
    <w:rPr>
      <w:b/>
      <w:bCs/>
    </w:rPr>
  </w:style>
  <w:style w:type="paragraph" w:styleId="6">
    <w:name w:val="annotation text"/>
    <w:basedOn w:val="1"/>
    <w:semiHidden/>
    <w:qFormat/>
    <w:uiPriority w:val="0"/>
    <w:pPr>
      <w:jc w:val="left"/>
    </w:pPr>
  </w:style>
  <w:style w:type="paragraph" w:styleId="7">
    <w:name w:val="Document Map"/>
    <w:basedOn w:val="1"/>
    <w:link w:val="19"/>
    <w:qFormat/>
    <w:uiPriority w:val="0"/>
    <w:rPr>
      <w:rFonts w:ascii="宋体"/>
      <w:sz w:val="18"/>
      <w:szCs w:val="18"/>
    </w:rPr>
  </w:style>
  <w:style w:type="paragraph" w:styleId="8">
    <w:name w:val="Body Text"/>
    <w:basedOn w:val="1"/>
    <w:link w:val="20"/>
    <w:qFormat/>
    <w:uiPriority w:val="0"/>
    <w:pPr>
      <w:spacing w:after="120"/>
    </w:pPr>
  </w:style>
  <w:style w:type="paragraph" w:styleId="9">
    <w:name w:val="Body Text Indent 2"/>
    <w:basedOn w:val="1"/>
    <w:qFormat/>
    <w:uiPriority w:val="0"/>
    <w:pPr>
      <w:spacing w:line="360" w:lineRule="auto"/>
      <w:ind w:firstLine="580" w:firstLineChars="200"/>
    </w:pPr>
    <w:rPr>
      <w:rFonts w:hAnsi="宋体"/>
      <w:spacing w:val="5"/>
      <w:sz w:val="28"/>
      <w:u w:val="single"/>
    </w:rPr>
  </w:style>
  <w:style w:type="paragraph" w:styleId="10">
    <w:name w:val="Balloon Text"/>
    <w:basedOn w:val="1"/>
    <w:semiHidden/>
    <w:qFormat/>
    <w:uiPriority w:val="0"/>
    <w:rPr>
      <w:sz w:val="18"/>
      <w:szCs w:val="18"/>
    </w:rPr>
  </w:style>
  <w:style w:type="paragraph" w:styleId="11">
    <w:name w:val="header"/>
    <w:basedOn w:val="1"/>
    <w:link w:val="17"/>
    <w:qFormat/>
    <w:uiPriority w:val="0"/>
    <w:pPr>
      <w:pBdr>
        <w:bottom w:val="single" w:color="auto" w:sz="6" w:space="1"/>
      </w:pBdr>
      <w:tabs>
        <w:tab w:val="center" w:pos="4153"/>
        <w:tab w:val="right" w:pos="8306"/>
      </w:tabs>
      <w:snapToGrid w:val="0"/>
      <w:jc w:val="center"/>
    </w:pPr>
    <w:rPr>
      <w:sz w:val="18"/>
      <w:szCs w:val="18"/>
      <w:lang w:val="zh-CN"/>
    </w:rPr>
  </w:style>
  <w:style w:type="character" w:styleId="13">
    <w:name w:val="page number"/>
    <w:basedOn w:val="12"/>
    <w:qFormat/>
    <w:uiPriority w:val="0"/>
  </w:style>
  <w:style w:type="character" w:styleId="14">
    <w:name w:val="annotation reference"/>
    <w:semiHidden/>
    <w:qFormat/>
    <w:uiPriority w:val="0"/>
    <w:rPr>
      <w:sz w:val="21"/>
      <w:szCs w:val="21"/>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页眉 字符"/>
    <w:link w:val="11"/>
    <w:qFormat/>
    <w:uiPriority w:val="0"/>
    <w:rPr>
      <w:kern w:val="2"/>
      <w:sz w:val="18"/>
      <w:szCs w:val="18"/>
    </w:rPr>
  </w:style>
  <w:style w:type="character" w:customStyle="1" w:styleId="18">
    <w:name w:val="页脚 字符"/>
    <w:link w:val="2"/>
    <w:qFormat/>
    <w:uiPriority w:val="99"/>
    <w:rPr>
      <w:kern w:val="2"/>
      <w:sz w:val="18"/>
      <w:szCs w:val="18"/>
    </w:rPr>
  </w:style>
  <w:style w:type="character" w:customStyle="1" w:styleId="19">
    <w:name w:val="文档结构图 字符"/>
    <w:link w:val="7"/>
    <w:qFormat/>
    <w:uiPriority w:val="0"/>
    <w:rPr>
      <w:rFonts w:ascii="宋体"/>
      <w:kern w:val="2"/>
      <w:sz w:val="18"/>
      <w:szCs w:val="18"/>
    </w:rPr>
  </w:style>
  <w:style w:type="character" w:customStyle="1" w:styleId="20">
    <w:name w:val="正文文本 字符"/>
    <w:link w:val="8"/>
    <w:qFormat/>
    <w:uiPriority w:val="0"/>
    <w:rPr>
      <w:kern w:val="2"/>
      <w:sz w:val="21"/>
      <w:szCs w:val="24"/>
    </w:rPr>
  </w:style>
  <w:style w:type="paragraph" w:customStyle="1" w:styleId="21">
    <w:name w:val="列表段落1"/>
    <w:qFormat/>
    <w:uiPriority w:val="0"/>
    <w:pPr>
      <w:widowControl w:val="0"/>
      <w:ind w:firstLine="420" w:firstLineChars="200"/>
      <w:jc w:val="both"/>
    </w:pPr>
    <w:rPr>
      <w:rFonts w:ascii="Calibri" w:hAnsi="Calibri" w:eastAsia="宋体" w:cs="Times New Roman"/>
      <w:kern w:val="2"/>
      <w:sz w:val="21"/>
      <w:szCs w:val="22"/>
      <w:lang w:val="en-US" w:eastAsia="zh-CN" w:bidi="ar-SA"/>
    </w:rPr>
  </w:style>
  <w:style w:type="paragraph" w:customStyle="1" w:styleId="22">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8190</Words>
  <Characters>8874</Characters>
  <Lines>68</Lines>
  <Paragraphs>19</Paragraphs>
  <ScaleCrop>false</ScaleCrop>
  <LinksUpToDate>false</LinksUpToDate>
  <CharactersWithSpaces>9146</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2021-05-23T10:12:00Z</dcterms:created>
  <dc:creator>pangyan</dc:creator>
  <cp:lastModifiedBy>admin</cp:lastModifiedBy>
  <cp:lastPrinted>2021-05-22T00:45:00Z</cp:lastPrinted>
  <dcterms:modified xsi:type="dcterms:W3CDTF">2021-09-16T08:38:54Z</dcterms:modified>
  <dc:title>GF-2008-2601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