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-SA"/>
        </w:rPr>
        <w:t>北京市高效设施农业用地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-SA"/>
        </w:rPr>
        <w:t>试点工作方案（2020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bidi="ar-SA"/>
        </w:rPr>
        <w:t>—2025年）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根据自然资源部关于开展高效设施农业用地试点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工作部署，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结合北京市实际，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本方案。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  <w:t>总体思路和基本原则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  <w:t>（一）总体思路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北京作为特大城市，土地资源紧缺，耕地布局十分有限，蔬菜供给还应保持一定的自给率，有必要制定相应的用地保障政策，加大现代高效设施农业支持力度。高效设施农业体现了现代农业发展的先进技术，在严格保护耕地和永久基本农田的前提下，我市开展高效设施农业用地试点工作。通过探索用地试点政策，形成用地空间合理、管理规范有序、产出效益良好的高效设施农业发展格局，推动首都农业高质量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符合规划，用途管制。在符合分区规划、乡镇国土空间规划、美丽乡村建设规划及相关农业发展规划的前提下，合理安排用地空间，保障高效设施农业用地需求。严格执行用途管制，严禁高效设施农业用地擅自改变用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规范有序，结果可控。加强用地试点管理，试点项目经备案后方可实施，严禁擅自扩大用地和建设规模。必须始终坚持严控各类建设包括农业设施建设占用永久基本农田，使破坏的耕地耕作层限定在最小范围。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加强监管，完善机制。高效设施农业用地实行市级备案管理，建立健全用地试点工作机制，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高效设施农业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试点管理办法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。加强试点项目用地事前、事中、事后监管。严守底线，高效设施农业的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各类设施严禁“非农化”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，不得从事其他经营性用途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  <w:lang w:bidi="ar-SA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  <w:t>试点内容和目标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优先选择农业科技创新示范区、现代农业产业园、农业科技小镇、农业产业强镇、传统蔬菜生产优势区等现代农业发展重点区域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高速公路沿线、机场周边等交通物流条件优越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、配套基础设施完善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的区域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按照“一环线三片区”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空间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布局，构建高效设施农业规模化、园区化、集群化的发展格局。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“一环线三片区”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，即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重点围绕六环路周边区域进行布局，形成西北部、东北部和南部三个片区。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西北部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片区</w:t>
      </w:r>
      <w:r>
        <w:rPr>
          <w:rFonts w:hint="eastAsia" w:ascii="仿宋_GB2312" w:hAnsi="仿宋_GB2312" w:eastAsia="仿宋_GB2312" w:cs="仿宋_GB2312"/>
          <w:sz w:val="32"/>
          <w:szCs w:val="32"/>
        </w:rPr>
        <w:t>：海淀区上庄镇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片区</w:t>
      </w:r>
      <w:r>
        <w:rPr>
          <w:rFonts w:hint="eastAsia" w:ascii="仿宋_GB2312" w:hAnsi="仿宋_GB2312" w:eastAsia="仿宋_GB2312" w:cs="仿宋_GB2312"/>
          <w:sz w:val="32"/>
          <w:szCs w:val="32"/>
        </w:rPr>
        <w:t>：平谷区峪口镇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顺义区李桥镇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南部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片区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：通州区于家务镇、大兴区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庞各庄镇、</w:t>
      </w:r>
      <w:r>
        <w:rPr>
          <w:rFonts w:hint="eastAsia" w:ascii="仿宋_GB2312" w:hAnsi="仿宋_GB2312" w:eastAsia="仿宋_GB2312" w:cs="仿宋_GB2312"/>
          <w:sz w:val="32"/>
          <w:szCs w:val="32"/>
        </w:rPr>
        <w:t>房山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良乡镇。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符合本市农业发展规划并经市级备案的高效设施农业项目用地，纳入试点范围。根据用地试点情况，及时总结经验，提炼形成相应的用地保障政策，以节约集约用地、切实保护耕地为目标，促进高效设施农业劳动生产率、土地产出率、资源利用率大幅提升，单位面积产量达到国内领先水平，首都“菜篮子”供应得到有效保障。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2025年，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市高效设施农业用地试点面积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5000亩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  <w:t>三、土地管控政策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  <w:t>（一）严格控制破坏耕地耕作层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高效设施农业包括生产设施和辅助设施，严格管控允许破坏耕地耕作层的设施类型。生产设施和辅助设施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明细、用途及是否允许破坏耕地耕作层详见附表。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  <w:t>（二）允许使用永久基本农田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高效设施农业用地试点，原则上使用园地，尽可能不占或少占纯耕地。由于位置关系难以避让永久基本农田的，允许高效设施农业用地使用永久基本农田，其中：生产设施不允许破坏耕地耕作层；允许会破坏耕地耕作层的设施应是必需的辅助设施。确需使用耕地的，不需落实占补平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高效设施农业用地使用永久基本农田的，必须对使用永久基本农田的必要性、规模合理性由市级组织论证。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  <w:t>（三）限定生产类型和用地规模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高效设施农业使用永久基本农田主要限定为生产蔬菜，不包括生产水果等其他农产品。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全部用地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试点项目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必需的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辅助设施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允许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使用永久基本农田面积不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突破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500亩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，不需进行永久基本农田补划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。单个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试点项目，用地规模在2-5公顷的，辅助设施面积不得超过用地规模的12%；用地规模在5-7公顷的，辅助设施面积不得超过用地规模的10%；用地规模在7公顷以上的，辅助设施面积不得超过用地规模的8%。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  <w:t>（四）严格履行土地复垦义务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项目主体是土地复垦义务的责任主体，应当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签订土地复垦承诺书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，编制土地复垦方案，并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将履行土地复垦义务列入用地协议约定条款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。试点项目不再使用土地时，项目主体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在三个月内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恢复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土地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原用途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对所有破坏耕地耕作层的部分，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恢复为耕地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。土地复垦义务履行情况由市级监管，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复垦完成后须经市级验收合格。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对拒不履行土地复垦义务的，依法依规严肃查处。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  <w:t>（五）开展耕地耕作层土壤剥离利用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ar-SA"/>
        </w:rPr>
        <w:t>对会破坏耕地耕作层的部分，按照“谁占用，谁剥离”的原则，项目主体编制土壤剥离利用实施方案，由区规划自然资源部门牵头，组织区农业农村、生态环境等部门进行会审，并出具审查意见。实施单位应严格按照审查同意的方案组织实施耕作层土壤剥离，且必须在建设项目开工前完成。耕作层土壤剥离未经区规划自然资源部门验收合格的，不得开工建设。对于不开展耕作层土壤剥离的，由区规划自然资源部门出具审查论证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  <w:lang w:bidi="ar-SA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  <w:t>工作</w:t>
      </w:r>
      <w:r>
        <w:rPr>
          <w:rFonts w:hint="eastAsia" w:ascii="黑体" w:hAnsi="黑体" w:eastAsia="黑体" w:cs="黑体"/>
          <w:sz w:val="32"/>
          <w:szCs w:val="32"/>
          <w:highlight w:val="none"/>
          <w:lang w:bidi="ar-SA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  <w:t>（一）动员部署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2021年3月底前，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由市规划自然资源委和市农业农村局进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行动员部署和培训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，明确高效设施农业用地试点政策措施和管理要求。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  <w:t>（二）组织实施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自2021年起，每年4月底前，由市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规划自然资源委和市农业农村局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制定年度实施方案，明确年度工作任务和目标。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按照以点带面、稳步实施的原则，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分阶段、分年度组织实施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示范阶段：2020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—2021年，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启动高效设施农业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用地试点工作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。全市高效设施农业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总规模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1000亩。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推广阶段：2022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—2023年，全市高效设施农业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总规模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2500亩。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发展阶段：2024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—2025年，全市高效设施农业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用地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总规模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5000亩。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  <w:t>（三）试点总结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2021年起，每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底前，区规划自然资源、农业农村部门及时总结用地试点项目进展情况及成效，并报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市规划自然资源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部门。试点结束后，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市规划自然资源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部门提炼用地试点取得的成效，提出优化用地保障措施的政策建议。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  <w:lang w:bidi="ar-SA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 w:bidi="ar-SA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建立高效设施农业用地试点工作市级协调机制，办公室设在市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规划自然资源委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，定期召开试点工作会议，制定用地试点管理制度，及时通报试点进展情况，会商和解决相关问题。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  <w:t>（二）强化全程监管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在项目选址和建设阶段，规范用地审查工作流程，项目主体须拟定建设方案，由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协调机制对建设方案进行审查，重点核查用地情况。符合规定的，由市级协调机制予以备案。建设完工后，由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协调机制现场查验，组织联合验收。在日常监管过程中，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协调机制建立每年定期现场核查工作机制，加强对土地利用和设施用途检查，落实监管责任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项目不再使用土地时，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协调机制对土地复垦义务履行情况进行验收。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  <w:t>（三）加强信息管理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市级建立高效设施农业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用地试点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信息平台，对每一个地块，每一栋设施基本信息上图入库，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纳入统一管理，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实现全市高效设施农业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试点项目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基础信息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、运营信息、产出效益信息等的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动态管理。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zh-CN" w:eastAsia="zh-CN" w:bidi="ar-SA"/>
        </w:rPr>
        <w:t>（四）接受社会监督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高效设施农业用地的各类设施应设立标示牌，标明设施类型、用途、平面图、面积、责任人等信息，便于接受社会监督和检查。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-SA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-SA"/>
        </w:rPr>
        <w:t>：北京市高效设施农业各类设施一览表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br w:type="page"/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  <w:t>北京市高效设施农业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  <w:t>用地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  <w:t>各类设施一览表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6"/>
          <w:szCs w:val="36"/>
          <w:highlight w:val="none"/>
          <w:lang w:bidi="ar-SA"/>
        </w:rPr>
      </w:pPr>
    </w:p>
    <w:tbl>
      <w:tblPr>
        <w:tblStyle w:val="6"/>
        <w:tblW w:w="8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00"/>
        <w:gridCol w:w="1814"/>
        <w:gridCol w:w="390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  <w:t>类型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  <w:t>用途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  <w:t>明细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  <w:t>是否允许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黑体"/>
                <w:b/>
                <w:bCs/>
                <w:sz w:val="24"/>
                <w:szCs w:val="24"/>
                <w:highlight w:val="none"/>
                <w:lang w:bidi="ar-SA"/>
              </w:rPr>
              <w:t>破坏耕作层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设施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eastAsia="zh-CN" w:bidi="ar-SA"/>
              </w:rPr>
              <w:t>蔬菜生产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主体结构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2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栽培系统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3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灌溉施肥系统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4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加热系统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5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通风降温系统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6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补光系统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7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保温系统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8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二氧化碳补充系统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9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自动调控系统</w:t>
            </w:r>
          </w:p>
        </w:tc>
        <w:tc>
          <w:tcPr>
            <w:tcW w:w="13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10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辅助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水肥首部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施肥机及配套设备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11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消毒机及配套设备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12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水净化处理设备与储水设备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13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环控首部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锅炉及配套设备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14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热水储存罐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15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冷热交换机组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16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监控及控制室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17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Merge w:val="continue"/>
            <w:vAlign w:val="center"/>
          </w:tcPr>
          <w:p/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二氧化碳回收利用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18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生产道路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温室生产通道（宽度小于5米）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19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病虫害隔离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设施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隔离室、缓冲室、风淋室等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20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环保节能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设施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固体废弃物处理车间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、废液处理设备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21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分拣包装与保鲜存储设施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分拣及包装线、冷库、储藏室、农资及农机具存放场地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22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管理看护房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看护房及其他必要管理用房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23</w:t>
            </w:r>
          </w:p>
        </w:tc>
        <w:tc>
          <w:tcPr>
            <w:tcW w:w="1100" w:type="dxa"/>
            <w:vMerge w:val="continue"/>
            <w:vAlign w:val="center"/>
          </w:tcPr>
          <w:p/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播种及催芽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播种线、催芽室、组培室等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  <w:highlight w:val="none"/>
                <w:lang w:bidi="ar-SA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20" w:leftChars="38" w:hanging="840" w:hangingChars="300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黑体" w:eastAsia="黑体" w:cs="黑体"/>
          <w:sz w:val="28"/>
          <w:szCs w:val="28"/>
          <w:highlight w:val="none"/>
          <w:lang w:bidi="ar-SA"/>
        </w:rPr>
        <w:t>注：</w:t>
      </w:r>
      <w:r>
        <w:rPr>
          <w:rFonts w:hint="eastAsia" w:ascii="仿宋_GB2312" w:eastAsia="仿宋_GB2312"/>
          <w:sz w:val="28"/>
          <w:szCs w:val="28"/>
          <w:highlight w:val="none"/>
        </w:rPr>
        <w:t>1.以上辅助设施根据生产实际需要，应是必需兴建的设施。单个项目辅助设施不得超过本方案确定的限定比例。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20" w:leftChars="38" w:hanging="840" w:hangingChars="300"/>
        <w:textAlignment w:val="auto"/>
        <w:outlineLvl w:val="9"/>
        <w:rPr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 xml:space="preserve">    2.以上各类设施禁止用于其他非农建设，不得从事其他经营性用途，不得开展对外餐饮、农家乐等活动。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t>3</w: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o&#10;v3vRAAAAAwEAAA8AAAAAAAAAAQAgAAAAIgAAAGRycy9kb3ducmV2LnhtbFBLAQIUABQAAAAIAIdO&#10;4kAgwD+SuAEAAFIDAAAOAAAAAAAAAAEAIAAAACA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t>3</w: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" cy="139700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2pt;mso-position-horizontal:outside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iM&#10;bKDPAAAAAgEAAA8AAAAAAAAAAQAgAAAAIgAAAGRycy9kb3ducmV2LnhtbFBLAQIUABQAAAAIAIdO&#10;4kAX7ml+ugEAAFE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  <w:lang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KL970QAAAAMBAAAPAAAAAAAAAAEAIAAAACIAAABkcnMvZG93bnJldi54bWxQSwECFAAUAAAACACH&#10;TuJApodmDLkBAABSAwAADgAAAAAAAAABACAAAAAg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t xml:space="preserve">— </w: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  <w:lang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2491B"/>
    <w:rsid w:val="04785CCD"/>
    <w:rsid w:val="0651235D"/>
    <w:rsid w:val="07D517E3"/>
    <w:rsid w:val="0902491B"/>
    <w:rsid w:val="103428F7"/>
    <w:rsid w:val="1AB63B4E"/>
    <w:rsid w:val="1C295D51"/>
    <w:rsid w:val="2EF60C1D"/>
    <w:rsid w:val="383B088B"/>
    <w:rsid w:val="3CE22575"/>
    <w:rsid w:val="3E6F1426"/>
    <w:rsid w:val="451E5AFE"/>
    <w:rsid w:val="4778350A"/>
    <w:rsid w:val="4BC33D58"/>
    <w:rsid w:val="5F4E165D"/>
    <w:rsid w:val="69D94A63"/>
    <w:rsid w:val="6E703BA4"/>
    <w:rsid w:val="70E00811"/>
    <w:rsid w:val="73A201D1"/>
    <w:rsid w:val="73A80284"/>
    <w:rsid w:val="75D20E43"/>
    <w:rsid w:val="7891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uiPriority w:val="0"/>
    <w:pPr>
      <w:ind w:firstLine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2021-03-16T07:10:00Z</dcterms:created>
  <dc:creator>齐静</dc:creator>
  <cp:lastModifiedBy>齐静</cp:lastModifiedBy>
  <dcterms:modified xsi:type="dcterms:W3CDTF">2021-03-16T07:16:03Z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