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60" w:lineRule="exact"/>
        <w:rPr>
          <w:sz w:val="36"/>
          <w:szCs w:val="36"/>
        </w:rPr>
      </w:pPr>
      <w:bookmarkStart w:id="0" w:name="_Toc30783"/>
      <w:bookmarkStart w:id="1" w:name="_Toc209670579"/>
      <w:bookmarkStart w:id="2" w:name="_Toc204491765"/>
      <w:r>
        <w:rPr>
          <w:rFonts w:hint="eastAsia"/>
          <w:sz w:val="36"/>
          <w:szCs w:val="36"/>
        </w:rPr>
        <w:t>大兴新城东南片区0605-015E地块工业用地土地</w:t>
      </w:r>
      <w:bookmarkEnd w:id="0"/>
    </w:p>
    <w:p>
      <w:pPr>
        <w:pStyle w:val="2"/>
        <w:spacing w:line="560" w:lineRule="exact"/>
        <w:rPr>
          <w:sz w:val="36"/>
          <w:szCs w:val="36"/>
        </w:rPr>
      </w:pPr>
      <w:bookmarkStart w:id="3" w:name="_Toc21661"/>
      <w:r>
        <w:rPr>
          <w:rFonts w:hint="eastAsia"/>
          <w:sz w:val="36"/>
          <w:szCs w:val="36"/>
        </w:rPr>
        <w:t>开发建设补偿协议</w:t>
      </w:r>
      <w:bookmarkEnd w:id="1"/>
      <w:bookmarkEnd w:id="2"/>
      <w:bookmarkEnd w:id="3"/>
    </w:p>
    <w:p>
      <w:pPr>
        <w:pStyle w:val="2"/>
        <w:spacing w:line="560" w:lineRule="exact"/>
        <w:rPr>
          <w:sz w:val="36"/>
          <w:szCs w:val="36"/>
        </w:rPr>
      </w:pPr>
      <w:bookmarkStart w:id="4" w:name="_Toc21332"/>
      <w:r>
        <w:rPr>
          <w:rFonts w:hint="eastAsia"/>
          <w:sz w:val="36"/>
          <w:szCs w:val="36"/>
        </w:rPr>
        <w:t>（样本）</w:t>
      </w:r>
      <w:bookmarkEnd w:id="4"/>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48"/>
          <w:szCs w:val="22"/>
        </w:rPr>
      </w:pPr>
    </w:p>
    <w:p>
      <w:pPr>
        <w:rPr>
          <w:rFonts w:eastAsia="文鼎特圆体简"/>
          <w:sz w:val="52"/>
        </w:rPr>
      </w:pPr>
    </w:p>
    <w:p>
      <w:pPr>
        <w:rPr>
          <w:rFonts w:ascii="仿宋_GB2312" w:eastAsia="仿宋_GB2312"/>
          <w:sz w:val="52"/>
        </w:rPr>
      </w:pPr>
    </w:p>
    <w:p>
      <w:pPr>
        <w:jc w:val="center"/>
        <w:rPr>
          <w:rFonts w:ascii="仿宋_GB2312" w:eastAsia="仿宋_GB2312"/>
          <w:sz w:val="52"/>
        </w:rPr>
      </w:pPr>
      <w:r>
        <w:rPr>
          <w:rFonts w:hint="eastAsia" w:ascii="仿宋_GB2312" w:eastAsia="仿宋_GB2312"/>
          <w:sz w:val="32"/>
        </w:rPr>
        <w:t>签约时间：   年</w:t>
      </w:r>
      <w:r>
        <w:rPr>
          <w:rFonts w:ascii="仿宋_GB2312" w:eastAsia="仿宋_GB2312"/>
          <w:sz w:val="32"/>
        </w:rPr>
        <w:t xml:space="preserve">   </w:t>
      </w:r>
      <w:r>
        <w:rPr>
          <w:rFonts w:hint="eastAsia" w:ascii="仿宋_GB2312" w:eastAsia="仿宋_GB2312"/>
          <w:sz w:val="32"/>
        </w:rPr>
        <w:t>月</w:t>
      </w:r>
      <w:r>
        <w:rPr>
          <w:rFonts w:ascii="仿宋_GB2312" w:eastAsia="仿宋_GB2312"/>
          <w:sz w:val="32"/>
        </w:rPr>
        <w:t xml:space="preserve">   </w:t>
      </w:r>
      <w:r>
        <w:rPr>
          <w:rFonts w:hint="eastAsia" w:ascii="仿宋_GB2312" w:eastAsia="仿宋_GB2312"/>
          <w:sz w:val="32"/>
        </w:rPr>
        <w:t>日</w:t>
      </w:r>
    </w:p>
    <w:p>
      <w:pPr>
        <w:pStyle w:val="3"/>
        <w:numPr>
          <w:ilvl w:val="1"/>
          <w:numId w:val="1"/>
        </w:numPr>
        <w:tabs>
          <w:tab w:val="left" w:pos="1622"/>
        </w:tabs>
        <w:spacing w:line="600" w:lineRule="exact"/>
        <w:ind w:left="1622"/>
        <w:rPr>
          <w:szCs w:val="28"/>
        </w:rPr>
      </w:pPr>
      <w:r>
        <w:br w:type="page"/>
      </w:r>
      <w:bookmarkStart w:id="5" w:name="_Toc7466"/>
      <w:bookmarkStart w:id="6" w:name="_Toc118362646"/>
      <w:bookmarkStart w:id="7" w:name="_Toc200281936"/>
      <w:bookmarkStart w:id="8" w:name="_Toc181351302"/>
      <w:bookmarkStart w:id="9" w:name="_Toc182885765"/>
      <w:bookmarkStart w:id="10" w:name="_Toc182108063"/>
      <w:bookmarkStart w:id="11" w:name="_Toc187564699"/>
      <w:r>
        <w:rPr>
          <w:rFonts w:hint="eastAsia"/>
          <w:szCs w:val="28"/>
        </w:rPr>
        <w:t>总</w:t>
      </w:r>
      <w:r>
        <w:rPr>
          <w:szCs w:val="28"/>
        </w:rPr>
        <w:t xml:space="preserve">  </w:t>
      </w:r>
      <w:r>
        <w:rPr>
          <w:rFonts w:hint="eastAsia"/>
          <w:szCs w:val="28"/>
        </w:rPr>
        <w:t>则</w:t>
      </w:r>
      <w:bookmarkEnd w:id="5"/>
      <w:bookmarkEnd w:id="6"/>
      <w:bookmarkEnd w:id="7"/>
      <w:bookmarkEnd w:id="8"/>
      <w:bookmarkEnd w:id="9"/>
      <w:bookmarkEnd w:id="10"/>
      <w:bookmarkEnd w:id="11"/>
    </w:p>
    <w:p>
      <w:pPr>
        <w:spacing w:line="600" w:lineRule="exact"/>
        <w:ind w:firstLine="560" w:firstLineChars="200"/>
        <w:rPr>
          <w:rFonts w:ascii="仿宋_GB2312" w:hAnsi="宋体" w:eastAsia="仿宋_GB2312"/>
          <w:bCs/>
          <w:sz w:val="28"/>
        </w:rPr>
      </w:pPr>
      <w:r>
        <w:rPr>
          <w:rFonts w:hint="eastAsia" w:ascii="仿宋_GB2312" w:hAnsi="宋体" w:eastAsia="仿宋_GB2312"/>
          <w:bCs/>
          <w:sz w:val="28"/>
        </w:rPr>
        <w:t>北京兴业万顺置业有限公司</w:t>
      </w:r>
      <w:r>
        <w:rPr>
          <w:rFonts w:ascii="仿宋_GB2312" w:hAnsi="宋体" w:eastAsia="仿宋_GB2312"/>
          <w:bCs/>
          <w:sz w:val="28"/>
        </w:rPr>
        <w:t>(</w:t>
      </w:r>
      <w:r>
        <w:rPr>
          <w:rFonts w:hint="eastAsia" w:ascii="仿宋_GB2312" w:hAnsi="宋体" w:eastAsia="仿宋_GB2312"/>
          <w:bCs/>
          <w:sz w:val="28"/>
        </w:rPr>
        <w:t>以下简称“甲方”</w:t>
      </w:r>
      <w:r>
        <w:rPr>
          <w:rFonts w:ascii="仿宋_GB2312" w:hAnsi="宋体" w:eastAsia="仿宋_GB2312"/>
          <w:bCs/>
          <w:sz w:val="28"/>
        </w:rPr>
        <w:t>)</w:t>
      </w:r>
      <w:r>
        <w:rPr>
          <w:rFonts w:hint="eastAsia" w:ascii="仿宋_GB2312" w:hAnsi="宋体" w:eastAsia="仿宋_GB2312"/>
          <w:bCs/>
          <w:sz w:val="28"/>
        </w:rPr>
        <w:t>为</w:t>
      </w:r>
      <w:r>
        <w:rPr>
          <w:rFonts w:hint="eastAsia" w:ascii="仿宋_GB2312" w:eastAsia="仿宋_GB2312"/>
          <w:sz w:val="28"/>
        </w:rPr>
        <w:t>大兴新城东南片区0605-015E地块工业用地用地</w:t>
      </w:r>
      <w:r>
        <w:rPr>
          <w:rFonts w:hint="eastAsia" w:ascii="仿宋_GB2312" w:hAnsi="宋体" w:eastAsia="仿宋_GB2312"/>
          <w:bCs/>
          <w:sz w:val="28"/>
        </w:rPr>
        <w:t>(以下简称“宗地”)的土地入市交易申请方，该宗地由北京市规划和自然资源委员会大兴分局进行国有建设用地使用权的公开挂牌出让，北京市土地整理储备中心大兴区分中心（以下简称“分中心”）负责具体组织和实施工作。</w:t>
      </w:r>
    </w:p>
    <w:p>
      <w:pPr>
        <w:spacing w:line="600" w:lineRule="exact"/>
        <w:ind w:firstLine="560" w:firstLineChars="200"/>
        <w:rPr>
          <w:rFonts w:ascii="仿宋_GB2312" w:hAnsi="宋体" w:eastAsia="仿宋_GB2312"/>
          <w:spacing w:val="5"/>
          <w:sz w:val="28"/>
        </w:rPr>
      </w:pPr>
      <w:r>
        <w:rPr>
          <w:rFonts w:hint="eastAsia" w:ascii="仿宋_GB2312" w:eastAsia="仿宋_GB2312"/>
          <w:sz w:val="28"/>
        </w:rPr>
        <w:t>根据《中华人民共和国合同法》及其他有关法律、法规规定，</w:t>
      </w:r>
      <w:r>
        <w:rPr>
          <w:rFonts w:hint="eastAsia" w:ascii="仿宋_GB2312" w:hAnsi="宋体" w:eastAsia="仿宋_GB2312"/>
          <w:spacing w:val="5"/>
          <w:sz w:val="28"/>
        </w:rPr>
        <w:t>甲方</w:t>
      </w:r>
      <w:r>
        <w:rPr>
          <w:rFonts w:hint="eastAsia" w:ascii="仿宋_GB2312" w:hAnsi="宋体" w:eastAsia="仿宋_GB2312"/>
          <w:bCs/>
          <w:sz w:val="28"/>
        </w:rPr>
        <w:t>作为该宗地的土地入市交易申请方，就该宗地前期开发建设补偿的有关事宜，本着平等自愿、诚实信用、互惠互利的原则，经友好协商，与竞得人（乙方）达成本协议。</w:t>
      </w:r>
    </w:p>
    <w:p>
      <w:pPr>
        <w:pStyle w:val="3"/>
        <w:numPr>
          <w:ilvl w:val="1"/>
          <w:numId w:val="1"/>
        </w:numPr>
        <w:tabs>
          <w:tab w:val="left" w:pos="1622"/>
        </w:tabs>
        <w:spacing w:line="600" w:lineRule="exact"/>
        <w:ind w:left="1622"/>
        <w:rPr>
          <w:szCs w:val="28"/>
        </w:rPr>
      </w:pPr>
      <w:bookmarkStart w:id="12" w:name="_Toc181351303"/>
      <w:bookmarkStart w:id="13" w:name="_Toc10598"/>
      <w:bookmarkStart w:id="14" w:name="_Toc200281937"/>
      <w:bookmarkStart w:id="15" w:name="_Toc182108064"/>
      <w:bookmarkStart w:id="16" w:name="_Toc187564700"/>
      <w:bookmarkStart w:id="17" w:name="_Toc182885766"/>
      <w:bookmarkStart w:id="18" w:name="_Toc118362647"/>
      <w:r>
        <w:rPr>
          <w:rFonts w:hint="eastAsia"/>
          <w:szCs w:val="28"/>
        </w:rPr>
        <w:t>协议双方</w:t>
      </w:r>
      <w:bookmarkEnd w:id="12"/>
      <w:bookmarkEnd w:id="13"/>
      <w:bookmarkEnd w:id="14"/>
      <w:bookmarkEnd w:id="15"/>
      <w:bookmarkEnd w:id="16"/>
      <w:bookmarkEnd w:id="17"/>
      <w:bookmarkEnd w:id="18"/>
    </w:p>
    <w:p>
      <w:pPr>
        <w:tabs>
          <w:tab w:val="center" w:pos="4446"/>
        </w:tabs>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甲 方：</w:t>
      </w:r>
      <w:r>
        <w:rPr>
          <w:rFonts w:hint="eastAsia" w:ascii="仿宋_GB2312" w:hAnsi="宋体" w:eastAsia="仿宋_GB2312"/>
          <w:spacing w:val="5"/>
          <w:sz w:val="28"/>
        </w:rPr>
        <w:t xml:space="preserve"> </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通讯地址：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邮政编码：</w:t>
      </w:r>
    </w:p>
    <w:p>
      <w:pPr>
        <w:spacing w:line="600" w:lineRule="exact"/>
        <w:ind w:firstLine="580" w:firstLineChars="200"/>
        <w:rPr>
          <w:rFonts w:ascii="仿宋_GB2312" w:hAnsi="宋体" w:eastAsia="仿宋_GB2312"/>
          <w:spacing w:val="5"/>
          <w:sz w:val="28"/>
        </w:rPr>
      </w:pPr>
      <w:r>
        <w:rPr>
          <w:rFonts w:hint="eastAsia" w:ascii="仿宋_GB2312" w:hAnsi="宋体" w:eastAsia="仿宋_GB2312"/>
          <w:spacing w:val="5"/>
          <w:sz w:val="28"/>
        </w:rPr>
        <w:t>电话：</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法定代表人：</w:t>
      </w:r>
      <w:r>
        <w:rPr>
          <w:rFonts w:hint="eastAsia" w:ascii="仿宋_GB2312" w:hAnsi="宋体" w:eastAsia="仿宋_GB2312"/>
          <w:spacing w:val="5"/>
          <w:sz w:val="28"/>
        </w:rPr>
        <w:t xml:space="preserve"> </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职 务：</w:t>
      </w:r>
    </w:p>
    <w:p>
      <w:pPr>
        <w:spacing w:line="600" w:lineRule="exact"/>
        <w:ind w:firstLine="580" w:firstLineChars="200"/>
        <w:rPr>
          <w:rFonts w:ascii="仿宋_GB2312" w:hAnsi="宋体" w:eastAsia="仿宋_GB2312"/>
          <w:spacing w:val="5"/>
          <w:sz w:val="28"/>
        </w:rPr>
      </w:pPr>
    </w:p>
    <w:p>
      <w:pPr>
        <w:spacing w:line="600" w:lineRule="exact"/>
        <w:ind w:firstLine="580" w:firstLineChars="200"/>
        <w:rPr>
          <w:rFonts w:ascii="仿宋_GB2312" w:hAnsi="宋体" w:eastAsia="仿宋_GB2312"/>
          <w:spacing w:val="5"/>
          <w:sz w:val="28"/>
        </w:rPr>
      </w:pPr>
    </w:p>
    <w:p>
      <w:pPr>
        <w:spacing w:line="600" w:lineRule="exact"/>
        <w:ind w:firstLine="580" w:firstLineChars="200"/>
        <w:rPr>
          <w:rFonts w:ascii="仿宋_GB2312" w:hAnsi="宋体" w:eastAsia="仿宋_GB2312"/>
          <w:spacing w:val="5"/>
          <w:sz w:val="28"/>
        </w:rPr>
      </w:pP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乙 方：</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通讯地址：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邮政编码：</w:t>
      </w:r>
    </w:p>
    <w:p>
      <w:pPr>
        <w:spacing w:line="600" w:lineRule="exact"/>
        <w:ind w:firstLine="580" w:firstLineChars="200"/>
        <w:rPr>
          <w:rFonts w:ascii="仿宋_GB2312" w:hAnsi="宋体" w:eastAsia="仿宋_GB2312"/>
          <w:spacing w:val="5"/>
          <w:sz w:val="28"/>
        </w:rPr>
      </w:pPr>
      <w:r>
        <w:rPr>
          <w:rFonts w:hint="eastAsia" w:ascii="仿宋_GB2312" w:hAnsi="宋体" w:eastAsia="仿宋_GB2312"/>
          <w:spacing w:val="5"/>
          <w:sz w:val="28"/>
        </w:rPr>
        <w:t>电话：</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法定代表人：</w:t>
      </w:r>
    </w:p>
    <w:p>
      <w:pPr>
        <w:spacing w:line="600" w:lineRule="exact"/>
        <w:ind w:firstLine="580" w:firstLineChars="200"/>
        <w:rPr>
          <w:rFonts w:hAnsi="宋体"/>
        </w:rPr>
      </w:pPr>
      <w:r>
        <w:rPr>
          <w:rFonts w:ascii="仿宋_GB2312" w:hAnsi="宋体" w:eastAsia="仿宋_GB2312"/>
          <w:spacing w:val="5"/>
          <w:sz w:val="28"/>
        </w:rPr>
        <w:t>职 务：</w:t>
      </w:r>
    </w:p>
    <w:p>
      <w:pPr>
        <w:spacing w:line="600" w:lineRule="exact"/>
        <w:ind w:firstLine="420" w:firstLineChars="200"/>
      </w:pPr>
    </w:p>
    <w:p>
      <w:pPr>
        <w:pStyle w:val="3"/>
        <w:numPr>
          <w:ilvl w:val="1"/>
          <w:numId w:val="1"/>
        </w:numPr>
        <w:tabs>
          <w:tab w:val="left" w:pos="1622"/>
        </w:tabs>
        <w:spacing w:line="600" w:lineRule="exact"/>
        <w:ind w:left="1622"/>
        <w:rPr>
          <w:szCs w:val="28"/>
        </w:rPr>
      </w:pPr>
      <w:bookmarkStart w:id="19" w:name="_Toc200281938"/>
      <w:bookmarkStart w:id="20" w:name="_Toc182108065"/>
      <w:bookmarkStart w:id="21" w:name="_Toc21606"/>
      <w:bookmarkStart w:id="22" w:name="_Toc187564701"/>
      <w:bookmarkStart w:id="23" w:name="_Toc182885767"/>
      <w:r>
        <w:rPr>
          <w:rFonts w:hint="eastAsia"/>
          <w:szCs w:val="28"/>
        </w:rPr>
        <w:t>宗地基本情况</w:t>
      </w:r>
      <w:bookmarkEnd w:id="19"/>
      <w:bookmarkEnd w:id="20"/>
      <w:bookmarkEnd w:id="21"/>
      <w:bookmarkEnd w:id="22"/>
      <w:bookmarkEnd w:id="23"/>
    </w:p>
    <w:p>
      <w:pPr>
        <w:spacing w:line="600" w:lineRule="exact"/>
        <w:ind w:firstLine="560" w:firstLineChars="200"/>
        <w:rPr>
          <w:rFonts w:ascii="仿宋_GB2312" w:eastAsia="仿宋_GB2312"/>
          <w:sz w:val="28"/>
        </w:rPr>
      </w:pPr>
      <w:r>
        <w:rPr>
          <w:rFonts w:hint="eastAsia" w:ascii="仿宋_GB2312" w:eastAsia="仿宋_GB2312"/>
          <w:sz w:val="28"/>
        </w:rPr>
        <w:t>一、宗地位置</w:t>
      </w:r>
    </w:p>
    <w:p>
      <w:pPr>
        <w:spacing w:line="560" w:lineRule="exact"/>
        <w:ind w:firstLine="560" w:firstLineChars="200"/>
        <w:rPr>
          <w:rFonts w:ascii="仿宋_GB2312" w:hAnsi="宋体" w:eastAsia="仿宋_GB2312"/>
          <w:color w:val="auto"/>
          <w:sz w:val="28"/>
          <w:highlight w:val="none"/>
        </w:rPr>
      </w:pPr>
      <w:r>
        <w:rPr>
          <w:rFonts w:hint="eastAsia" w:ascii="仿宋_GB2312" w:hAnsi="宋体" w:eastAsia="仿宋_GB2312"/>
          <w:sz w:val="28"/>
        </w:rPr>
        <w:t>出让宗地的位置、范围：本次挂牌交易宗地位于</w:t>
      </w:r>
      <w:bookmarkStart w:id="24" w:name="_Hlk62030761"/>
      <w:r>
        <w:rPr>
          <w:rFonts w:hint="eastAsia" w:ascii="仿宋_GB2312" w:eastAsia="仿宋_GB2312"/>
          <w:color w:val="000000"/>
          <w:sz w:val="28"/>
          <w:szCs w:val="28"/>
        </w:rPr>
        <w:t>大兴新城东南片区</w:t>
      </w:r>
      <w:bookmarkEnd w:id="24"/>
      <w:r>
        <w:rPr>
          <w:rFonts w:hint="eastAsia" w:ascii="仿宋_GB2312" w:hAnsi="宋体" w:eastAsia="仿宋_GB2312"/>
          <w:sz w:val="28"/>
          <w:szCs w:val="28"/>
        </w:rPr>
        <w:t>。</w:t>
      </w:r>
      <w:r>
        <w:rPr>
          <w:rFonts w:hint="eastAsia" w:ascii="仿宋_GB2312" w:hAnsi="宋体" w:eastAsia="仿宋_GB2312"/>
          <w:sz w:val="28"/>
        </w:rPr>
        <w:t>具体四至范围</w:t>
      </w:r>
      <w:r>
        <w:rPr>
          <w:rFonts w:hint="eastAsia" w:ascii="仿宋_GB2312" w:hAnsi="宋体" w:eastAsia="仿宋_GB2312"/>
          <w:color w:val="auto"/>
          <w:sz w:val="28"/>
          <w:highlight w:val="none"/>
        </w:rPr>
        <w:t>是：</w:t>
      </w:r>
      <w:r>
        <w:rPr>
          <w:rFonts w:hint="eastAsia" w:eastAsia="仿宋_GB2312"/>
          <w:color w:val="auto"/>
          <w:sz w:val="28"/>
          <w:highlight w:val="none"/>
        </w:rPr>
        <w:t>东至丰达街，南至大兴新城东南片区0605-015C地块，西至大兴新城东南片区0605-015A地块，北至大兴新城东南片区0605-015D地块。</w:t>
      </w:r>
    </w:p>
    <w:p>
      <w:pPr>
        <w:pStyle w:val="4"/>
        <w:spacing w:line="600" w:lineRule="exact"/>
        <w:ind w:firstLine="560" w:firstLineChars="200"/>
        <w:jc w:val="both"/>
        <w:rPr>
          <w:rFonts w:ascii="仿宋_GB2312" w:hAnsi="宋体" w:eastAsia="仿宋_GB2312"/>
          <w:color w:val="auto"/>
          <w:sz w:val="28"/>
        </w:rPr>
      </w:pPr>
      <w:r>
        <w:rPr>
          <w:rFonts w:hint="eastAsia" w:ascii="仿宋_GB2312" w:hAnsi="宋体" w:eastAsia="仿宋_GB2312"/>
          <w:sz w:val="28"/>
        </w:rPr>
        <w:t>二、宗地</w:t>
      </w:r>
      <w:r>
        <w:rPr>
          <w:rFonts w:hint="eastAsia" w:ascii="仿宋_GB2312" w:hAnsi="宋体" w:eastAsia="仿宋_GB2312"/>
          <w:color w:val="auto"/>
          <w:sz w:val="28"/>
        </w:rPr>
        <w:t>规划用地条件：</w:t>
      </w:r>
    </w:p>
    <w:p>
      <w:pPr>
        <w:pStyle w:val="4"/>
        <w:spacing w:line="600" w:lineRule="exact"/>
        <w:ind w:firstLine="640" w:firstLineChars="200"/>
        <w:jc w:val="both"/>
        <w:rPr>
          <w:rFonts w:ascii="仿宋_GB2312" w:eastAsia="仿宋_GB2312"/>
          <w:color w:val="auto"/>
          <w:spacing w:val="20"/>
          <w:kern w:val="15"/>
          <w:sz w:val="28"/>
        </w:rPr>
      </w:pPr>
      <w:r>
        <w:rPr>
          <w:rFonts w:hint="eastAsia" w:ascii="仿宋_GB2312" w:eastAsia="仿宋_GB2312"/>
          <w:color w:val="auto"/>
          <w:spacing w:val="20"/>
          <w:kern w:val="15"/>
          <w:sz w:val="28"/>
        </w:rPr>
        <w:t>土地总面积</w:t>
      </w:r>
      <w:r>
        <w:rPr>
          <w:rFonts w:hint="eastAsia" w:ascii="仿宋_GB2312" w:eastAsia="仿宋_GB2312"/>
          <w:color w:val="auto"/>
          <w:spacing w:val="-4"/>
          <w:sz w:val="28"/>
          <w:szCs w:val="28"/>
        </w:rPr>
        <w:t>19333.343</w:t>
      </w:r>
      <w:r>
        <w:rPr>
          <w:rFonts w:hint="eastAsia" w:ascii="仿宋_GB2312" w:hAnsi="宋体" w:eastAsia="仿宋_GB2312"/>
          <w:color w:val="auto"/>
          <w:sz w:val="28"/>
        </w:rPr>
        <w:t>平方米，建设用地面积</w:t>
      </w:r>
      <w:r>
        <w:rPr>
          <w:rFonts w:hint="eastAsia" w:ascii="仿宋_GB2312" w:eastAsia="仿宋_GB2312"/>
          <w:color w:val="auto"/>
          <w:spacing w:val="-4"/>
          <w:sz w:val="28"/>
          <w:szCs w:val="28"/>
        </w:rPr>
        <w:t>19333.343</w:t>
      </w:r>
      <w:r>
        <w:rPr>
          <w:rFonts w:hint="eastAsia" w:ascii="仿宋_GB2312" w:hAnsi="宋体" w:eastAsia="仿宋_GB2312"/>
          <w:color w:val="auto"/>
          <w:sz w:val="28"/>
        </w:rPr>
        <w:t>平方米，</w:t>
      </w:r>
      <w:r>
        <w:rPr>
          <w:rFonts w:hint="eastAsia" w:ascii="仿宋_GB2312" w:eastAsia="仿宋_GB2312"/>
          <w:color w:val="auto"/>
          <w:spacing w:val="20"/>
          <w:kern w:val="15"/>
          <w:sz w:val="28"/>
        </w:rPr>
        <w:t>具体以北京市规划和自然资源委员会大兴分局核发的</w:t>
      </w:r>
      <w:r>
        <w:rPr>
          <w:rFonts w:hint="eastAsia" w:ascii="仿宋_GB2312" w:hAnsi="宋体" w:eastAsia="仿宋_GB2312"/>
          <w:color w:val="auto"/>
          <w:sz w:val="28"/>
        </w:rPr>
        <w:t>《关于大兴新城东南片区0605-015E地块供地项目“多规合一”协同平台审核意见的函》（京规自（大）供审函[2021]0009号）及《建设工程规划用地测量成果报告书》（2021规自（大）测字0028号补1）为准。</w:t>
      </w:r>
    </w:p>
    <w:p>
      <w:pPr>
        <w:spacing w:line="600" w:lineRule="exact"/>
        <w:ind w:firstLine="560" w:firstLineChars="200"/>
        <w:rPr>
          <w:rFonts w:ascii="仿宋_GB2312" w:hAnsi="宋体" w:eastAsia="仿宋_GB2312"/>
          <w:color w:val="auto"/>
          <w:sz w:val="28"/>
        </w:rPr>
      </w:pPr>
      <w:r>
        <w:rPr>
          <w:rFonts w:hint="eastAsia" w:ascii="仿宋_GB2312" w:hAnsi="宋体" w:eastAsia="仿宋_GB2312"/>
          <w:color w:val="auto"/>
          <w:sz w:val="28"/>
        </w:rPr>
        <w:t>三、宗地权属及土地现状情况</w:t>
      </w:r>
    </w:p>
    <w:p>
      <w:pPr>
        <w:ind w:firstLine="560" w:firstLineChars="200"/>
        <w:rPr>
          <w:rFonts w:ascii="仿宋_GB2312" w:hAnsi="宋体" w:eastAsia="仿宋_GB2312"/>
          <w:sz w:val="28"/>
        </w:rPr>
      </w:pPr>
      <w:r>
        <w:rPr>
          <w:rFonts w:hint="eastAsia" w:ascii="仿宋_GB2312" w:hAnsi="宋体" w:eastAsia="仿宋_GB2312"/>
          <w:sz w:val="28"/>
        </w:rPr>
        <w:t>该宗地的权属情况为：</w:t>
      </w:r>
    </w:p>
    <w:p>
      <w:pPr>
        <w:ind w:firstLine="560" w:firstLineChars="200"/>
        <w:rPr>
          <w:rFonts w:ascii="仿宋_GB2312" w:hAnsi="宋体" w:eastAsia="仿宋_GB2312"/>
          <w:sz w:val="28"/>
        </w:rPr>
      </w:pPr>
      <w:r>
        <w:rPr>
          <w:rFonts w:hint="eastAsia" w:eastAsia="仿宋_GB2312"/>
          <w:kern w:val="15"/>
          <w:sz w:val="28"/>
        </w:rPr>
        <w:t>本次出让宗地属于前期</w:t>
      </w:r>
      <w:r>
        <w:rPr>
          <w:rFonts w:hint="eastAsia" w:ascii="仿宋_GB2312" w:hAnsi="宋体" w:eastAsia="仿宋_GB2312"/>
          <w:sz w:val="28"/>
        </w:rPr>
        <w:t>开发项目用地，已由甲方完成该宗地的征地拆迁等入市前期相关工作。</w:t>
      </w:r>
    </w:p>
    <w:p>
      <w:pPr>
        <w:ind w:firstLine="560" w:firstLineChars="200"/>
        <w:rPr>
          <w:rFonts w:ascii="仿宋_GB2312" w:hAnsi="宋体" w:eastAsia="仿宋_GB2312"/>
          <w:color w:val="auto"/>
          <w:sz w:val="28"/>
        </w:rPr>
      </w:pPr>
      <w:r>
        <w:rPr>
          <w:rFonts w:hint="eastAsia" w:ascii="仿宋_GB2312" w:hAnsi="宋体" w:eastAsia="仿宋_GB2312"/>
          <w:color w:val="auto"/>
          <w:sz w:val="28"/>
        </w:rPr>
        <w:t>该宗地的现状为：</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1.项目建设用地范围内土堆，无偿交由二级竞得人按照国家及北京市有关规定依法依规处理。</w:t>
      </w:r>
    </w:p>
    <w:p>
      <w:pPr>
        <w:pStyle w:val="4"/>
        <w:ind w:firstLine="560" w:firstLineChars="200"/>
        <w:jc w:val="both"/>
        <w:rPr>
          <w:rFonts w:ascii="仿宋_GB2312" w:hAnsi="宋体" w:eastAsia="仿宋_GB2312"/>
          <w:sz w:val="28"/>
        </w:rPr>
      </w:pPr>
      <w:r>
        <w:rPr>
          <w:rFonts w:hint="eastAsia" w:ascii="仿宋_GB2312" w:hAnsi="宋体" w:eastAsia="仿宋_GB2312"/>
          <w:color w:val="auto"/>
          <w:sz w:val="28"/>
        </w:rPr>
        <w:t>2.</w:t>
      </w:r>
      <w:r>
        <w:rPr>
          <w:rFonts w:hint="eastAsia" w:ascii="仿宋_GB2312" w:hAnsi="宋体" w:eastAsia="仿宋_GB2312"/>
          <w:bCs/>
          <w:color w:val="auto"/>
          <w:sz w:val="28"/>
        </w:rPr>
        <w:t>甲方</w:t>
      </w:r>
      <w:r>
        <w:rPr>
          <w:rFonts w:hint="eastAsia" w:ascii="仿宋_GB2312" w:hAnsi="宋体" w:eastAsia="仿宋_GB2312"/>
          <w:color w:val="auto"/>
          <w:sz w:val="28"/>
        </w:rPr>
        <w:t>承诺，项目地块周边道路、市政基础设施及绿地根据《关于大兴新城东南片区0605-015E地块供地项目“多规合一”协同平台审核意见的函》（京规自（大）供审函[2021]0009号）相关要求，由甲方实施，承担相关费用，并负责后期管理工作，大兴区黄村镇</w:t>
      </w:r>
      <w:r>
        <w:rPr>
          <w:rFonts w:hint="eastAsia" w:ascii="仿宋_GB2312" w:hAnsi="宋体" w:eastAsia="仿宋_GB2312"/>
          <w:sz w:val="28"/>
        </w:rPr>
        <w:t>人民政府监督实施，确保与地块同步实施，上述工作保证不影响乙方的开工建设和竣工验收，由此产生的一切责任由甲方承担。</w:t>
      </w:r>
    </w:p>
    <w:p>
      <w:pPr>
        <w:pStyle w:val="4"/>
        <w:numPr>
          <w:ilvl w:val="0"/>
          <w:numId w:val="2"/>
        </w:numPr>
        <w:ind w:firstLine="560" w:firstLineChars="200"/>
        <w:jc w:val="both"/>
        <w:rPr>
          <w:rFonts w:ascii="仿宋_GB2312" w:hAnsi="宋体" w:eastAsia="仿宋_GB2312"/>
          <w:sz w:val="28"/>
        </w:rPr>
      </w:pPr>
      <w:r>
        <w:rPr>
          <w:rFonts w:hint="eastAsia" w:ascii="仿宋_GB2312" w:hAnsi="宋体" w:eastAsia="仿宋_GB2312"/>
          <w:sz w:val="28"/>
        </w:rPr>
        <w:t>宗地开发程度：</w:t>
      </w:r>
    </w:p>
    <w:p>
      <w:pPr>
        <w:pStyle w:val="4"/>
        <w:ind w:firstLine="560" w:firstLineChars="200"/>
        <w:jc w:val="both"/>
        <w:rPr>
          <w:rFonts w:ascii="仿宋_GB2312" w:hAnsi="宋体" w:eastAsia="仿宋_GB2312"/>
          <w:sz w:val="28"/>
        </w:rPr>
      </w:pPr>
      <w:r>
        <w:rPr>
          <w:rFonts w:hint="eastAsia" w:eastAsia="仿宋_GB2312"/>
          <w:sz w:val="28"/>
        </w:rPr>
        <w:t>甲方负责完成宗地范围内的征地、拆迁等相关工作，</w:t>
      </w:r>
      <w:r>
        <w:rPr>
          <w:rFonts w:hint="eastAsia" w:ascii="仿宋_GB2312" w:hAnsi="宋体" w:eastAsia="仿宋_GB2312"/>
          <w:sz w:val="28"/>
        </w:rPr>
        <w:t xml:space="preserve">该宗地供应时向乙方提供具备 </w:t>
      </w:r>
      <w:r>
        <w:rPr>
          <w:rFonts w:hint="eastAsia" w:eastAsia="仿宋_GB2312"/>
          <w:sz w:val="28"/>
        </w:rPr>
        <w:t>“四通一平”。（“四通”指</w:t>
      </w:r>
      <w:bookmarkStart w:id="25" w:name="_Hlk62050107"/>
      <w:r>
        <w:rPr>
          <w:rFonts w:hint="eastAsia" w:eastAsia="仿宋_GB2312"/>
          <w:sz w:val="28"/>
        </w:rPr>
        <w:t>通路、通上水、通下水（雨水、污水）、通电（仅管沟）</w:t>
      </w:r>
      <w:bookmarkEnd w:id="25"/>
      <w:r>
        <w:rPr>
          <w:rFonts w:hint="eastAsia" w:eastAsia="仿宋_GB2312"/>
          <w:sz w:val="28"/>
        </w:rPr>
        <w:t>。“一平”指除最终可保留及涉及二级开发单位继续使用的地上物外，无其它施工障碍物的场地平整）条件的宗地。</w:t>
      </w:r>
      <w:r>
        <w:rPr>
          <w:rFonts w:hint="eastAsia" w:ascii="仿宋_GB2312" w:hAnsi="宋体" w:eastAsia="仿宋_GB2312"/>
          <w:sz w:val="28"/>
        </w:rPr>
        <w:t>各市政管线的报装及接用费用由乙方承担。</w:t>
      </w:r>
    </w:p>
    <w:p>
      <w:pPr>
        <w:pStyle w:val="4"/>
        <w:ind w:firstLine="560" w:firstLineChars="200"/>
        <w:jc w:val="both"/>
        <w:rPr>
          <w:rFonts w:ascii="仿宋_GB2312" w:hAnsi="宋体" w:eastAsia="仿宋_GB2312"/>
          <w:sz w:val="28"/>
        </w:rPr>
      </w:pPr>
      <w:r>
        <w:rPr>
          <w:rFonts w:hint="eastAsia" w:ascii="仿宋_GB2312" w:hAnsi="宋体" w:eastAsia="仿宋_GB2312"/>
          <w:sz w:val="28"/>
        </w:rPr>
        <w:t>具体项目用地市政设施情况</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一、道路情况</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丰达街：丰达街为城市现状次干路，红线宽30m，断面形式为车行道10m，人行道两侧各3.5m。（依据道路规划方案，具体以项目道路竣工验收数据为准）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二、配套管线</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1.给水方案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（1）供水现状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本地块东侧丰达街、南侧庆丰南路有DN400mm的给水管线，该地区主要由自备井供水。（管径位置及大小以项目路段竣工验收数据为准）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（2）供水规划</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 xml:space="preserve">规划该地区新建市政给水管网，近期由黄村第二水厂供水，远期由新城供水管网联合运行供水。 </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本地块主干管分别敷设在庆丰路、庆丰南路、丰达街，管径为DN400mm-DN600mm。在丰达街已建成管道上向本项目引入DN200mm给水管线并设置支线阀，以供地块用水。（管径位置及大小以项目路段竣工验收数据为准）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2.雨水方案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（1）雨水现状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丰达街有已建成d600mm雨水管线与口2200 x1600mm雨水方沟，由北向南排入庆丰南路已建成口3200x1600mm雨水方沟，沿庆丰南路向东排入小龙河。（管径位置及大小以项目路段竣工验收数据为准）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（2）雨水规划</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规划地块雨水排至丰达街雨水管线，向南汇入庆丰南路口3200x1600mm雨水方沟，后沿庆丰南路向东，最终排入小龙河。同时在丰达街已建成口2200 x1600mm雨水方沟上向本地块引入d1000mm雨水甩管并设置检查井，以供地块排除雨水。（管径位置及大小以项目路段竣工验收数据为准）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3.污水方案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（1）污水现状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 xml:space="preserve">本地块东侧的丰达街和南侧庆丰南路有现状d500mm污水管线，污水排除属于规划天堂河污水处理厂的流域范围。（管径位置及大小以项目路段竣工验收数据为准） </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（2）污水规划</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丰达街有已建成d500mm污水管道，向南汇入魏永路规划d100mm污水管线，最终沿魏永路向西排入天堂河污水处理厂。在丰达街已建成管道上向本项目引入d400mm污水甩管并设置检查井，已供地块排除污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4.电力方案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（1）电力现状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本项目北侧庆丰路、东侧丰达街均架设有现状10KV架空线路，东侧丰达街、南侧庆丰南路均随路建设有2mx2.1m电力隧道。本项目区内主要由天堂河110KV变电站供电。（管沟位置及大小以项目路段竣工验收数据为准）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（2）电力规划</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为满足本项目建成后用电需求和提高供电安全性，根据负荷预测，在地块内建设10/0.4KV，2X1250KVA变配电所1座。经计算，负荷率为0.66。变配电所可设于公建内（占地150 m2左右）。近期，变配电所10KV电源可由地块周边10KV架空线路引入。远期，由北侧庆丰路规划电缆分界室通过随路建设的电力隧道及排管引入2路10KV电源，电缆型号ZRYJV22-8.7/10KV-3x150，长度约500mm。（管沟位置及大小以项目路段竣工验收数据为准）</w:t>
      </w:r>
    </w:p>
    <w:p>
      <w:pPr>
        <w:pStyle w:val="3"/>
        <w:numPr>
          <w:ilvl w:val="1"/>
          <w:numId w:val="1"/>
        </w:numPr>
        <w:tabs>
          <w:tab w:val="left" w:pos="1622"/>
        </w:tabs>
        <w:spacing w:line="600" w:lineRule="exact"/>
        <w:ind w:left="1622"/>
        <w:rPr>
          <w:szCs w:val="28"/>
        </w:rPr>
      </w:pPr>
      <w:bookmarkStart w:id="26" w:name="_Toc200281939"/>
      <w:bookmarkStart w:id="27" w:name="_Toc32122"/>
      <w:bookmarkStart w:id="28" w:name="_Toc182108066"/>
      <w:bookmarkStart w:id="29" w:name="_Toc187564702"/>
      <w:bookmarkStart w:id="30" w:name="_Toc182885768"/>
      <w:r>
        <w:rPr>
          <w:rFonts w:hint="eastAsia"/>
          <w:szCs w:val="28"/>
        </w:rPr>
        <w:t>双方权利义务</w:t>
      </w:r>
      <w:bookmarkEnd w:id="26"/>
      <w:bookmarkEnd w:id="27"/>
      <w:bookmarkEnd w:id="28"/>
      <w:bookmarkEnd w:id="29"/>
      <w:bookmarkEnd w:id="30"/>
    </w:p>
    <w:p>
      <w:pPr>
        <w:numPr>
          <w:ilvl w:val="0"/>
          <w:numId w:val="3"/>
        </w:numPr>
        <w:tabs>
          <w:tab w:val="left" w:pos="1080"/>
        </w:tabs>
        <w:spacing w:line="600" w:lineRule="exact"/>
        <w:ind w:left="0" w:firstLine="560" w:firstLineChars="200"/>
        <w:rPr>
          <w:rFonts w:ascii="仿宋_GB2312" w:eastAsia="仿宋_GB2312"/>
          <w:sz w:val="28"/>
        </w:rPr>
      </w:pPr>
      <w:r>
        <w:rPr>
          <w:rFonts w:hint="eastAsia" w:ascii="仿宋_GB2312" w:eastAsia="仿宋_GB2312"/>
          <w:sz w:val="28"/>
        </w:rPr>
        <w:t>甲方权利、义务</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有权收取有关部门返还的该宗地的土地开发建设补偿费；</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按照相关约定完成宗地范围内地上建筑物的拆迁、拆除工作，规划需保留的及入市交易文件中明确交由乙方自行处置的除外；</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在乙方办理该宗地后续建设手续时提供必要的支持和帮助；</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负责提供本协议第三条约定条件的宗地，并完成相关约定工作。</w:t>
      </w:r>
    </w:p>
    <w:p>
      <w:pPr>
        <w:tabs>
          <w:tab w:val="left" w:pos="900"/>
        </w:tabs>
        <w:spacing w:line="600" w:lineRule="exact"/>
        <w:ind w:firstLine="560" w:firstLineChars="200"/>
        <w:rPr>
          <w:rFonts w:ascii="仿宋_GB2312" w:eastAsia="仿宋_GB2312"/>
          <w:sz w:val="28"/>
        </w:rPr>
      </w:pPr>
      <w:r>
        <w:rPr>
          <w:rFonts w:hint="eastAsia" w:ascii="仿宋_GB2312" w:eastAsia="仿宋_GB2312"/>
          <w:sz w:val="28"/>
          <w:szCs w:val="28"/>
        </w:rPr>
        <w:t>5</w:t>
      </w:r>
      <w:r>
        <w:rPr>
          <w:rFonts w:hint="eastAsia" w:ascii="仿宋_GB2312" w:eastAsia="仿宋_GB2312"/>
          <w:sz w:val="28"/>
        </w:rPr>
        <w:t>、</w:t>
      </w:r>
      <w:r>
        <w:rPr>
          <w:rFonts w:hint="eastAsia" w:ascii="仿宋_GB2312" w:eastAsia="仿宋_GB2312"/>
          <w:sz w:val="28"/>
          <w:szCs w:val="28"/>
        </w:rPr>
        <w:t>负责进行本项目用地交接前的场地管理。</w:t>
      </w:r>
    </w:p>
    <w:p>
      <w:pPr>
        <w:tabs>
          <w:tab w:val="left" w:pos="180"/>
          <w:tab w:val="left" w:pos="900"/>
          <w:tab w:val="left" w:pos="1080"/>
        </w:tabs>
        <w:spacing w:line="600" w:lineRule="exact"/>
        <w:ind w:firstLine="560" w:firstLineChars="200"/>
        <w:rPr>
          <w:rFonts w:ascii="仿宋_GB2312" w:eastAsia="仿宋_GB2312"/>
          <w:sz w:val="28"/>
        </w:rPr>
      </w:pPr>
      <w:r>
        <w:rPr>
          <w:rFonts w:hint="eastAsia" w:ascii="仿宋_GB2312" w:eastAsia="仿宋_GB2312"/>
          <w:sz w:val="28"/>
        </w:rPr>
        <w:t>6、负责协助乙方获得本项目用地施工临时用水、用电的外源条件。</w:t>
      </w:r>
    </w:p>
    <w:p>
      <w:pPr>
        <w:numPr>
          <w:ilvl w:val="0"/>
          <w:numId w:val="3"/>
        </w:numPr>
        <w:tabs>
          <w:tab w:val="left" w:pos="180"/>
          <w:tab w:val="left" w:pos="900"/>
          <w:tab w:val="left" w:pos="1080"/>
        </w:tabs>
        <w:spacing w:line="600" w:lineRule="exact"/>
        <w:ind w:left="0" w:firstLine="560" w:firstLineChars="200"/>
        <w:rPr>
          <w:rFonts w:ascii="仿宋_GB2312" w:eastAsia="仿宋_GB2312"/>
          <w:sz w:val="28"/>
        </w:rPr>
      </w:pPr>
      <w:r>
        <w:rPr>
          <w:rFonts w:hint="eastAsia" w:ascii="仿宋_GB2312" w:eastAsia="仿宋_GB2312"/>
          <w:sz w:val="28"/>
        </w:rPr>
        <w:t>乙方权利、义务</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1、按照本协议的约定按时、足额</w:t>
      </w:r>
      <w:bookmarkStart w:id="94" w:name="_GoBack"/>
      <w:bookmarkEnd w:id="94"/>
      <w:r>
        <w:rPr>
          <w:rFonts w:hint="eastAsia" w:eastAsia="仿宋_GB2312"/>
          <w:sz w:val="28"/>
        </w:rPr>
        <w:t>支付土地开发建设补偿费。</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2、接收按本协议第三条约定条件的宗地，并承诺对该宗地的使用不得违背国家法律、法规、规章和《北京市国有建设用地使用权出让合同》的规定。</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3、按本协议约定承担本项目用地地块接收后的管理工作，并承担相关责任和费用。</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4、负责办理项目开工建设、市政管线的接用、工程竣工验收等必要的手续并承担所需费用，负责可能出现的地下管网等地下物的迁移工作并承担相关费用，同时按北京市相关规定，负责完成该宗地需向有关主管部门移交的配套设施的建设及移交工作。</w:t>
      </w:r>
    </w:p>
    <w:p>
      <w:pPr>
        <w:tabs>
          <w:tab w:val="left" w:pos="900"/>
          <w:tab w:val="left" w:pos="1080"/>
        </w:tabs>
        <w:spacing w:line="360" w:lineRule="auto"/>
        <w:ind w:firstLine="560" w:firstLineChars="200"/>
        <w:rPr>
          <w:rFonts w:eastAsia="仿宋_GB2312"/>
          <w:sz w:val="28"/>
          <w:szCs w:val="28"/>
        </w:rPr>
      </w:pPr>
      <w:r>
        <w:rPr>
          <w:rFonts w:hint="eastAsia" w:eastAsia="仿宋_GB2312"/>
          <w:sz w:val="28"/>
          <w:szCs w:val="28"/>
        </w:rPr>
        <w:t>5、负责承担本项目红线内各种市政设施管线以及公共配套设施、人防工程、景观、绿化等工程的投资建设。</w:t>
      </w:r>
    </w:p>
    <w:p>
      <w:pPr>
        <w:tabs>
          <w:tab w:val="left" w:pos="900"/>
          <w:tab w:val="left" w:pos="1080"/>
          <w:tab w:val="left" w:pos="1800"/>
        </w:tabs>
        <w:spacing w:line="360" w:lineRule="auto"/>
        <w:ind w:firstLine="560" w:firstLineChars="200"/>
        <w:rPr>
          <w:rFonts w:eastAsia="仿宋_GB2312"/>
          <w:sz w:val="28"/>
        </w:rPr>
      </w:pPr>
      <w:r>
        <w:rPr>
          <w:rFonts w:hint="eastAsia" w:eastAsia="仿宋_GB2312"/>
          <w:sz w:val="28"/>
        </w:rPr>
        <w:t>6、在甲方进行红线外各市政管线的建设时提供必要的支持和配合。</w:t>
      </w:r>
    </w:p>
    <w:p>
      <w:pPr>
        <w:tabs>
          <w:tab w:val="left" w:pos="900"/>
          <w:tab w:val="left" w:pos="1080"/>
          <w:tab w:val="left" w:pos="1620"/>
          <w:tab w:val="left" w:pos="1800"/>
          <w:tab w:val="left" w:pos="1980"/>
        </w:tabs>
        <w:spacing w:line="360" w:lineRule="auto"/>
        <w:ind w:firstLine="560" w:firstLineChars="200"/>
        <w:rPr>
          <w:rFonts w:eastAsia="仿宋_GB2312"/>
          <w:sz w:val="28"/>
        </w:rPr>
      </w:pPr>
      <w:r>
        <w:rPr>
          <w:rFonts w:hint="eastAsia" w:eastAsia="仿宋_GB2312"/>
          <w:sz w:val="28"/>
        </w:rPr>
        <w:t>7、乙方在本项目施工过程中，要对全体施工人员进行文物保护法制教育，并保证严格执行《中华人民共和国文物保护法》的相关规定。</w:t>
      </w:r>
    </w:p>
    <w:p>
      <w:pPr>
        <w:tabs>
          <w:tab w:val="left" w:pos="900"/>
          <w:tab w:val="left" w:pos="1080"/>
          <w:tab w:val="left" w:pos="1620"/>
          <w:tab w:val="left" w:pos="1800"/>
          <w:tab w:val="left" w:pos="1980"/>
        </w:tabs>
        <w:spacing w:line="360" w:lineRule="auto"/>
        <w:ind w:firstLine="560" w:firstLineChars="200"/>
        <w:rPr>
          <w:rFonts w:eastAsia="仿宋_GB2312"/>
          <w:sz w:val="28"/>
        </w:rPr>
      </w:pPr>
      <w:r>
        <w:rPr>
          <w:rFonts w:hint="eastAsia" w:eastAsia="仿宋_GB2312"/>
          <w:sz w:val="28"/>
        </w:rPr>
        <w:t>8、乙方进行建筑工程施工时，乙方或其委托的工程建设施工单位应对由于施工引起的红线外有关道路、市政管线设施及建筑等的破坏及时修复或重新建设，并承担相应的费用。</w:t>
      </w:r>
    </w:p>
    <w:p>
      <w:pPr>
        <w:tabs>
          <w:tab w:val="left" w:pos="900"/>
          <w:tab w:val="left" w:pos="1080"/>
          <w:tab w:val="left" w:pos="1800"/>
        </w:tabs>
        <w:spacing w:line="360" w:lineRule="auto"/>
        <w:ind w:firstLine="560" w:firstLineChars="200"/>
        <w:rPr>
          <w:rFonts w:eastAsia="仿宋_GB2312"/>
          <w:sz w:val="28"/>
        </w:rPr>
      </w:pPr>
      <w:r>
        <w:rPr>
          <w:rFonts w:hint="eastAsia" w:eastAsia="仿宋_GB2312"/>
          <w:sz w:val="28"/>
        </w:rPr>
        <w:t>9、乙方保证本项目的规划设计及施工不影响周围居民的正常生活，如在上述过程中发生阳光遮挡、施工扰民等现象，由此造成的一切后果及损失均由乙方承担，与甲方无关。</w:t>
      </w:r>
    </w:p>
    <w:p>
      <w:pPr>
        <w:tabs>
          <w:tab w:val="left" w:pos="900"/>
          <w:tab w:val="left" w:pos="1080"/>
          <w:tab w:val="left" w:pos="1980"/>
        </w:tabs>
        <w:spacing w:line="360" w:lineRule="auto"/>
        <w:ind w:firstLine="560" w:firstLineChars="200"/>
        <w:rPr>
          <w:rFonts w:eastAsia="仿宋_GB2312"/>
          <w:sz w:val="28"/>
        </w:rPr>
      </w:pPr>
      <w:r>
        <w:rPr>
          <w:rFonts w:hint="eastAsia" w:eastAsia="仿宋_GB2312"/>
          <w:sz w:val="28"/>
        </w:rPr>
        <w:t>10、在涉及本项目用地范围内的环境保护、绿化、安全等公共利益方面的活动，乙方服从政府部门或其授权机构的统一管理。</w:t>
      </w:r>
    </w:p>
    <w:p>
      <w:pPr>
        <w:pStyle w:val="3"/>
        <w:numPr>
          <w:ilvl w:val="1"/>
          <w:numId w:val="1"/>
        </w:numPr>
        <w:tabs>
          <w:tab w:val="left" w:pos="1622"/>
        </w:tabs>
        <w:spacing w:line="600" w:lineRule="exact"/>
        <w:ind w:left="1622"/>
        <w:rPr>
          <w:szCs w:val="28"/>
        </w:rPr>
      </w:pPr>
      <w:bookmarkStart w:id="31" w:name="_Toc182108067"/>
      <w:bookmarkStart w:id="32" w:name="_Toc182885769"/>
      <w:bookmarkStart w:id="33" w:name="_Toc187564703"/>
      <w:bookmarkStart w:id="34" w:name="_Toc200281940"/>
      <w:bookmarkStart w:id="35" w:name="_Toc30838"/>
      <w:r>
        <w:rPr>
          <w:rFonts w:hint="eastAsia"/>
          <w:szCs w:val="28"/>
        </w:rPr>
        <w:t>前期开发建设补偿费的</w:t>
      </w:r>
      <w:bookmarkEnd w:id="31"/>
      <w:bookmarkEnd w:id="32"/>
      <w:bookmarkEnd w:id="33"/>
      <w:bookmarkEnd w:id="34"/>
      <w:r>
        <w:rPr>
          <w:rFonts w:hint="eastAsia"/>
          <w:szCs w:val="28"/>
        </w:rPr>
        <w:t>支付</w:t>
      </w:r>
      <w:bookmarkEnd w:id="35"/>
    </w:p>
    <w:p>
      <w:pPr>
        <w:tabs>
          <w:tab w:val="left" w:pos="0"/>
        </w:tabs>
        <w:spacing w:line="600" w:lineRule="exact"/>
        <w:ind w:firstLine="560" w:firstLineChars="200"/>
        <w:rPr>
          <w:rFonts w:ascii="仿宋_GB2312" w:eastAsia="仿宋_GB2312"/>
          <w:kern w:val="15"/>
          <w:sz w:val="28"/>
        </w:rPr>
      </w:pPr>
      <w:r>
        <w:rPr>
          <w:rFonts w:hint="eastAsia" w:ascii="仿宋_GB2312" w:eastAsia="仿宋_GB2312"/>
          <w:kern w:val="15"/>
          <w:sz w:val="28"/>
        </w:rPr>
        <w:t>一、本协议约定项目用地的前期开发建设补偿费：人民币大写：</w:t>
      </w:r>
      <w:r>
        <w:rPr>
          <w:rFonts w:hint="eastAsia" w:ascii="仿宋_GB2312" w:eastAsia="仿宋_GB2312"/>
          <w:kern w:val="15"/>
          <w:sz w:val="28"/>
          <w:lang w:eastAsia="zh-CN"/>
        </w:rPr>
        <w:t>叁仟贰佰伍拾贰万捌仟叁佰</w:t>
      </w:r>
      <w:r>
        <w:rPr>
          <w:rFonts w:hint="eastAsia" w:ascii="仿宋_GB2312" w:eastAsia="仿宋_GB2312"/>
          <w:kern w:val="15"/>
          <w:sz w:val="28"/>
        </w:rPr>
        <w:t>元整（￥</w:t>
      </w:r>
      <w:r>
        <w:rPr>
          <w:rFonts w:hint="eastAsia" w:ascii="仿宋_GB2312" w:eastAsia="仿宋_GB2312"/>
          <w:kern w:val="15"/>
          <w:sz w:val="28"/>
          <w:highlight w:val="none"/>
        </w:rPr>
        <w:t>：</w:t>
      </w:r>
      <w:r>
        <w:rPr>
          <w:rFonts w:hint="eastAsia" w:ascii="仿宋_GB2312" w:eastAsia="仿宋_GB2312"/>
          <w:kern w:val="15"/>
          <w:sz w:val="28"/>
          <w:highlight w:val="none"/>
          <w:lang w:eastAsia="zh-CN"/>
        </w:rPr>
        <w:t>3252.8300</w:t>
      </w:r>
      <w:r>
        <w:rPr>
          <w:rFonts w:hint="eastAsia" w:ascii="仿宋_GB2312" w:eastAsia="仿宋_GB2312"/>
          <w:kern w:val="15"/>
          <w:sz w:val="28"/>
          <w:highlight w:val="none"/>
        </w:rPr>
        <w:t>万元</w:t>
      </w:r>
      <w:r>
        <w:rPr>
          <w:rFonts w:hint="eastAsia" w:ascii="仿宋_GB2312" w:eastAsia="仿宋_GB2312"/>
          <w:kern w:val="15"/>
          <w:sz w:val="28"/>
        </w:rPr>
        <w:t>）。</w:t>
      </w:r>
    </w:p>
    <w:p>
      <w:pPr>
        <w:tabs>
          <w:tab w:val="left" w:pos="0"/>
          <w:tab w:val="left" w:pos="180"/>
          <w:tab w:val="left" w:pos="1080"/>
        </w:tabs>
        <w:spacing w:line="540" w:lineRule="auto"/>
        <w:ind w:firstLine="560" w:firstLineChars="200"/>
        <w:rPr>
          <w:rFonts w:ascii="仿宋_GB2312" w:eastAsia="仿宋_GB2312"/>
          <w:sz w:val="28"/>
        </w:rPr>
      </w:pPr>
      <w:bookmarkStart w:id="36" w:name="_Toc182885771"/>
      <w:bookmarkStart w:id="37" w:name="_Toc187564705"/>
      <w:bookmarkStart w:id="38" w:name="_Toc182108069"/>
      <w:bookmarkStart w:id="39" w:name="_Toc200281942"/>
      <w:r>
        <w:rPr>
          <w:rFonts w:hint="eastAsia" w:ascii="仿宋_GB2312" w:eastAsia="仿宋_GB2312"/>
          <w:sz w:val="28"/>
        </w:rPr>
        <w:t>二、乙方需按以下方式支付土地开发建设补偿费：</w:t>
      </w:r>
    </w:p>
    <w:bookmarkEnd w:id="36"/>
    <w:bookmarkEnd w:id="37"/>
    <w:bookmarkEnd w:id="38"/>
    <w:bookmarkEnd w:id="39"/>
    <w:p>
      <w:pPr>
        <w:tabs>
          <w:tab w:val="left" w:pos="0"/>
          <w:tab w:val="left" w:pos="180"/>
          <w:tab w:val="left" w:pos="1080"/>
        </w:tabs>
        <w:spacing w:line="540" w:lineRule="auto"/>
        <w:ind w:firstLine="560" w:firstLineChars="200"/>
        <w:rPr>
          <w:rFonts w:ascii="仿宋_GB2312" w:eastAsia="仿宋_GB2312"/>
          <w:sz w:val="28"/>
        </w:rPr>
      </w:pPr>
      <w:bookmarkStart w:id="40" w:name="_Toc1929"/>
      <w:bookmarkStart w:id="41" w:name="_Toc182885772"/>
      <w:bookmarkStart w:id="42" w:name="_Toc182108070"/>
      <w:bookmarkStart w:id="43" w:name="_Toc200281943"/>
      <w:bookmarkStart w:id="44" w:name="_Toc187564706"/>
      <w:r>
        <w:rPr>
          <w:rFonts w:hint="eastAsia" w:ascii="仿宋_GB2312" w:eastAsia="仿宋_GB2312"/>
          <w:sz w:val="28"/>
        </w:rPr>
        <w:t>在双方签订本协议后7个工作日内，</w:t>
      </w:r>
      <w:r>
        <w:rPr>
          <w:rFonts w:hint="eastAsia" w:ascii="仿宋_GB2312" w:eastAsia="仿宋_GB2312"/>
          <w:sz w:val="28"/>
          <w:lang w:eastAsia="zh-CN"/>
        </w:rPr>
        <w:t>乙方</w:t>
      </w:r>
      <w:r>
        <w:rPr>
          <w:rFonts w:hint="eastAsia" w:ascii="仿宋_GB2312" w:eastAsia="仿宋_GB2312"/>
          <w:sz w:val="28"/>
        </w:rPr>
        <w:t>须按照税务部门有关要求全额交纳土地开发建设补偿费（保证金转付土地开发建设补偿费部分除外）”。</w:t>
      </w:r>
    </w:p>
    <w:p>
      <w:pPr>
        <w:pStyle w:val="3"/>
        <w:numPr>
          <w:ilvl w:val="1"/>
          <w:numId w:val="1"/>
        </w:numPr>
        <w:tabs>
          <w:tab w:val="left" w:pos="1622"/>
        </w:tabs>
        <w:spacing w:line="600" w:lineRule="exact"/>
        <w:ind w:left="1622"/>
        <w:rPr>
          <w:szCs w:val="28"/>
        </w:rPr>
      </w:pPr>
      <w:r>
        <w:rPr>
          <w:rFonts w:hint="eastAsia"/>
          <w:szCs w:val="28"/>
        </w:rPr>
        <w:t>交付土地的期限及标准</w:t>
      </w:r>
      <w:bookmarkEnd w:id="40"/>
      <w:bookmarkEnd w:id="41"/>
      <w:bookmarkEnd w:id="42"/>
      <w:bookmarkEnd w:id="43"/>
      <w:bookmarkEnd w:id="44"/>
    </w:p>
    <w:p>
      <w:pPr>
        <w:pStyle w:val="4"/>
        <w:ind w:firstLine="560" w:firstLineChars="200"/>
        <w:jc w:val="both"/>
        <w:rPr>
          <w:rFonts w:eastAsia="仿宋_GB2312"/>
          <w:sz w:val="28"/>
        </w:rPr>
      </w:pPr>
      <w:bookmarkStart w:id="45" w:name="_Toc160590374"/>
      <w:bookmarkStart w:id="46" w:name="_Toc182898742"/>
      <w:bookmarkStart w:id="47" w:name="_Toc200281944"/>
      <w:r>
        <w:rPr>
          <w:rFonts w:hint="eastAsia" w:ascii="仿宋_GB2312" w:eastAsia="仿宋_GB2312"/>
          <w:sz w:val="28"/>
        </w:rPr>
        <w:t>乙方按合同约定支付全部地价款后可向北京市规划和自然资源委员会大兴分局</w:t>
      </w:r>
      <w:r>
        <w:rPr>
          <w:rFonts w:hint="eastAsia" w:ascii="仿宋_GB2312" w:hAnsi="宋体" w:eastAsia="仿宋_GB2312"/>
          <w:sz w:val="28"/>
        </w:rPr>
        <w:t>自然资源所有者权益科</w:t>
      </w:r>
      <w:r>
        <w:rPr>
          <w:rFonts w:hint="eastAsia" w:ascii="仿宋_GB2312" w:eastAsia="仿宋_GB2312"/>
          <w:sz w:val="28"/>
        </w:rPr>
        <w:t>提出接收土地申请，北京市规划和自然资源委员会大兴分局</w:t>
      </w:r>
      <w:r>
        <w:rPr>
          <w:rFonts w:hint="eastAsia" w:ascii="仿宋_GB2312" w:hAnsi="宋体" w:eastAsia="仿宋_GB2312"/>
          <w:sz w:val="28"/>
        </w:rPr>
        <w:t>自然资源所有者权益科</w:t>
      </w:r>
      <w:r>
        <w:rPr>
          <w:rFonts w:hint="eastAsia" w:ascii="仿宋_GB2312" w:eastAsia="仿宋_GB2312"/>
          <w:sz w:val="28"/>
        </w:rPr>
        <w:t>在受理审核后，转北京市土地整理储备中心大兴区分中心，</w:t>
      </w:r>
      <w:r>
        <w:rPr>
          <w:rFonts w:hint="eastAsia" w:eastAsia="仿宋_GB2312"/>
          <w:sz w:val="28"/>
        </w:rPr>
        <w:t>由储备分中心以“三通一平”（“一平”指除最终可保留及涉及二级开发单位继续使用的地上物外，无其它施工障碍物的场地平整。“三通”指（通临水、通临电、通临路）条件的宗地）的接入条件组织相关各方办理土地交付手续，并最终具备“四通一平”的接入条件，具体由甲方负责，同时协助乙方完成各种市政设施的接用工作，接用及报装费用由乙方承担。</w:t>
      </w:r>
    </w:p>
    <w:p>
      <w:pPr>
        <w:tabs>
          <w:tab w:val="left" w:pos="1470"/>
        </w:tabs>
        <w:spacing w:line="360" w:lineRule="auto"/>
        <w:ind w:firstLine="520" w:firstLineChars="186"/>
        <w:rPr>
          <w:rFonts w:ascii="仿宋_GB2312" w:eastAsia="仿宋_GB2312"/>
          <w:sz w:val="28"/>
        </w:rPr>
      </w:pPr>
      <w:r>
        <w:rPr>
          <w:rFonts w:hint="eastAsia" w:ascii="仿宋_GB2312" w:hAnsi="宋体" w:eastAsia="仿宋_GB2312"/>
          <w:sz w:val="28"/>
        </w:rPr>
        <w:t>乙方无正当理由逾期不接收土地则视同接收，相应的权利、义务由乙方承担。</w:t>
      </w:r>
    </w:p>
    <w:bookmarkEnd w:id="45"/>
    <w:p>
      <w:pPr>
        <w:pStyle w:val="3"/>
        <w:numPr>
          <w:ilvl w:val="1"/>
          <w:numId w:val="1"/>
        </w:numPr>
        <w:tabs>
          <w:tab w:val="left" w:pos="1622"/>
        </w:tabs>
        <w:spacing w:line="600" w:lineRule="exact"/>
        <w:ind w:left="1622"/>
        <w:rPr>
          <w:szCs w:val="28"/>
        </w:rPr>
      </w:pPr>
      <w:bookmarkStart w:id="48" w:name="_Toc66527150"/>
      <w:bookmarkStart w:id="49" w:name="_Toc85182070"/>
      <w:bookmarkStart w:id="50" w:name="_Toc110245534"/>
      <w:bookmarkStart w:id="51" w:name="_Toc110763609"/>
      <w:bookmarkStart w:id="52" w:name="_Toc160590375"/>
      <w:bookmarkStart w:id="53" w:name="_Toc29232"/>
      <w:r>
        <w:rPr>
          <w:rFonts w:hint="eastAsia"/>
          <w:szCs w:val="28"/>
        </w:rPr>
        <w:t>违约责任</w:t>
      </w:r>
      <w:bookmarkEnd w:id="46"/>
      <w:bookmarkEnd w:id="47"/>
      <w:bookmarkEnd w:id="48"/>
      <w:bookmarkEnd w:id="49"/>
      <w:bookmarkEnd w:id="50"/>
      <w:bookmarkEnd w:id="51"/>
      <w:bookmarkEnd w:id="52"/>
      <w:bookmarkEnd w:id="53"/>
    </w:p>
    <w:p>
      <w:pPr>
        <w:ind w:firstLine="560" w:firstLineChars="200"/>
        <w:rPr>
          <w:rFonts w:eastAsia="仿宋_GB2312"/>
          <w:sz w:val="28"/>
        </w:rPr>
      </w:pPr>
      <w:r>
        <w:rPr>
          <w:rFonts w:hint="eastAsia" w:eastAsia="仿宋_GB2312"/>
          <w:sz w:val="28"/>
        </w:rPr>
        <w:t>1、协议双方都有权获得因对方违约而遭受的任何损失的赔偿。双方都有过错的，各自承担相应的责任。</w:t>
      </w:r>
    </w:p>
    <w:p>
      <w:pPr>
        <w:ind w:firstLine="560" w:firstLineChars="200"/>
        <w:rPr>
          <w:rFonts w:eastAsia="仿宋_GB2312"/>
          <w:sz w:val="28"/>
        </w:rPr>
      </w:pPr>
      <w:r>
        <w:rPr>
          <w:rFonts w:hint="eastAsia" w:eastAsia="仿宋_GB2312"/>
          <w:sz w:val="28"/>
        </w:rPr>
        <w:t>2、如乙方不能按本协议约定期限向甲方付款，且不是由于不可抗力和甲方原因造成的，则乙方必须承担违约责任，乙方除按本协议约定支付应付款项及违约期内应付款项的银行贷款利息外，还须按以下约定向甲方支付违约赔偿金，且甲方按本协议约定向乙方提供土地的进度可相应调整。</w:t>
      </w:r>
    </w:p>
    <w:p>
      <w:pPr>
        <w:ind w:firstLine="560" w:firstLineChars="200"/>
        <w:rPr>
          <w:rFonts w:ascii="仿宋_GB2312" w:hAnsi="宋体" w:eastAsia="仿宋_GB2312"/>
          <w:snapToGrid w:val="0"/>
          <w:sz w:val="28"/>
          <w:szCs w:val="28"/>
        </w:rPr>
      </w:pPr>
      <w:r>
        <w:rPr>
          <w:rFonts w:hint="eastAsia" w:ascii="仿宋_GB2312" w:hAnsi="宋体" w:eastAsia="仿宋_GB2312"/>
          <w:snapToGrid w:val="0"/>
          <w:sz w:val="28"/>
          <w:szCs w:val="28"/>
        </w:rPr>
        <w:t>乙方每延期一天的违约赔偿金=乙方应付前期开发建设补偿费</w:t>
      </w:r>
      <w:r>
        <w:rPr>
          <w:rFonts w:hint="eastAsia" w:ascii="仿宋_GB2312" w:hAnsi="宋体" w:eastAsia="仿宋_GB2312"/>
          <w:sz w:val="28"/>
          <w:szCs w:val="28"/>
        </w:rPr>
        <w:t>中未支付部分</w:t>
      </w:r>
      <w:r>
        <w:rPr>
          <w:rFonts w:hint="eastAsia" w:ascii="仿宋_GB2312" w:hAnsi="宋体" w:eastAsia="仿宋_GB2312"/>
          <w:snapToGrid w:val="0"/>
          <w:sz w:val="28"/>
          <w:szCs w:val="28"/>
        </w:rPr>
        <w:t>的千分之三。</w:t>
      </w:r>
    </w:p>
    <w:p>
      <w:pPr>
        <w:ind w:firstLine="560" w:firstLineChars="200"/>
        <w:rPr>
          <w:rFonts w:eastAsia="仿宋_GB2312"/>
          <w:sz w:val="28"/>
        </w:rPr>
      </w:pPr>
      <w:r>
        <w:rPr>
          <w:rFonts w:hint="eastAsia" w:eastAsia="仿宋_GB2312"/>
          <w:sz w:val="28"/>
        </w:rPr>
        <w:t>3、如甲方不能按本协议条款规定履行义务，包括但不仅限于按期移交地块，且不是由于不可抗力和乙方原因造成的，则甲方违约，甲方除按本协议约定履行义务外，还应按以下约定向乙方支付违约赔偿金。</w:t>
      </w:r>
    </w:p>
    <w:p>
      <w:pPr>
        <w:ind w:firstLine="560" w:firstLineChars="200"/>
        <w:rPr>
          <w:rFonts w:eastAsia="仿宋_GB2312"/>
          <w:sz w:val="28"/>
        </w:rPr>
      </w:pPr>
      <w:r>
        <w:rPr>
          <w:rFonts w:hint="eastAsia" w:eastAsia="仿宋_GB2312"/>
          <w:sz w:val="28"/>
        </w:rPr>
        <w:t>甲方每延期一天的违约赔偿金=乙方已付前期开发建设补偿费的千分之三。</w:t>
      </w:r>
    </w:p>
    <w:p>
      <w:pPr>
        <w:ind w:firstLine="560" w:firstLineChars="200"/>
        <w:rPr>
          <w:rFonts w:eastAsia="仿宋_GB2312"/>
          <w:sz w:val="28"/>
        </w:rPr>
      </w:pPr>
      <w:r>
        <w:rPr>
          <w:rFonts w:hint="eastAsia" w:eastAsia="仿宋_GB2312"/>
          <w:sz w:val="28"/>
        </w:rPr>
        <w:t>4、如甲方违约，乙方应在5个工作日内，书面通知甲方；如乙方违约，甲方应在5个工作日内书面通知乙方。</w:t>
      </w:r>
    </w:p>
    <w:p>
      <w:pPr>
        <w:ind w:firstLine="560" w:firstLineChars="200"/>
        <w:rPr>
          <w:rFonts w:eastAsia="仿宋_GB2312"/>
          <w:sz w:val="28"/>
        </w:rPr>
      </w:pPr>
      <w:r>
        <w:rPr>
          <w:rFonts w:hint="eastAsia" w:eastAsia="仿宋_GB2312"/>
          <w:sz w:val="28"/>
        </w:rPr>
        <w:t>5、本协议约定违约赔偿金应在明确责任后10个工作日内赔付，否则按逾期付款处理。违约方需支付逾期应支付的违约赔偿金利息。利率按中国人民银行公布的一年期贷款基准利率计算。</w:t>
      </w:r>
    </w:p>
    <w:p>
      <w:pPr>
        <w:ind w:firstLine="560" w:firstLineChars="200"/>
        <w:rPr>
          <w:rFonts w:eastAsia="仿宋_GB2312"/>
          <w:sz w:val="28"/>
        </w:rPr>
      </w:pPr>
      <w:r>
        <w:rPr>
          <w:rFonts w:hint="eastAsia" w:eastAsia="仿宋_GB2312"/>
          <w:sz w:val="28"/>
        </w:rPr>
        <w:t>6．如果在乙方付款期限内，中国人民银行现行年贷款利率调整，则本合同约定延付前期开发建设补偿费的资金占用费用利率相应调整。</w:t>
      </w:r>
    </w:p>
    <w:p>
      <w:pPr>
        <w:ind w:firstLine="560" w:firstLineChars="200"/>
        <w:rPr>
          <w:rFonts w:eastAsia="仿宋_GB2312"/>
          <w:sz w:val="28"/>
        </w:rPr>
      </w:pPr>
      <w:r>
        <w:rPr>
          <w:rFonts w:hint="eastAsia" w:eastAsia="仿宋_GB2312"/>
          <w:sz w:val="28"/>
        </w:rPr>
        <w:t>7、当事人因另一方违反合同而受到损失的，应及时采取措施防止损失扩大，否则无权就扩大的损失要求赔偿。</w:t>
      </w:r>
    </w:p>
    <w:p>
      <w:pPr>
        <w:pStyle w:val="3"/>
        <w:numPr>
          <w:ilvl w:val="1"/>
          <w:numId w:val="1"/>
        </w:numPr>
        <w:tabs>
          <w:tab w:val="left" w:pos="1622"/>
        </w:tabs>
        <w:spacing w:line="600" w:lineRule="exact"/>
        <w:ind w:left="1622"/>
        <w:rPr>
          <w:szCs w:val="28"/>
        </w:rPr>
      </w:pPr>
      <w:bookmarkStart w:id="54" w:name="_Toc66527151"/>
      <w:bookmarkStart w:id="55" w:name="_Toc85182071"/>
      <w:bookmarkStart w:id="56" w:name="_Toc110245535"/>
      <w:bookmarkStart w:id="57" w:name="_Toc110763610"/>
      <w:bookmarkStart w:id="58" w:name="_Toc160590376"/>
      <w:bookmarkStart w:id="59" w:name="_Toc182898743"/>
      <w:bookmarkStart w:id="60" w:name="_Toc200281945"/>
      <w:bookmarkStart w:id="61" w:name="_Toc25289"/>
      <w:r>
        <w:rPr>
          <w:rFonts w:hint="eastAsia"/>
          <w:szCs w:val="28"/>
        </w:rPr>
        <w:t>不可抗力</w:t>
      </w:r>
      <w:bookmarkEnd w:id="54"/>
      <w:bookmarkEnd w:id="55"/>
      <w:bookmarkEnd w:id="56"/>
      <w:bookmarkEnd w:id="57"/>
      <w:bookmarkEnd w:id="58"/>
      <w:bookmarkEnd w:id="59"/>
      <w:bookmarkEnd w:id="60"/>
      <w:bookmarkEnd w:id="61"/>
    </w:p>
    <w:p>
      <w:pPr>
        <w:ind w:firstLine="560" w:firstLineChars="200"/>
        <w:rPr>
          <w:rFonts w:eastAsia="仿宋_GB2312"/>
          <w:sz w:val="28"/>
        </w:rPr>
      </w:pPr>
      <w:r>
        <w:rPr>
          <w:rFonts w:hint="eastAsia" w:eastAsia="仿宋_GB2312"/>
          <w:sz w:val="28"/>
        </w:rPr>
        <w:t>1、不可抗力事件是指在签订本协议时不能合理预见，且对事件及其后果不能克服和不能避免的事件。</w:t>
      </w:r>
    </w:p>
    <w:p>
      <w:pPr>
        <w:ind w:firstLine="560" w:firstLineChars="200"/>
        <w:rPr>
          <w:rFonts w:eastAsia="仿宋_GB2312"/>
          <w:sz w:val="28"/>
        </w:rPr>
      </w:pPr>
      <w:r>
        <w:rPr>
          <w:rFonts w:hint="eastAsia" w:eastAsia="仿宋_GB2312"/>
          <w:sz w:val="28"/>
        </w:rPr>
        <w:t>2、不可抗力下的中止</w:t>
      </w:r>
    </w:p>
    <w:p>
      <w:pPr>
        <w:ind w:firstLine="560" w:firstLineChars="200"/>
        <w:rPr>
          <w:rFonts w:eastAsia="仿宋_GB2312"/>
          <w:sz w:val="28"/>
        </w:rPr>
      </w:pPr>
      <w:r>
        <w:rPr>
          <w:rFonts w:hint="eastAsia" w:eastAsia="仿宋_GB2312"/>
          <w:sz w:val="28"/>
        </w:rPr>
        <w:t>如一方由于出现不可抗力事件而未能全部或部分履行其在本协议项下的义务时，该方有权中止履行本协议项下的义务。</w:t>
      </w:r>
    </w:p>
    <w:p>
      <w:pPr>
        <w:ind w:firstLine="560" w:firstLineChars="200"/>
        <w:rPr>
          <w:rFonts w:eastAsia="仿宋_GB2312"/>
          <w:sz w:val="28"/>
        </w:rPr>
      </w:pPr>
      <w:r>
        <w:rPr>
          <w:rFonts w:hint="eastAsia" w:eastAsia="仿宋_GB2312"/>
          <w:sz w:val="28"/>
        </w:rPr>
        <w:t>3、通知</w:t>
      </w:r>
    </w:p>
    <w:p>
      <w:pPr>
        <w:ind w:firstLine="560" w:firstLineChars="200"/>
        <w:rPr>
          <w:rFonts w:eastAsia="仿宋_GB2312"/>
          <w:sz w:val="28"/>
        </w:rPr>
      </w:pPr>
      <w:r>
        <w:rPr>
          <w:rFonts w:hint="eastAsia" w:eastAsia="仿宋_GB2312"/>
          <w:sz w:val="28"/>
        </w:rPr>
        <w:t>声称受到不可抗力影响的一方必须在知道不可抗力事件发生之后5个工作日内采取以下行为：</w:t>
      </w:r>
    </w:p>
    <w:p>
      <w:pPr>
        <w:ind w:firstLine="560" w:firstLineChars="200"/>
        <w:rPr>
          <w:rFonts w:eastAsia="仿宋_GB2312"/>
          <w:sz w:val="28"/>
        </w:rPr>
      </w:pPr>
      <w:r>
        <w:rPr>
          <w:rFonts w:hint="eastAsia" w:eastAsia="仿宋_GB2312"/>
          <w:sz w:val="28"/>
        </w:rPr>
        <w:t>（1）书面通知另一方并详细描述不可抗力的发生情况和可能导致的后果，包括该不可抗力发生的日期和预计停止的时间，以及对该方履行在本协议项下义务的影响。</w:t>
      </w:r>
    </w:p>
    <w:p>
      <w:pPr>
        <w:ind w:firstLine="560" w:firstLineChars="200"/>
        <w:rPr>
          <w:rFonts w:eastAsia="仿宋_GB2312"/>
          <w:sz w:val="28"/>
        </w:rPr>
      </w:pPr>
      <w:r>
        <w:rPr>
          <w:rFonts w:hint="eastAsia" w:eastAsia="仿宋_GB2312"/>
          <w:sz w:val="28"/>
        </w:rPr>
        <w:t>（2）向另一方提供不可抗力发生当地有关权力机关或公证机构出具的证明。</w:t>
      </w:r>
    </w:p>
    <w:p>
      <w:pPr>
        <w:ind w:firstLine="560" w:firstLineChars="200"/>
        <w:rPr>
          <w:rFonts w:eastAsia="仿宋_GB2312"/>
          <w:sz w:val="28"/>
        </w:rPr>
      </w:pPr>
      <w:r>
        <w:rPr>
          <w:rFonts w:hint="eastAsia" w:eastAsia="仿宋_GB2312"/>
          <w:sz w:val="28"/>
        </w:rPr>
        <w:t>4、费用</w:t>
      </w:r>
    </w:p>
    <w:p>
      <w:pPr>
        <w:ind w:firstLine="560" w:firstLineChars="200"/>
        <w:rPr>
          <w:rFonts w:eastAsia="仿宋_GB2312"/>
          <w:sz w:val="28"/>
        </w:rPr>
      </w:pPr>
      <w:r>
        <w:rPr>
          <w:rFonts w:hint="eastAsia" w:eastAsia="仿宋_GB2312"/>
          <w:sz w:val="28"/>
        </w:rPr>
        <w:t>发生不可抗力时，双方应各自承担由于不可抗力事件对其造成的支出。</w:t>
      </w:r>
    </w:p>
    <w:p>
      <w:pPr>
        <w:ind w:firstLine="560" w:firstLineChars="200"/>
        <w:rPr>
          <w:rFonts w:eastAsia="仿宋_GB2312"/>
          <w:sz w:val="28"/>
        </w:rPr>
      </w:pPr>
      <w:r>
        <w:rPr>
          <w:rFonts w:hint="eastAsia" w:eastAsia="仿宋_GB2312"/>
          <w:sz w:val="28"/>
        </w:rPr>
        <w:t>5、减少损失和协商</w:t>
      </w:r>
    </w:p>
    <w:p>
      <w:pPr>
        <w:ind w:firstLine="560" w:firstLineChars="200"/>
        <w:rPr>
          <w:rFonts w:eastAsia="仿宋_GB2312"/>
          <w:sz w:val="28"/>
        </w:rPr>
      </w:pPr>
      <w:r>
        <w:rPr>
          <w:rFonts w:hint="eastAsia" w:eastAsia="仿宋_GB2312"/>
          <w:sz w:val="28"/>
        </w:rPr>
        <w:t>受不可抗力事件影响的一方必须尽量努力减少不可抗力事件的影响，包括：</w:t>
      </w:r>
    </w:p>
    <w:p>
      <w:pPr>
        <w:ind w:firstLine="560" w:firstLineChars="200"/>
        <w:rPr>
          <w:rFonts w:eastAsia="仿宋_GB2312"/>
          <w:sz w:val="28"/>
        </w:rPr>
      </w:pPr>
      <w:r>
        <w:rPr>
          <w:rFonts w:hint="eastAsia" w:eastAsia="仿宋_GB2312"/>
          <w:sz w:val="28"/>
        </w:rPr>
        <w:t>（1）与另一方协商制定实施补救计划及合理的替代措施，以减少或消除不可抗力事件的影响。</w:t>
      </w:r>
    </w:p>
    <w:p>
      <w:pPr>
        <w:ind w:firstLine="560" w:firstLineChars="200"/>
        <w:rPr>
          <w:rFonts w:eastAsia="仿宋_GB2312"/>
          <w:sz w:val="28"/>
        </w:rPr>
      </w:pPr>
      <w:r>
        <w:rPr>
          <w:rFonts w:hint="eastAsia" w:eastAsia="仿宋_GB2312"/>
          <w:sz w:val="28"/>
        </w:rPr>
        <w:t>（2）在不可抗力事件结束之后必须尽快恢复履行本协议项下的义务。</w:t>
      </w:r>
    </w:p>
    <w:p>
      <w:pPr>
        <w:ind w:firstLine="560" w:firstLineChars="200"/>
        <w:rPr>
          <w:rFonts w:eastAsia="仿宋_GB2312"/>
          <w:sz w:val="28"/>
        </w:rPr>
      </w:pPr>
      <w:r>
        <w:rPr>
          <w:rFonts w:hint="eastAsia" w:eastAsia="仿宋_GB2312"/>
          <w:sz w:val="28"/>
        </w:rPr>
        <w:t>6、不可抗力终止</w:t>
      </w:r>
    </w:p>
    <w:p>
      <w:pPr>
        <w:ind w:firstLine="560" w:firstLineChars="200"/>
        <w:rPr>
          <w:rFonts w:eastAsia="仿宋_GB2312"/>
          <w:sz w:val="28"/>
        </w:rPr>
      </w:pPr>
      <w:r>
        <w:rPr>
          <w:rFonts w:hint="eastAsia" w:eastAsia="仿宋_GB2312"/>
          <w:sz w:val="28"/>
        </w:rPr>
        <w:t>（1）如果任何不可抗力事件限制一方履行其本协议项下义务的时间连续或累计超过30日，双方应协商决定继续履行本协议的条件或者同意终止本协议。</w:t>
      </w:r>
    </w:p>
    <w:p>
      <w:pPr>
        <w:ind w:firstLine="560" w:firstLineChars="200"/>
        <w:rPr>
          <w:rFonts w:eastAsia="仿宋_GB2312"/>
          <w:sz w:val="28"/>
        </w:rPr>
      </w:pPr>
      <w:r>
        <w:rPr>
          <w:rFonts w:hint="eastAsia" w:eastAsia="仿宋_GB2312"/>
          <w:sz w:val="28"/>
        </w:rPr>
        <w:t>（2）如果自不可抗力事件发生后60日之内，双方不能就继续履行本协议达成一致意见，甲方或乙方可以给予另一方书面通知后终止本协议。</w:t>
      </w:r>
    </w:p>
    <w:p>
      <w:pPr>
        <w:pStyle w:val="3"/>
        <w:numPr>
          <w:ilvl w:val="1"/>
          <w:numId w:val="1"/>
        </w:numPr>
        <w:tabs>
          <w:tab w:val="left" w:pos="1622"/>
        </w:tabs>
        <w:spacing w:line="600" w:lineRule="exact"/>
        <w:ind w:left="1622"/>
        <w:rPr>
          <w:szCs w:val="28"/>
        </w:rPr>
      </w:pPr>
      <w:bookmarkStart w:id="62" w:name="_Toc66527152"/>
      <w:bookmarkStart w:id="63" w:name="_Toc85182072"/>
      <w:bookmarkStart w:id="64" w:name="_Toc110245536"/>
      <w:bookmarkStart w:id="65" w:name="_Toc110763611"/>
      <w:bookmarkStart w:id="66" w:name="_Toc160590377"/>
      <w:bookmarkStart w:id="67" w:name="_Toc182898744"/>
      <w:bookmarkStart w:id="68" w:name="_Toc200281946"/>
      <w:bookmarkStart w:id="69" w:name="_Toc22208"/>
      <w:r>
        <w:rPr>
          <w:rFonts w:hint="eastAsia"/>
          <w:szCs w:val="28"/>
        </w:rPr>
        <w:t>协议的修改、补充、变更</w:t>
      </w:r>
      <w:bookmarkEnd w:id="62"/>
      <w:bookmarkEnd w:id="63"/>
      <w:bookmarkEnd w:id="64"/>
      <w:bookmarkEnd w:id="65"/>
      <w:bookmarkEnd w:id="66"/>
      <w:bookmarkEnd w:id="67"/>
      <w:bookmarkEnd w:id="68"/>
      <w:bookmarkEnd w:id="69"/>
    </w:p>
    <w:p>
      <w:pPr>
        <w:ind w:firstLine="560" w:firstLineChars="200"/>
        <w:rPr>
          <w:rFonts w:eastAsia="仿宋_GB2312"/>
          <w:sz w:val="28"/>
        </w:rPr>
      </w:pPr>
      <w:r>
        <w:rPr>
          <w:rFonts w:hint="eastAsia" w:eastAsia="仿宋_GB2312"/>
          <w:sz w:val="28"/>
        </w:rPr>
        <w:t>1、本协议在双方权限范围内的任何修改、补充、变更须经双方签署书面协议方为有效。协议书的修改、补充、变更，须报主管部门备案或批准的，依政府有关规定办理。同时须将修改、补充、变更的协议送分中心一份。</w:t>
      </w:r>
    </w:p>
    <w:p>
      <w:pPr>
        <w:ind w:firstLine="560" w:firstLineChars="200"/>
        <w:rPr>
          <w:rFonts w:eastAsia="仿宋_GB2312"/>
          <w:sz w:val="28"/>
        </w:rPr>
      </w:pPr>
      <w:r>
        <w:rPr>
          <w:rFonts w:hint="eastAsia" w:eastAsia="仿宋_GB2312"/>
          <w:sz w:val="28"/>
        </w:rPr>
        <w:t>2、就本协议未尽事宜，双方可另行签订补充协议，补充协议与本协议具有同等法律效力。</w:t>
      </w:r>
    </w:p>
    <w:p>
      <w:pPr>
        <w:pStyle w:val="3"/>
        <w:numPr>
          <w:ilvl w:val="1"/>
          <w:numId w:val="1"/>
        </w:numPr>
        <w:tabs>
          <w:tab w:val="left" w:pos="1622"/>
        </w:tabs>
        <w:spacing w:line="600" w:lineRule="exact"/>
        <w:ind w:left="1622"/>
        <w:rPr>
          <w:szCs w:val="28"/>
        </w:rPr>
      </w:pPr>
      <w:bookmarkStart w:id="70" w:name="_Toc66527153"/>
      <w:bookmarkStart w:id="71" w:name="_Toc85182073"/>
      <w:bookmarkStart w:id="72" w:name="_Toc110245537"/>
      <w:bookmarkStart w:id="73" w:name="_Toc110763612"/>
      <w:bookmarkStart w:id="74" w:name="_Toc160590378"/>
      <w:bookmarkStart w:id="75" w:name="_Toc182898745"/>
      <w:bookmarkStart w:id="76" w:name="_Toc200281947"/>
      <w:bookmarkStart w:id="77" w:name="_Toc25412"/>
      <w:r>
        <w:rPr>
          <w:rFonts w:hint="eastAsia"/>
          <w:szCs w:val="28"/>
        </w:rPr>
        <w:t>协议的终止</w:t>
      </w:r>
      <w:bookmarkEnd w:id="70"/>
      <w:bookmarkEnd w:id="71"/>
      <w:bookmarkEnd w:id="72"/>
      <w:bookmarkEnd w:id="73"/>
      <w:bookmarkEnd w:id="74"/>
      <w:bookmarkEnd w:id="75"/>
      <w:bookmarkEnd w:id="76"/>
      <w:bookmarkEnd w:id="77"/>
    </w:p>
    <w:p>
      <w:pPr>
        <w:spacing w:line="360" w:lineRule="auto"/>
        <w:ind w:firstLine="560" w:firstLineChars="200"/>
        <w:rPr>
          <w:rFonts w:eastAsia="仿宋_GB2312"/>
          <w:sz w:val="28"/>
        </w:rPr>
      </w:pPr>
      <w:r>
        <w:rPr>
          <w:rFonts w:hint="eastAsia" w:eastAsia="仿宋_GB2312"/>
          <w:sz w:val="28"/>
        </w:rPr>
        <w:t>1、如乙方违约，出现以下情形之一的，本协议自动终止。</w:t>
      </w:r>
    </w:p>
    <w:p>
      <w:pPr>
        <w:spacing w:line="360" w:lineRule="auto"/>
        <w:ind w:firstLine="560" w:firstLineChars="200"/>
        <w:rPr>
          <w:rFonts w:eastAsia="仿宋_GB2312"/>
          <w:sz w:val="28"/>
        </w:rPr>
      </w:pPr>
      <w:r>
        <w:rPr>
          <w:rFonts w:hint="eastAsia" w:eastAsia="仿宋_GB2312"/>
          <w:sz w:val="28"/>
        </w:rPr>
        <w:t>（1）乙方未按本协议约定付款期限支付各期前期开发建设补偿费，且不是由于不可抗力和甲方原因造成的，延误交款天数连续或累计超过20日；</w:t>
      </w:r>
    </w:p>
    <w:p>
      <w:pPr>
        <w:spacing w:line="360" w:lineRule="auto"/>
        <w:ind w:firstLine="560" w:firstLineChars="200"/>
        <w:rPr>
          <w:rFonts w:eastAsia="仿宋_GB2312"/>
          <w:sz w:val="28"/>
        </w:rPr>
      </w:pPr>
      <w:r>
        <w:rPr>
          <w:rFonts w:hint="eastAsia" w:eastAsia="仿宋_GB2312"/>
          <w:sz w:val="28"/>
        </w:rPr>
        <w:t>（2）乙方应付未付违约赔偿金及违约期内应付款项的贷款利息总计达到前期开发建设补偿费总额的6%；</w:t>
      </w:r>
    </w:p>
    <w:p>
      <w:pPr>
        <w:spacing w:line="360" w:lineRule="auto"/>
        <w:ind w:firstLine="560" w:firstLineChars="200"/>
        <w:rPr>
          <w:rFonts w:eastAsia="仿宋_GB2312"/>
          <w:sz w:val="28"/>
        </w:rPr>
      </w:pPr>
      <w:r>
        <w:rPr>
          <w:rFonts w:hint="eastAsia" w:eastAsia="仿宋_GB2312"/>
          <w:sz w:val="28"/>
        </w:rPr>
        <w:t>（3）乙方未按与北京市规划和自然资源委员会大兴分局签订的《国有建设用地使用权出让合同》约定，出现协议终止的；</w:t>
      </w:r>
    </w:p>
    <w:p>
      <w:pPr>
        <w:spacing w:line="360" w:lineRule="auto"/>
        <w:ind w:firstLine="560" w:firstLineChars="200"/>
        <w:rPr>
          <w:rFonts w:eastAsia="仿宋_GB2312"/>
          <w:sz w:val="28"/>
        </w:rPr>
      </w:pPr>
      <w:r>
        <w:rPr>
          <w:rFonts w:hint="eastAsia" w:eastAsia="仿宋_GB2312"/>
          <w:sz w:val="28"/>
        </w:rPr>
        <w:t>（4）根据适用法律对乙方进行清算或乙方资不抵债的；</w:t>
      </w:r>
    </w:p>
    <w:p>
      <w:pPr>
        <w:spacing w:line="360" w:lineRule="auto"/>
        <w:ind w:firstLine="560" w:firstLineChars="200"/>
        <w:rPr>
          <w:rFonts w:eastAsia="仿宋_GB2312"/>
          <w:sz w:val="28"/>
        </w:rPr>
      </w:pPr>
      <w:r>
        <w:rPr>
          <w:rFonts w:hint="eastAsia" w:eastAsia="仿宋_GB2312"/>
          <w:sz w:val="28"/>
        </w:rPr>
        <w:t>（5）贷款人开始对乙方行使其融资文件下的担保权利，并对项目相关的资产提起强制执行程序。</w:t>
      </w:r>
    </w:p>
    <w:p>
      <w:pPr>
        <w:spacing w:line="360" w:lineRule="auto"/>
        <w:ind w:firstLine="560" w:firstLineChars="200"/>
        <w:rPr>
          <w:rFonts w:eastAsia="仿宋_GB2312"/>
          <w:sz w:val="28"/>
        </w:rPr>
      </w:pPr>
      <w:r>
        <w:rPr>
          <w:rFonts w:hint="eastAsia" w:eastAsia="仿宋_GB2312"/>
          <w:sz w:val="28"/>
        </w:rPr>
        <w:t>2、如果甲方违约，出现以下情形之一的，本协议自动终止：</w:t>
      </w:r>
    </w:p>
    <w:p>
      <w:pPr>
        <w:spacing w:line="360" w:lineRule="auto"/>
        <w:ind w:firstLine="560" w:firstLineChars="200"/>
        <w:rPr>
          <w:rFonts w:eastAsia="仿宋_GB2312"/>
          <w:sz w:val="28"/>
        </w:rPr>
      </w:pPr>
      <w:r>
        <w:rPr>
          <w:rFonts w:hint="eastAsia" w:eastAsia="仿宋_GB2312"/>
          <w:sz w:val="28"/>
        </w:rPr>
        <w:t>（1）按本协议约定，甲方未能按期提供建设用地或市政管线，且不是由于不可抗力和乙方原因造成的，延误天数连续或累计超过20日；</w:t>
      </w:r>
    </w:p>
    <w:p>
      <w:pPr>
        <w:spacing w:line="360" w:lineRule="auto"/>
        <w:ind w:firstLine="560" w:firstLineChars="200"/>
        <w:rPr>
          <w:rFonts w:eastAsia="仿宋_GB2312"/>
          <w:sz w:val="28"/>
        </w:rPr>
      </w:pPr>
      <w:r>
        <w:rPr>
          <w:rFonts w:hint="eastAsia" w:eastAsia="仿宋_GB2312"/>
          <w:sz w:val="28"/>
        </w:rPr>
        <w:t>（2）甲方应付未付违约赔偿金及违约期内应付款项的贷款利息总计达到前期开发建设补偿费总额的6%。</w:t>
      </w:r>
    </w:p>
    <w:p>
      <w:pPr>
        <w:spacing w:line="360" w:lineRule="auto"/>
        <w:ind w:firstLine="560" w:firstLineChars="200"/>
        <w:rPr>
          <w:rFonts w:eastAsia="仿宋_GB2312"/>
          <w:sz w:val="28"/>
        </w:rPr>
      </w:pPr>
      <w:r>
        <w:rPr>
          <w:rFonts w:hint="eastAsia" w:eastAsia="仿宋_GB2312"/>
          <w:sz w:val="28"/>
        </w:rPr>
        <w:t>3、终止的一般后果</w:t>
      </w:r>
    </w:p>
    <w:p>
      <w:pPr>
        <w:spacing w:line="360" w:lineRule="auto"/>
        <w:ind w:firstLine="560" w:firstLineChars="200"/>
        <w:rPr>
          <w:rFonts w:eastAsia="仿宋_GB2312"/>
          <w:sz w:val="28"/>
        </w:rPr>
      </w:pPr>
      <w:r>
        <w:rPr>
          <w:rFonts w:hint="eastAsia" w:eastAsia="仿宋_GB2312"/>
          <w:sz w:val="28"/>
        </w:rPr>
        <w:t>本协议终止后，双方在本协议下不再有进一步的义务，本协议的终止不影响其他有效条款的继续履行。违约方应按照本协议约定向守约方支付违约金。</w:t>
      </w:r>
    </w:p>
    <w:p>
      <w:pPr>
        <w:pStyle w:val="3"/>
        <w:numPr>
          <w:ilvl w:val="1"/>
          <w:numId w:val="1"/>
        </w:numPr>
        <w:tabs>
          <w:tab w:val="left" w:pos="1622"/>
        </w:tabs>
        <w:spacing w:line="600" w:lineRule="exact"/>
        <w:ind w:left="1622"/>
        <w:rPr>
          <w:szCs w:val="28"/>
        </w:rPr>
      </w:pPr>
      <w:bookmarkStart w:id="78" w:name="_Toc66527154"/>
      <w:bookmarkStart w:id="79" w:name="_Toc85182074"/>
      <w:bookmarkStart w:id="80" w:name="_Toc110245538"/>
      <w:bookmarkStart w:id="81" w:name="_Toc110763613"/>
      <w:bookmarkStart w:id="82" w:name="_Toc160590379"/>
      <w:bookmarkStart w:id="83" w:name="_Toc182898746"/>
      <w:bookmarkStart w:id="84" w:name="_Toc200281948"/>
      <w:r>
        <w:rPr>
          <w:rFonts w:hint="eastAsia"/>
          <w:szCs w:val="28"/>
        </w:rPr>
        <w:t xml:space="preserve">   </w:t>
      </w:r>
      <w:bookmarkStart w:id="85" w:name="_Toc6000"/>
      <w:r>
        <w:rPr>
          <w:rFonts w:hint="eastAsia"/>
          <w:szCs w:val="28"/>
        </w:rPr>
        <w:t>争议的解决</w:t>
      </w:r>
      <w:bookmarkEnd w:id="78"/>
      <w:bookmarkEnd w:id="79"/>
      <w:bookmarkEnd w:id="80"/>
      <w:bookmarkEnd w:id="81"/>
      <w:bookmarkEnd w:id="82"/>
      <w:bookmarkEnd w:id="83"/>
      <w:bookmarkEnd w:id="84"/>
      <w:bookmarkEnd w:id="85"/>
    </w:p>
    <w:p>
      <w:pPr>
        <w:spacing w:line="360" w:lineRule="auto"/>
        <w:ind w:firstLine="560" w:firstLineChars="200"/>
        <w:rPr>
          <w:rFonts w:eastAsia="仿宋_GB2312"/>
          <w:sz w:val="28"/>
        </w:rPr>
      </w:pPr>
      <w:r>
        <w:rPr>
          <w:rFonts w:hint="eastAsia" w:eastAsia="仿宋_GB2312"/>
          <w:sz w:val="28"/>
        </w:rPr>
        <w:t>1、因执行本协议所发生的或与本协议有关的一切争议，双方应通过友好协商解决。如协商不能解决，双方应向北京仲裁委员会申请仲裁。</w:t>
      </w:r>
    </w:p>
    <w:p>
      <w:pPr>
        <w:spacing w:line="360" w:lineRule="auto"/>
        <w:ind w:firstLine="560" w:firstLineChars="200"/>
        <w:rPr>
          <w:rFonts w:eastAsia="仿宋_GB2312"/>
          <w:sz w:val="28"/>
        </w:rPr>
      </w:pPr>
      <w:r>
        <w:rPr>
          <w:rFonts w:hint="eastAsia" w:eastAsia="仿宋_GB2312"/>
          <w:sz w:val="28"/>
        </w:rPr>
        <w:t>2、争议解决期间的履行</w:t>
      </w:r>
    </w:p>
    <w:p>
      <w:pPr>
        <w:spacing w:line="360" w:lineRule="auto"/>
        <w:ind w:firstLine="560" w:firstLineChars="200"/>
        <w:rPr>
          <w:rFonts w:eastAsia="仿宋_GB2312"/>
          <w:sz w:val="28"/>
        </w:rPr>
      </w:pPr>
      <w:r>
        <w:rPr>
          <w:rFonts w:hint="eastAsia" w:eastAsia="仿宋_GB2312"/>
          <w:sz w:val="28"/>
        </w:rPr>
        <w:t>在争议、分歧或索赔提交仲裁机构以后，在仲裁机构做出最终裁决之前，各方应继续履行其在本协议下的所有义务，并继续享有其在本协议下的所有权利，而不影响以后根据上述裁决进行最终调整。</w:t>
      </w:r>
    </w:p>
    <w:p>
      <w:pPr>
        <w:spacing w:line="360" w:lineRule="auto"/>
        <w:ind w:firstLine="560" w:firstLineChars="200"/>
        <w:rPr>
          <w:rFonts w:eastAsia="仿宋_GB2312"/>
          <w:sz w:val="28"/>
        </w:rPr>
      </w:pPr>
      <w:r>
        <w:rPr>
          <w:rFonts w:hint="eastAsia" w:eastAsia="仿宋_GB2312"/>
          <w:sz w:val="28"/>
        </w:rPr>
        <w:t>3、继续有效</w:t>
      </w:r>
    </w:p>
    <w:p>
      <w:pPr>
        <w:spacing w:line="360" w:lineRule="auto"/>
        <w:ind w:firstLine="560" w:firstLineChars="200"/>
        <w:rPr>
          <w:rFonts w:eastAsia="仿宋_GB2312"/>
          <w:sz w:val="28"/>
        </w:rPr>
      </w:pPr>
      <w:r>
        <w:rPr>
          <w:rFonts w:hint="eastAsia" w:eastAsia="仿宋_GB2312"/>
          <w:sz w:val="28"/>
        </w:rPr>
        <w:t>本协议约定的争议解决条款在本协议终止后继续有效。</w:t>
      </w:r>
    </w:p>
    <w:p>
      <w:pPr>
        <w:pStyle w:val="3"/>
        <w:numPr>
          <w:ilvl w:val="1"/>
          <w:numId w:val="1"/>
        </w:numPr>
        <w:tabs>
          <w:tab w:val="left" w:pos="1622"/>
        </w:tabs>
        <w:spacing w:line="600" w:lineRule="exact"/>
        <w:ind w:left="1622"/>
        <w:rPr>
          <w:szCs w:val="28"/>
        </w:rPr>
      </w:pPr>
      <w:bookmarkStart w:id="86" w:name="_Toc66527155"/>
      <w:bookmarkStart w:id="87" w:name="_Toc85182075"/>
      <w:bookmarkStart w:id="88" w:name="_Toc110245539"/>
      <w:bookmarkStart w:id="89" w:name="_Toc110763614"/>
      <w:bookmarkStart w:id="90" w:name="_Toc160590380"/>
      <w:bookmarkStart w:id="91" w:name="_Toc182898747"/>
      <w:bookmarkStart w:id="92" w:name="_Toc200281949"/>
      <w:r>
        <w:rPr>
          <w:rFonts w:hint="eastAsia"/>
          <w:szCs w:val="28"/>
        </w:rPr>
        <w:t xml:space="preserve">    </w:t>
      </w:r>
      <w:bookmarkStart w:id="93" w:name="_Toc29940"/>
      <w:r>
        <w:rPr>
          <w:rFonts w:hint="eastAsia"/>
          <w:szCs w:val="28"/>
        </w:rPr>
        <w:t>协议生效及其它</w:t>
      </w:r>
      <w:bookmarkEnd w:id="86"/>
      <w:bookmarkEnd w:id="87"/>
      <w:bookmarkEnd w:id="88"/>
      <w:bookmarkEnd w:id="89"/>
      <w:bookmarkEnd w:id="90"/>
      <w:bookmarkEnd w:id="91"/>
      <w:bookmarkEnd w:id="92"/>
      <w:bookmarkEnd w:id="93"/>
    </w:p>
    <w:p>
      <w:pPr>
        <w:spacing w:line="360" w:lineRule="auto"/>
        <w:ind w:firstLine="560" w:firstLineChars="200"/>
        <w:rPr>
          <w:rFonts w:eastAsia="仿宋_GB2312"/>
          <w:sz w:val="28"/>
        </w:rPr>
      </w:pPr>
      <w:r>
        <w:rPr>
          <w:rFonts w:hint="eastAsia" w:eastAsia="仿宋_GB2312"/>
          <w:sz w:val="28"/>
        </w:rPr>
        <w:t>1、乙方不得将其在本协议下的权力或义务全部或部分转让给其他企业，也不得以公司分立或其他的形式变相削弱其在本协议下的履约能力。</w:t>
      </w:r>
    </w:p>
    <w:p>
      <w:pPr>
        <w:spacing w:line="360" w:lineRule="auto"/>
        <w:ind w:firstLine="560" w:firstLineChars="200"/>
        <w:rPr>
          <w:rFonts w:eastAsia="仿宋_GB2312"/>
          <w:sz w:val="28"/>
        </w:rPr>
      </w:pPr>
      <w:r>
        <w:rPr>
          <w:rFonts w:hint="eastAsia" w:eastAsia="仿宋_GB2312"/>
          <w:sz w:val="28"/>
        </w:rPr>
        <w:t>2、本协议下的通知、同意或其他通讯必须通过专人递交或公认的国际、国内快递按下述地址签发各方：</w:t>
      </w:r>
    </w:p>
    <w:p>
      <w:pPr>
        <w:spacing w:line="360" w:lineRule="auto"/>
        <w:ind w:firstLine="560" w:firstLineChars="200"/>
        <w:rPr>
          <w:rFonts w:eastAsia="仿宋_GB2312"/>
          <w:sz w:val="28"/>
        </w:rPr>
      </w:pPr>
      <w:r>
        <w:rPr>
          <w:rFonts w:hint="eastAsia" w:eastAsia="仿宋_GB2312"/>
          <w:sz w:val="28"/>
        </w:rPr>
        <w:t xml:space="preserve">甲方： </w:t>
      </w:r>
    </w:p>
    <w:p>
      <w:pPr>
        <w:spacing w:line="360" w:lineRule="auto"/>
        <w:ind w:firstLine="560" w:firstLineChars="200"/>
        <w:rPr>
          <w:rFonts w:eastAsia="仿宋_GB2312"/>
          <w:sz w:val="28"/>
        </w:rPr>
      </w:pPr>
      <w:r>
        <w:rPr>
          <w:rFonts w:hint="eastAsia" w:eastAsia="仿宋_GB2312"/>
          <w:sz w:val="28"/>
        </w:rPr>
        <w:t>地址：</w:t>
      </w:r>
    </w:p>
    <w:p>
      <w:pPr>
        <w:spacing w:line="360" w:lineRule="auto"/>
        <w:ind w:firstLine="560" w:firstLineChars="200"/>
        <w:rPr>
          <w:rFonts w:eastAsia="仿宋_GB2312"/>
          <w:sz w:val="28"/>
        </w:rPr>
      </w:pPr>
      <w:r>
        <w:rPr>
          <w:rFonts w:hint="eastAsia" w:eastAsia="仿宋_GB2312"/>
          <w:sz w:val="28"/>
        </w:rPr>
        <w:t xml:space="preserve">收件人： </w:t>
      </w:r>
    </w:p>
    <w:p>
      <w:pPr>
        <w:spacing w:line="360" w:lineRule="auto"/>
        <w:ind w:firstLine="560" w:firstLineChars="200"/>
        <w:rPr>
          <w:rFonts w:eastAsia="仿宋_GB2312"/>
          <w:sz w:val="28"/>
        </w:rPr>
      </w:pPr>
      <w:r>
        <w:rPr>
          <w:rFonts w:hint="eastAsia" w:eastAsia="仿宋_GB2312"/>
          <w:sz w:val="28"/>
        </w:rPr>
        <w:t>电话：</w:t>
      </w:r>
    </w:p>
    <w:p>
      <w:pPr>
        <w:spacing w:line="360" w:lineRule="auto"/>
        <w:ind w:firstLine="560" w:firstLineChars="200"/>
        <w:rPr>
          <w:rFonts w:eastAsia="仿宋_GB2312"/>
          <w:sz w:val="28"/>
        </w:rPr>
      </w:pPr>
      <w:r>
        <w:rPr>
          <w:rFonts w:hint="eastAsia" w:eastAsia="仿宋_GB2312"/>
          <w:sz w:val="28"/>
        </w:rPr>
        <w:t>邮编：</w:t>
      </w:r>
    </w:p>
    <w:p>
      <w:pPr>
        <w:spacing w:line="360" w:lineRule="auto"/>
        <w:ind w:firstLine="560" w:firstLineChars="200"/>
        <w:rPr>
          <w:rFonts w:eastAsia="仿宋_GB2312"/>
          <w:sz w:val="28"/>
        </w:rPr>
      </w:pPr>
      <w:r>
        <w:rPr>
          <w:rFonts w:hint="eastAsia" w:eastAsia="仿宋_GB2312"/>
          <w:sz w:val="28"/>
        </w:rPr>
        <w:t>乙方：</w:t>
      </w:r>
    </w:p>
    <w:p>
      <w:pPr>
        <w:spacing w:line="360" w:lineRule="auto"/>
        <w:ind w:firstLine="560" w:firstLineChars="200"/>
        <w:rPr>
          <w:rFonts w:eastAsia="仿宋_GB2312"/>
          <w:sz w:val="28"/>
        </w:rPr>
      </w:pPr>
      <w:r>
        <w:rPr>
          <w:rFonts w:hint="eastAsia" w:eastAsia="仿宋_GB2312"/>
          <w:sz w:val="28"/>
        </w:rPr>
        <w:t xml:space="preserve">地址： </w:t>
      </w:r>
    </w:p>
    <w:p>
      <w:pPr>
        <w:spacing w:line="360" w:lineRule="auto"/>
        <w:ind w:firstLine="560" w:firstLineChars="200"/>
        <w:rPr>
          <w:rFonts w:eastAsia="仿宋_GB2312"/>
          <w:sz w:val="28"/>
        </w:rPr>
      </w:pPr>
      <w:r>
        <w:rPr>
          <w:rFonts w:hint="eastAsia" w:eastAsia="仿宋_GB2312"/>
          <w:sz w:val="28"/>
        </w:rPr>
        <w:t>收件人：</w:t>
      </w:r>
    </w:p>
    <w:p>
      <w:pPr>
        <w:spacing w:line="360" w:lineRule="auto"/>
        <w:ind w:firstLine="560" w:firstLineChars="200"/>
        <w:rPr>
          <w:rFonts w:eastAsia="仿宋_GB2312"/>
          <w:sz w:val="28"/>
        </w:rPr>
      </w:pPr>
      <w:r>
        <w:rPr>
          <w:rFonts w:hint="eastAsia" w:eastAsia="仿宋_GB2312"/>
          <w:sz w:val="28"/>
        </w:rPr>
        <w:t>电话：</w:t>
      </w:r>
    </w:p>
    <w:p>
      <w:pPr>
        <w:spacing w:line="360" w:lineRule="auto"/>
        <w:ind w:firstLine="560" w:firstLineChars="200"/>
        <w:rPr>
          <w:rFonts w:eastAsia="仿宋_GB2312"/>
          <w:sz w:val="28"/>
        </w:rPr>
      </w:pPr>
      <w:r>
        <w:rPr>
          <w:rFonts w:hint="eastAsia" w:eastAsia="仿宋_GB2312"/>
          <w:sz w:val="28"/>
        </w:rPr>
        <w:t>邮编：</w:t>
      </w:r>
    </w:p>
    <w:p>
      <w:pPr>
        <w:spacing w:line="360" w:lineRule="auto"/>
        <w:ind w:firstLine="560" w:firstLineChars="200"/>
        <w:rPr>
          <w:rFonts w:eastAsia="仿宋_GB2312"/>
          <w:sz w:val="28"/>
        </w:rPr>
      </w:pPr>
      <w:r>
        <w:rPr>
          <w:rFonts w:hint="eastAsia" w:eastAsia="仿宋_GB2312"/>
          <w:sz w:val="28"/>
        </w:rPr>
        <w:t>一方如更改通讯内容，应提前告之另一方，因一方不及时通知使另一方遭受损失的，应承担赔偿责任。</w:t>
      </w:r>
    </w:p>
    <w:p>
      <w:pPr>
        <w:spacing w:line="360" w:lineRule="auto"/>
        <w:ind w:firstLine="560" w:firstLineChars="200"/>
        <w:rPr>
          <w:rFonts w:eastAsia="仿宋_GB2312"/>
          <w:sz w:val="28"/>
        </w:rPr>
      </w:pPr>
      <w:r>
        <w:rPr>
          <w:rFonts w:hint="eastAsia" w:eastAsia="仿宋_GB2312"/>
          <w:sz w:val="28"/>
        </w:rPr>
        <w:t>3、甲、乙双方都应为对方的资料及文件保密，不得向第三方透露或公开。本保密条款在本协议中止后仍然有效。</w:t>
      </w:r>
    </w:p>
    <w:p>
      <w:pPr>
        <w:spacing w:line="360" w:lineRule="auto"/>
        <w:ind w:firstLine="560" w:firstLineChars="200"/>
        <w:rPr>
          <w:rFonts w:eastAsia="仿宋_GB2312"/>
          <w:sz w:val="28"/>
        </w:rPr>
      </w:pPr>
      <w:r>
        <w:rPr>
          <w:rFonts w:hint="eastAsia" w:eastAsia="仿宋_GB2312"/>
          <w:sz w:val="28"/>
        </w:rPr>
        <w:t>4、可分性</w:t>
      </w:r>
    </w:p>
    <w:p>
      <w:pPr>
        <w:spacing w:line="360" w:lineRule="auto"/>
        <w:ind w:firstLine="560" w:firstLineChars="200"/>
        <w:rPr>
          <w:rFonts w:eastAsia="仿宋_GB2312"/>
          <w:sz w:val="28"/>
        </w:rPr>
      </w:pPr>
      <w:r>
        <w:rPr>
          <w:rFonts w:hint="eastAsia" w:eastAsia="仿宋_GB2312"/>
          <w:sz w:val="28"/>
        </w:rPr>
        <w:t>如果本协议任何条款不合法、无效或不能执行，则</w:t>
      </w:r>
    </w:p>
    <w:p>
      <w:pPr>
        <w:spacing w:line="360" w:lineRule="auto"/>
        <w:ind w:firstLine="560" w:firstLineChars="200"/>
        <w:rPr>
          <w:rFonts w:eastAsia="仿宋_GB2312"/>
          <w:sz w:val="28"/>
        </w:rPr>
      </w:pPr>
      <w:r>
        <w:rPr>
          <w:rFonts w:hint="eastAsia" w:eastAsia="仿宋_GB2312"/>
          <w:sz w:val="28"/>
        </w:rPr>
        <w:t>（1）其他条款仍然有效和可执行。</w:t>
      </w:r>
    </w:p>
    <w:p>
      <w:pPr>
        <w:spacing w:line="360" w:lineRule="auto"/>
        <w:ind w:firstLine="560" w:firstLineChars="200"/>
        <w:rPr>
          <w:rFonts w:eastAsia="仿宋_GB2312"/>
          <w:sz w:val="28"/>
        </w:rPr>
      </w:pPr>
      <w:r>
        <w:rPr>
          <w:rFonts w:hint="eastAsia" w:eastAsia="仿宋_GB2312"/>
          <w:sz w:val="28"/>
        </w:rPr>
        <w:t>（2）双方应商定对不合法、无效或不能执行的条款进行修改或更换，使之合法、有效并可执行。</w:t>
      </w:r>
    </w:p>
    <w:p>
      <w:pPr>
        <w:spacing w:line="360" w:lineRule="auto"/>
        <w:ind w:firstLine="560" w:firstLineChars="200"/>
        <w:rPr>
          <w:rFonts w:eastAsia="仿宋_GB2312"/>
          <w:sz w:val="28"/>
        </w:rPr>
      </w:pPr>
      <w:r>
        <w:rPr>
          <w:rFonts w:hint="eastAsia" w:eastAsia="仿宋_GB2312"/>
          <w:sz w:val="28"/>
        </w:rPr>
        <w:t>5、完整性</w:t>
      </w:r>
    </w:p>
    <w:p>
      <w:pPr>
        <w:spacing w:line="360" w:lineRule="auto"/>
        <w:ind w:firstLine="560" w:firstLineChars="200"/>
        <w:rPr>
          <w:rFonts w:eastAsia="仿宋_GB2312"/>
          <w:sz w:val="28"/>
        </w:rPr>
      </w:pPr>
      <w:r>
        <w:rPr>
          <w:rFonts w:hint="eastAsia" w:eastAsia="仿宋_GB2312"/>
          <w:sz w:val="28"/>
        </w:rPr>
        <w:t>（1）乙方与北京市规划和自然资源委员会大兴分局签订的《国有建设用地使用权出让合同》与本协议共同组成一套相互关联的、完整的合同文件，互为补充，互相支持。</w:t>
      </w:r>
    </w:p>
    <w:p>
      <w:pPr>
        <w:spacing w:line="360" w:lineRule="auto"/>
        <w:ind w:firstLine="560" w:firstLineChars="200"/>
        <w:rPr>
          <w:rFonts w:eastAsia="仿宋_GB2312"/>
          <w:sz w:val="28"/>
        </w:rPr>
      </w:pPr>
      <w:r>
        <w:rPr>
          <w:rFonts w:hint="eastAsia" w:eastAsia="仿宋_GB2312"/>
          <w:sz w:val="28"/>
        </w:rPr>
        <w:t>（2）在协议履行过程中，必须将以上合同和本协议作为一个有机的整体进行理解和贯彻执行。</w:t>
      </w:r>
    </w:p>
    <w:p>
      <w:pPr>
        <w:spacing w:line="360" w:lineRule="auto"/>
        <w:ind w:firstLine="560" w:firstLineChars="200"/>
        <w:rPr>
          <w:rFonts w:eastAsia="仿宋_GB2312"/>
          <w:sz w:val="28"/>
        </w:rPr>
      </w:pPr>
      <w:r>
        <w:rPr>
          <w:rFonts w:hint="eastAsia" w:eastAsia="仿宋_GB2312"/>
          <w:sz w:val="28"/>
        </w:rPr>
        <w:t>6、本协议自甲乙双方代表签字盖章之日起生效。</w:t>
      </w:r>
    </w:p>
    <w:p>
      <w:pPr>
        <w:spacing w:line="360" w:lineRule="auto"/>
        <w:ind w:firstLine="560" w:firstLineChars="200"/>
        <w:rPr>
          <w:rFonts w:eastAsia="仿宋_GB2312"/>
          <w:sz w:val="28"/>
        </w:rPr>
      </w:pPr>
      <w:r>
        <w:rPr>
          <w:rFonts w:hint="eastAsia" w:eastAsia="仿宋_GB2312"/>
          <w:sz w:val="28"/>
        </w:rPr>
        <w:t>7、本协议正本壹式贰份，甲乙双方各执壹份；副本肆份，甲乙双方各执贰份，正本、副本具有同等法律效力。</w:t>
      </w:r>
    </w:p>
    <w:p>
      <w:pPr>
        <w:spacing w:line="360" w:lineRule="auto"/>
        <w:ind w:firstLine="560" w:firstLineChars="200"/>
        <w:rPr>
          <w:rFonts w:eastAsia="仿宋_GB2312"/>
          <w:sz w:val="28"/>
        </w:rPr>
      </w:pPr>
      <w:r>
        <w:rPr>
          <w:rFonts w:hint="eastAsia" w:eastAsia="仿宋_GB2312"/>
          <w:sz w:val="28"/>
        </w:rPr>
        <w:t>8、本协议于    年    月   日在       签订。</w:t>
      </w:r>
    </w:p>
    <w:p>
      <w:pPr>
        <w:spacing w:line="360" w:lineRule="auto"/>
        <w:ind w:firstLine="560" w:firstLineChars="200"/>
        <w:rPr>
          <w:rFonts w:eastAsia="仿宋_GB2312"/>
          <w:sz w:val="28"/>
        </w:rPr>
      </w:pPr>
    </w:p>
    <w:p>
      <w:pPr>
        <w:spacing w:line="360" w:lineRule="auto"/>
        <w:ind w:firstLine="560" w:firstLineChars="200"/>
        <w:rPr>
          <w:rFonts w:eastAsia="仿宋_GB2312"/>
          <w:sz w:val="28"/>
        </w:rPr>
      </w:pPr>
      <w:r>
        <w:rPr>
          <w:rFonts w:hint="eastAsia" w:eastAsia="仿宋_GB2312"/>
          <w:sz w:val="28"/>
        </w:rPr>
        <w:t>甲方：（盖章）</w:t>
      </w:r>
      <w:r>
        <w:rPr>
          <w:rFonts w:hint="eastAsia" w:eastAsia="仿宋_GB2312"/>
          <w:sz w:val="28"/>
        </w:rPr>
        <w:tab/>
      </w:r>
    </w:p>
    <w:p>
      <w:pPr>
        <w:spacing w:line="360" w:lineRule="auto"/>
        <w:ind w:firstLine="560" w:firstLineChars="200"/>
        <w:rPr>
          <w:rFonts w:eastAsia="仿宋_GB2312"/>
          <w:sz w:val="28"/>
        </w:rPr>
      </w:pPr>
      <w:r>
        <w:rPr>
          <w:rFonts w:hint="eastAsia" w:eastAsia="仿宋_GB2312"/>
          <w:sz w:val="28"/>
        </w:rPr>
        <w:t>法人代表或授权代表：</w:t>
      </w:r>
    </w:p>
    <w:p>
      <w:pPr>
        <w:spacing w:line="360" w:lineRule="auto"/>
        <w:ind w:firstLine="480"/>
        <w:rPr>
          <w:rFonts w:eastAsia="仿宋_GB2312"/>
          <w:sz w:val="28"/>
        </w:rPr>
      </w:pPr>
      <w:r>
        <w:rPr>
          <w:rFonts w:hint="eastAsia" w:eastAsia="仿宋_GB2312"/>
          <w:sz w:val="28"/>
        </w:rPr>
        <w:t xml:space="preserve">                                 年     月     日</w:t>
      </w:r>
    </w:p>
    <w:p>
      <w:pPr>
        <w:spacing w:line="360" w:lineRule="auto"/>
        <w:ind w:firstLine="560" w:firstLineChars="200"/>
        <w:rPr>
          <w:rFonts w:eastAsia="仿宋_GB2312"/>
          <w:sz w:val="28"/>
        </w:rPr>
      </w:pPr>
      <w:r>
        <w:rPr>
          <w:rFonts w:hint="eastAsia" w:eastAsia="仿宋_GB2312"/>
          <w:sz w:val="28"/>
        </w:rPr>
        <w:t>乙方：（盖章）</w:t>
      </w:r>
      <w:r>
        <w:rPr>
          <w:rFonts w:hint="eastAsia" w:eastAsia="仿宋_GB2312"/>
          <w:sz w:val="28"/>
        </w:rPr>
        <w:tab/>
      </w:r>
    </w:p>
    <w:p>
      <w:pPr>
        <w:spacing w:line="360" w:lineRule="auto"/>
        <w:ind w:firstLine="560" w:firstLineChars="200"/>
        <w:rPr>
          <w:rFonts w:eastAsia="仿宋_GB2312"/>
          <w:sz w:val="28"/>
        </w:rPr>
      </w:pPr>
      <w:r>
        <w:rPr>
          <w:rFonts w:hint="eastAsia" w:eastAsia="仿宋_GB2312"/>
          <w:sz w:val="28"/>
        </w:rPr>
        <w:t>法人代表或授权代表：</w:t>
      </w:r>
    </w:p>
    <w:p>
      <w:pPr>
        <w:spacing w:line="360" w:lineRule="auto"/>
        <w:ind w:firstLine="480"/>
        <w:rPr>
          <w:rFonts w:eastAsia="仿宋_GB2312"/>
          <w:sz w:val="28"/>
        </w:rPr>
      </w:pPr>
      <w:r>
        <w:rPr>
          <w:rFonts w:hint="eastAsia" w:eastAsia="仿宋_GB2312"/>
          <w:sz w:val="28"/>
        </w:rPr>
        <w:t xml:space="preserve">                                 年     月     日</w:t>
      </w:r>
    </w:p>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鼎特圆体简">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decimalEnclosedCircle"/>
      <w:lvlText w:val="%1"/>
      <w:lvlJc w:val="left"/>
      <w:pPr>
        <w:tabs>
          <w:tab w:val="left" w:pos="1008"/>
        </w:tabs>
        <w:ind w:left="1008" w:hanging="420"/>
      </w:pPr>
      <w:rPr>
        <w:rFonts w:hint="eastAsia"/>
        <w:lang w:val="en-US"/>
      </w:rPr>
    </w:lvl>
    <w:lvl w:ilvl="1" w:tentative="0">
      <w:start w:val="1"/>
      <w:numFmt w:val="chineseCountingThousand"/>
      <w:lvlText w:val="第%2条"/>
      <w:lvlJc w:val="left"/>
      <w:pPr>
        <w:tabs>
          <w:tab w:val="left" w:pos="3722"/>
        </w:tabs>
        <w:ind w:left="3722" w:hanging="1202"/>
      </w:pPr>
      <w:rPr>
        <w:rFonts w:hint="eastAsia"/>
      </w:rPr>
    </w:lvl>
    <w:lvl w:ilvl="2" w:tentative="0">
      <w:start w:val="1"/>
      <w:numFmt w:val="lowerRoman"/>
      <w:lvlText w:val="%3."/>
      <w:lvlJc w:val="right"/>
      <w:pPr>
        <w:tabs>
          <w:tab w:val="left" w:pos="1848"/>
        </w:tabs>
        <w:ind w:left="1848" w:hanging="420"/>
      </w:pPr>
    </w:lvl>
    <w:lvl w:ilvl="3" w:tentative="0">
      <w:start w:val="1"/>
      <w:numFmt w:val="decimal"/>
      <w:lvlText w:val="%4."/>
      <w:lvlJc w:val="left"/>
      <w:pPr>
        <w:tabs>
          <w:tab w:val="left" w:pos="2268"/>
        </w:tabs>
        <w:ind w:left="2268" w:hanging="420"/>
      </w:pPr>
    </w:lvl>
    <w:lvl w:ilvl="4" w:tentative="0">
      <w:start w:val="1"/>
      <w:numFmt w:val="lowerLetter"/>
      <w:lvlText w:val="%5)"/>
      <w:lvlJc w:val="left"/>
      <w:pPr>
        <w:tabs>
          <w:tab w:val="left" w:pos="2688"/>
        </w:tabs>
        <w:ind w:left="2688" w:hanging="420"/>
      </w:pPr>
    </w:lvl>
    <w:lvl w:ilvl="5" w:tentative="0">
      <w:start w:val="1"/>
      <w:numFmt w:val="lowerRoman"/>
      <w:lvlText w:val="%6."/>
      <w:lvlJc w:val="right"/>
      <w:pPr>
        <w:tabs>
          <w:tab w:val="left" w:pos="3108"/>
        </w:tabs>
        <w:ind w:left="3108" w:hanging="420"/>
      </w:pPr>
    </w:lvl>
    <w:lvl w:ilvl="6" w:tentative="0">
      <w:start w:val="1"/>
      <w:numFmt w:val="decimal"/>
      <w:lvlText w:val="%7."/>
      <w:lvlJc w:val="left"/>
      <w:pPr>
        <w:tabs>
          <w:tab w:val="left" w:pos="3528"/>
        </w:tabs>
        <w:ind w:left="3528" w:hanging="420"/>
      </w:pPr>
    </w:lvl>
    <w:lvl w:ilvl="7" w:tentative="0">
      <w:start w:val="1"/>
      <w:numFmt w:val="lowerLetter"/>
      <w:lvlText w:val="%8)"/>
      <w:lvlJc w:val="left"/>
      <w:pPr>
        <w:tabs>
          <w:tab w:val="left" w:pos="3948"/>
        </w:tabs>
        <w:ind w:left="3948" w:hanging="420"/>
      </w:pPr>
    </w:lvl>
    <w:lvl w:ilvl="8" w:tentative="0">
      <w:start w:val="1"/>
      <w:numFmt w:val="lowerRoman"/>
      <w:lvlText w:val="%9."/>
      <w:lvlJc w:val="right"/>
      <w:pPr>
        <w:tabs>
          <w:tab w:val="left" w:pos="4368"/>
        </w:tabs>
        <w:ind w:left="4368" w:hanging="420"/>
      </w:pPr>
    </w:lvl>
  </w:abstractNum>
  <w:abstractNum w:abstractNumId="1">
    <w:nsid w:val="58F87AB1"/>
    <w:multiLevelType w:val="singleLevel"/>
    <w:tmpl w:val="58F87AB1"/>
    <w:lvl w:ilvl="0" w:tentative="0">
      <w:start w:val="3"/>
      <w:numFmt w:val="decimal"/>
      <w:suff w:val="nothing"/>
      <w:lvlText w:val="%1."/>
      <w:lvlJc w:val="left"/>
    </w:lvl>
  </w:abstractNum>
  <w:abstractNum w:abstractNumId="2">
    <w:nsid w:val="58F884BC"/>
    <w:multiLevelType w:val="singleLevel"/>
    <w:tmpl w:val="58F884BC"/>
    <w:lvl w:ilvl="0" w:tentative="0">
      <w:start w:val="1"/>
      <w:numFmt w:val="decimal"/>
      <w:suff w:val="nothing"/>
      <w:lvlText w:val="%1、"/>
      <w:lvlJc w:val="left"/>
    </w:lvl>
  </w:abstractNum>
  <w:abstractNum w:abstractNumId="3">
    <w:nsid w:val="5D276AE2"/>
    <w:multiLevelType w:val="multilevel"/>
    <w:tmpl w:val="5D276AE2"/>
    <w:lvl w:ilvl="0" w:tentative="0">
      <w:start w:val="1"/>
      <w:numFmt w:val="japaneseCounting"/>
      <w:lvlText w:val="%1、"/>
      <w:lvlJc w:val="left"/>
      <w:pPr>
        <w:tabs>
          <w:tab w:val="left" w:pos="720"/>
        </w:tabs>
        <w:ind w:left="720" w:hanging="720"/>
      </w:pPr>
      <w:rPr>
        <w:rFonts w:hint="eastAsia"/>
        <w:lang w:val="en-US"/>
      </w:r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980"/>
        </w:tabs>
        <w:ind w:left="1980" w:hanging="7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07308"/>
    <w:rsid w:val="503F2787"/>
    <w:rsid w:val="72407308"/>
    <w:rsid w:val="7E7E2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bCs/>
      <w:kern w:val="44"/>
      <w:sz w:val="44"/>
      <w:szCs w:val="44"/>
    </w:rPr>
  </w:style>
  <w:style w:type="paragraph" w:styleId="3">
    <w:name w:val="heading 2"/>
    <w:basedOn w:val="1"/>
    <w:next w:val="1"/>
    <w:qFormat/>
    <w:uiPriority w:val="0"/>
    <w:pPr>
      <w:keepNext/>
      <w:keepLines/>
      <w:spacing w:before="260" w:after="260" w:line="415" w:lineRule="auto"/>
      <w:jc w:val="center"/>
      <w:outlineLvl w:val="1"/>
    </w:pPr>
    <w:rPr>
      <w:rFonts w:ascii="Arial" w:hAnsi="Arial" w:eastAsia="仿宋_GB2312"/>
      <w:b/>
      <w:bCs/>
      <w:sz w:val="28"/>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Body Text"/>
    <w:basedOn w:val="1"/>
    <w:qFormat/>
    <w:uiPriority w:val="0"/>
    <w:pPr>
      <w:jc w:val="center"/>
    </w:pPr>
    <w:rPr>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2021-12-10T04:55:00Z</dcterms:created>
  <dc:creator>WPS_1487561185</dc:creator>
  <cp:lastModifiedBy>WPS_1487561185</cp:lastModifiedBy>
  <dcterms:modified xsi:type="dcterms:W3CDTF">2021-12-10T04:57:34Z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